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446"/>
        </w:trPr>
        <w:tc>
          <w:tcPr>
            <w:tcW w:w="21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2740" w:type="dxa"/>
            <w:vAlign w:val="bottom"/>
          </w:tcPr>
          <w:p>
            <w:pPr>
              <w:ind w:left="640"/>
              <w:spacing w:after="0"/>
              <w:rPr>
                <w:sz w:val="20"/>
                <w:szCs w:val="20"/>
                <w:color w:val="auto"/>
              </w:rPr>
            </w:pPr>
            <w:r>
              <w:rPr>
                <w:rFonts w:ascii="Arial" w:cs="Arial" w:eastAsia="Arial" w:hAnsi="Arial"/>
                <w:sz w:val="18"/>
                <w:szCs w:val="18"/>
                <w:color w:val="auto"/>
                <w:w w:val="91"/>
              </w:rPr>
              <w:t>Smaller Reporting Company</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276"/>
        </w:trPr>
        <w:tc>
          <w:tcPr>
            <w:tcW w:w="80" w:type="dxa"/>
            <w:vAlign w:val="bottom"/>
          </w:tcPr>
          <w:p>
            <w:pPr>
              <w:spacing w:after="0"/>
              <w:rPr>
                <w:sz w:val="24"/>
                <w:szCs w:val="24"/>
                <w:color w:val="auto"/>
              </w:rPr>
            </w:pPr>
          </w:p>
        </w:tc>
        <w:tc>
          <w:tcPr>
            <w:tcW w:w="9640" w:type="dxa"/>
            <w:vAlign w:val="bottom"/>
            <w:gridSpan w:val="4"/>
          </w:tcPr>
          <w:p>
            <w:pPr>
              <w:ind w:left="320"/>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80" w:type="dxa"/>
            <w:vAlign w:val="bottom"/>
          </w:tcPr>
          <w:p>
            <w:pPr>
              <w:spacing w:after="0"/>
              <w:rPr>
                <w:sz w:val="20"/>
                <w:szCs w:val="20"/>
                <w:color w:val="auto"/>
              </w:rPr>
            </w:pPr>
          </w:p>
        </w:tc>
        <w:tc>
          <w:tcPr>
            <w:tcW w:w="9640" w:type="dxa"/>
            <w:vAlign w:val="bottom"/>
            <w:gridSpan w:val="4"/>
          </w:tcPr>
          <w:p>
            <w:pPr>
              <w:ind w:left="220"/>
              <w:spacing w:after="0"/>
              <w:rPr>
                <w:sz w:val="20"/>
                <w:szCs w:val="20"/>
                <w:color w:val="auto"/>
              </w:rPr>
            </w:pPr>
            <w:r>
              <w:rPr>
                <w:rFonts w:ascii="Arial" w:cs="Arial" w:eastAsia="Arial" w:hAnsi="Arial"/>
                <w:sz w:val="18"/>
                <w:szCs w:val="18"/>
                <w:color w:val="auto"/>
                <w:w w:val="98"/>
              </w:rPr>
              <w:t>The number of shares of the issuer's common stock, $0.01 par value, outstanding as of April 30, 2016 was 330,999,538.</w:t>
            </w:r>
          </w:p>
        </w:tc>
        <w:tc>
          <w:tcPr>
            <w:tcW w:w="1560" w:type="dxa"/>
            <w:vAlign w:val="bottom"/>
          </w:tcPr>
          <w:p>
            <w:pPr>
              <w:spacing w:after="0"/>
              <w:rPr>
                <w:sz w:val="20"/>
                <w:szCs w:val="20"/>
                <w:color w:val="auto"/>
              </w:rPr>
            </w:pPr>
          </w:p>
        </w:tc>
      </w:tr>
      <w:tr>
        <w:trPr>
          <w:trHeight w:val="135"/>
        </w:trPr>
        <w:tc>
          <w:tcPr>
            <w:tcW w:w="8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15"/>
        </w:trPr>
        <w:tc>
          <w:tcPr>
            <w:tcW w:w="80" w:type="dxa"/>
            <w:vAlign w:val="bottom"/>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gridSpan w:val="3"/>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6"/>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40"/>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580" w:type="dxa"/>
            <w:vAlign w:val="bottom"/>
            <w:tcBorders>
              <w:top w:val="single" w:sz="8" w:color="0000EE"/>
            </w:tcBorders>
            <w:gridSpan w:val="2"/>
          </w:tcPr>
          <w:p>
            <w:pPr>
              <w:spacing w:after="0"/>
              <w:rPr>
                <w:sz w:val="24"/>
                <w:szCs w:val="24"/>
                <w:color w:val="auto"/>
              </w:rPr>
            </w:pPr>
          </w:p>
        </w:tc>
        <w:tc>
          <w:tcPr>
            <w:tcW w:w="2140" w:type="dxa"/>
            <w:vAlign w:val="bottom"/>
            <w:tcBorders>
              <w:top w:val="single" w:sz="8" w:color="0000EE"/>
            </w:tcBorders>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4"/>
                <w:szCs w:val="24"/>
                <w:color w:val="auto"/>
              </w:rPr>
            </w:pPr>
          </w:p>
        </w:tc>
        <w:tc>
          <w:tcPr>
            <w:tcW w:w="1980" w:type="dxa"/>
            <w:vAlign w:val="bottom"/>
            <w:gridSpan w:val="2"/>
          </w:tcPr>
          <w:p>
            <w:pPr>
              <w:jc w:val="center"/>
              <w:ind w:left="1819"/>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Item 2.</w:t>
              </w:r>
            </w:hyperlink>
          </w:p>
        </w:tc>
        <w:tc>
          <w:tcPr>
            <w:tcW w:w="580" w:type="dxa"/>
            <w:vAlign w:val="bottom"/>
            <w:gridSpan w:val="2"/>
          </w:tcPr>
          <w:p>
            <w:pPr>
              <w:spacing w:after="0"/>
              <w:rPr>
                <w:sz w:val="20"/>
                <w:szCs w:val="20"/>
                <w:color w:val="auto"/>
              </w:rPr>
            </w:pPr>
          </w:p>
        </w:tc>
        <w:tc>
          <w:tcPr>
            <w:tcW w:w="5800" w:type="dxa"/>
            <w:vAlign w:val="bottom"/>
            <w:tcBorders>
              <w:bottom w:val="single" w:sz="8" w:color="0000EE"/>
            </w:tcBorders>
            <w:gridSpan w:val="5"/>
          </w:tcPr>
          <w:p>
            <w:pPr>
              <w:spacing w:after="0"/>
              <w:rPr>
                <w:rFonts w:ascii="Arial" w:cs="Arial" w:eastAsia="Arial" w:hAnsi="Arial"/>
                <w:sz w:val="16"/>
                <w:szCs w:val="16"/>
                <w:color w:val="0000EE"/>
                <w:w w:val="91"/>
              </w:rPr>
            </w:pPr>
            <w:hyperlink w:anchor="page28">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27</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Item 3.</w:t>
              </w:r>
            </w:hyperlink>
          </w:p>
        </w:tc>
        <w:tc>
          <w:tcPr>
            <w:tcW w:w="580" w:type="dxa"/>
            <w:vAlign w:val="bottom"/>
            <w:gridSpan w:val="2"/>
          </w:tcPr>
          <w:p>
            <w:pPr>
              <w:spacing w:after="0"/>
              <w:rPr>
                <w:sz w:val="20"/>
                <w:szCs w:val="20"/>
                <w:color w:val="auto"/>
              </w:rPr>
            </w:pPr>
          </w:p>
        </w:tc>
        <w:tc>
          <w:tcPr>
            <w:tcW w:w="7660" w:type="dxa"/>
            <w:vAlign w:val="bottom"/>
            <w:gridSpan w:val="6"/>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Quantitative and Qualitative Disclosures About Market Risk</w:t>
              </w:r>
            </w:hyperlink>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47</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Item 4.</w:t>
              </w:r>
            </w:hyperlink>
          </w:p>
        </w:tc>
        <w:tc>
          <w:tcPr>
            <w:tcW w:w="580" w:type="dxa"/>
            <w:vAlign w:val="bottom"/>
            <w:gridSpan w:val="2"/>
          </w:tcPr>
          <w:p>
            <w:pPr>
              <w:spacing w:after="0"/>
              <w:rPr>
                <w:sz w:val="20"/>
                <w:szCs w:val="20"/>
                <w:color w:val="auto"/>
              </w:rPr>
            </w:pPr>
          </w:p>
        </w:tc>
        <w:tc>
          <w:tcPr>
            <w:tcW w:w="3920" w:type="dxa"/>
            <w:vAlign w:val="bottom"/>
            <w:tcBorders>
              <w:top w:val="single" w:sz="8" w:color="0000EE"/>
            </w:tcBorders>
            <w:gridSpan w:val="4"/>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Controls and Procedures</w:t>
              </w:r>
            </w:hyperlink>
          </w:p>
        </w:tc>
        <w:tc>
          <w:tcPr>
            <w:tcW w:w="374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PART II.</w:t>
              </w:r>
            </w:hyperlink>
          </w:p>
        </w:tc>
        <w:tc>
          <w:tcPr>
            <w:tcW w:w="6720" w:type="dxa"/>
            <w:vAlign w:val="bottom"/>
            <w:gridSpan w:val="9"/>
          </w:tcPr>
          <w:p>
            <w:pPr>
              <w:spacing w:after="0"/>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OTHER INFORMATION</w:t>
              </w:r>
            </w:hyperlink>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34"/>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1.</w:t>
              </w:r>
            </w:hyperlink>
          </w:p>
        </w:tc>
        <w:tc>
          <w:tcPr>
            <w:tcW w:w="160" w:type="dxa"/>
            <w:vAlign w:val="bottom"/>
            <w:tcBorders>
              <w:top w:val="single" w:sz="8" w:color="0000EE"/>
            </w:tcBorders>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Legal Proceedings</w:t>
              </w:r>
            </w:hyperlink>
          </w:p>
        </w:tc>
        <w:tc>
          <w:tcPr>
            <w:tcW w:w="620" w:type="dxa"/>
            <w:vAlign w:val="bottom"/>
            <w:tcBorders>
              <w:top w:val="single" w:sz="8" w:color="0000EE"/>
            </w:tcBorders>
            <w:gridSpan w:val="2"/>
          </w:tcPr>
          <w:p>
            <w:pPr>
              <w:spacing w:after="0"/>
              <w:rPr>
                <w:sz w:val="24"/>
                <w:szCs w:val="24"/>
                <w:color w:val="auto"/>
              </w:rPr>
            </w:pPr>
          </w:p>
        </w:tc>
        <w:tc>
          <w:tcPr>
            <w:tcW w:w="4900" w:type="dxa"/>
            <w:vAlign w:val="bottom"/>
            <w:gridSpan w:val="3"/>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51</w:t>
              </w:r>
            </w:hyperlink>
          </w:p>
        </w:tc>
      </w:tr>
      <w:tr>
        <w:trPr>
          <w:trHeight w:val="237"/>
        </w:trPr>
        <w:tc>
          <w:tcPr>
            <w:tcW w:w="580" w:type="dxa"/>
            <w:vAlign w:val="bottom"/>
            <w:gridSpan w:val="2"/>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Item 1A.</w:t>
              </w:r>
            </w:hyperlink>
          </w:p>
        </w:tc>
        <w:tc>
          <w:tcPr>
            <w:tcW w:w="460" w:type="dxa"/>
            <w:vAlign w:val="bottom"/>
            <w:gridSpan w:val="3"/>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Risk Factors</w:t>
              </w:r>
            </w:hyperlink>
          </w:p>
        </w:tc>
        <w:tc>
          <w:tcPr>
            <w:tcW w:w="296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51</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2.</w:t>
              </w:r>
            </w:hyperlink>
          </w:p>
        </w:tc>
        <w:tc>
          <w:tcPr>
            <w:tcW w:w="12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52">
              <w:r>
                <w:rPr>
                  <w:rFonts w:ascii="Arial" w:cs="Arial" w:eastAsia="Arial" w:hAnsi="Arial"/>
                  <w:sz w:val="16"/>
                  <w:szCs w:val="16"/>
                  <w:color w:val="0000EE"/>
                  <w:w w:val="90"/>
                </w:rPr>
                <w:t>Unregistered Sales of Equity Securities and Use of Proceeds</w:t>
              </w:r>
            </w:hyperlink>
          </w:p>
        </w:tc>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51</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3.</w:t>
              </w:r>
            </w:hyperlink>
          </w:p>
        </w:tc>
        <w:tc>
          <w:tcPr>
            <w:tcW w:w="580" w:type="dxa"/>
            <w:vAlign w:val="bottom"/>
            <w:gridSpan w:val="4"/>
          </w:tcPr>
          <w:p>
            <w:pPr>
              <w:spacing w:after="0"/>
              <w:rPr>
                <w:sz w:val="20"/>
                <w:szCs w:val="20"/>
                <w:color w:val="auto"/>
              </w:rPr>
            </w:pPr>
          </w:p>
        </w:tc>
        <w:tc>
          <w:tcPr>
            <w:tcW w:w="2060" w:type="dxa"/>
            <w:vAlign w:val="bottom"/>
            <w:tcBorders>
              <w:bottom w:val="single" w:sz="8" w:color="0000EE"/>
            </w:tcBorders>
            <w:gridSpan w:val="7"/>
          </w:tcPr>
          <w:p>
            <w:pPr>
              <w:spacing w:after="0"/>
              <w:rPr>
                <w:rFonts w:ascii="Arial" w:cs="Arial" w:eastAsia="Arial" w:hAnsi="Arial"/>
                <w:sz w:val="16"/>
                <w:szCs w:val="16"/>
                <w:color w:val="0000EE"/>
                <w:w w:val="91"/>
              </w:rPr>
            </w:pPr>
            <w:hyperlink w:anchor="page52">
              <w:r>
                <w:rPr>
                  <w:rFonts w:ascii="Arial" w:cs="Arial" w:eastAsia="Arial" w:hAnsi="Arial"/>
                  <w:sz w:val="16"/>
                  <w:szCs w:val="16"/>
                  <w:color w:val="0000EE"/>
                  <w:w w:val="91"/>
                </w:rPr>
                <w:t>Defaults upon Senior Securities</w:t>
              </w:r>
            </w:hyperlink>
          </w:p>
        </w:tc>
        <w:tc>
          <w:tcPr>
            <w:tcW w:w="4660" w:type="dxa"/>
            <w:vAlign w:val="bottom"/>
            <w:gridSpan w:val="2"/>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51</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4.</w:t>
              </w:r>
            </w:hyperlink>
          </w:p>
        </w:tc>
        <w:tc>
          <w:tcPr>
            <w:tcW w:w="580" w:type="dxa"/>
            <w:vAlign w:val="bottom"/>
            <w:gridSpan w:val="4"/>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Mine Safety Disclosures</w:t>
              </w:r>
            </w:hyperlink>
          </w:p>
        </w:tc>
        <w:tc>
          <w:tcPr>
            <w:tcW w:w="296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51</w:t>
              </w:r>
            </w:hyperlink>
          </w:p>
        </w:tc>
      </w:tr>
      <w:tr>
        <w:trPr>
          <w:trHeight w:val="237"/>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5.</w:t>
              </w:r>
            </w:hyperlink>
          </w:p>
        </w:tc>
        <w:tc>
          <w:tcPr>
            <w:tcW w:w="580" w:type="dxa"/>
            <w:vAlign w:val="bottom"/>
            <w:gridSpan w:val="4"/>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Other Information</w:t>
              </w:r>
            </w:hyperlink>
          </w:p>
        </w:tc>
        <w:tc>
          <w:tcPr>
            <w:tcW w:w="400" w:type="dxa"/>
            <w:vAlign w:val="bottom"/>
            <w:tcBorders>
              <w:top w:val="single" w:sz="8" w:color="0000EE"/>
            </w:tcBorders>
            <w:gridSpan w:val="2"/>
          </w:tcPr>
          <w:p>
            <w:pPr>
              <w:spacing w:after="0"/>
              <w:rPr>
                <w:sz w:val="20"/>
                <w:szCs w:val="20"/>
                <w:color w:val="auto"/>
              </w:rPr>
            </w:pPr>
          </w:p>
        </w:tc>
        <w:tc>
          <w:tcPr>
            <w:tcW w:w="5140" w:type="dxa"/>
            <w:vAlign w:val="bottom"/>
            <w:gridSpan w:val="4"/>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51</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Item 6.</w:t>
              </w:r>
            </w:hyperlink>
          </w:p>
        </w:tc>
        <w:tc>
          <w:tcPr>
            <w:tcW w:w="580" w:type="dxa"/>
            <w:vAlign w:val="bottom"/>
            <w:gridSpan w:val="4"/>
          </w:tcPr>
          <w:p>
            <w:pPr>
              <w:spacing w:after="0"/>
              <w:rPr>
                <w:sz w:val="20"/>
                <w:szCs w:val="20"/>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52">
              <w:r>
                <w:rPr>
                  <w:rFonts w:ascii="Arial" w:cs="Arial" w:eastAsia="Arial" w:hAnsi="Arial"/>
                  <w:sz w:val="16"/>
                  <w:szCs w:val="16"/>
                  <w:color w:val="0000EE"/>
                  <w:w w:val="92"/>
                </w:rPr>
                <w:t>Exhibits</w:t>
              </w:r>
            </w:hyperlink>
          </w:p>
        </w:tc>
        <w:tc>
          <w:tcPr>
            <w:tcW w:w="6180" w:type="dxa"/>
            <w:vAlign w:val="bottom"/>
            <w:gridSpan w:val="8"/>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51</w:t>
              </w:r>
            </w:hyperlink>
          </w:p>
        </w:tc>
      </w:tr>
      <w:tr>
        <w:trPr>
          <w:trHeight w:val="534"/>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86"/>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4">
              <w:r>
                <w:rPr>
                  <w:rFonts w:ascii="Arial" w:cs="Arial" w:eastAsia="Arial" w:hAnsi="Arial"/>
                  <w:sz w:val="16"/>
                  <w:szCs w:val="16"/>
                  <w:color w:val="0000EE"/>
                  <w:w w:val="78"/>
                </w:rPr>
                <w:t>53</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2015</w:t>
            </w:r>
          </w:p>
        </w:tc>
      </w:tr>
      <w:tr>
        <w:trPr>
          <w:trHeight w:val="264"/>
        </w:trPr>
        <w:tc>
          <w:tcPr>
            <w:tcW w:w="7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$51,786 and $48,380,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54,950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51,331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Non-agency securities, at fair value (pledged securities)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 at fair value (pledged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REIT equity securities,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1,281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assets,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1,713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97"/>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62,396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57,021</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45,276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41,754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Home Loan Bank advances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595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1,696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54,736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49,050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331.0 and 337.5 shares issued and outstanding,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10,048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7,971</w:t>
            </w: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62,396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57,021</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Three Months Ended March</w:t>
      </w:r>
    </w:p>
    <w:p>
      <w:pPr>
        <w:spacing w:after="0" w:line="26"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33020</wp:posOffset>
            </wp:positionV>
            <wp:extent cx="1355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0"/>
              <w:spacing w:after="0"/>
              <w:rPr>
                <w:sz w:val="20"/>
                <w:szCs w:val="20"/>
                <w:color w:val="auto"/>
              </w:rPr>
            </w:pPr>
            <w:r>
              <w:rPr>
                <w:rFonts w:ascii="Arial" w:cs="Arial" w:eastAsia="Arial" w:hAnsi="Arial"/>
                <w:sz w:val="16"/>
                <w:szCs w:val="16"/>
                <w:b w:val="1"/>
                <w:bCs w:val="1"/>
                <w:color w:val="auto"/>
              </w:rPr>
              <w:t>2015</w:t>
            </w:r>
          </w:p>
        </w:tc>
      </w:tr>
      <w:tr>
        <w:trPr>
          <w:trHeight w:val="33"/>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794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loss, net: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Gain (loss) on sale of mortgage-backed securities, net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derivative instruments and other securities, net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37"/>
        </w:trPr>
        <w:tc>
          <w:tcPr>
            <w:tcW w:w="7940" w:type="dxa"/>
            <w:vAlign w:val="bottom"/>
          </w:tcPr>
          <w:p>
            <w:pPr>
              <w:ind w:left="700"/>
              <w:spacing w:after="0"/>
              <w:rPr>
                <w:sz w:val="20"/>
                <w:szCs w:val="20"/>
                <w:color w:val="auto"/>
              </w:rPr>
            </w:pPr>
            <w:r>
              <w:rPr>
                <w:rFonts w:ascii="Arial" w:cs="Arial" w:eastAsia="Arial" w:hAnsi="Arial"/>
                <w:sz w:val="18"/>
                <w:szCs w:val="18"/>
                <w:color w:val="auto"/>
              </w:rPr>
              <w:t>Total other loss, net</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94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3"/>
        </w:trPr>
        <w:tc>
          <w:tcPr>
            <w:tcW w:w="794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available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311"/>
        </w:trPr>
        <w:tc>
          <w:tcPr>
            <w:tcW w:w="7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304"/>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w:t>
            </w:r>
          </w:p>
        </w:tc>
      </w:tr>
      <w:tr>
        <w:trPr>
          <w:trHeight w:val="251"/>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common share -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60"/>
          </w:cols>
          <w:pgMar w:left="920" w:top="580" w:right="9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March 31, 2015</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10,048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Other comprehensive income:</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March 31, 2016</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81"/>
              <w:spacing w:after="0"/>
              <w:rPr>
                <w:sz w:val="20"/>
                <w:szCs w:val="20"/>
                <w:color w:val="auto"/>
              </w:rPr>
            </w:pPr>
            <w:r>
              <w:rPr>
                <w:rFonts w:ascii="Arial" w:cs="Arial" w:eastAsia="Arial" w:hAnsi="Arial"/>
                <w:sz w:val="16"/>
                <w:szCs w:val="16"/>
                <w:b w:val="1"/>
                <w:bCs w:val="1"/>
                <w:color w:val="auto"/>
                <w:w w:val="92"/>
              </w:rPr>
              <w:t>Three Months Ended March 31,</w:t>
            </w:r>
          </w:p>
        </w:tc>
      </w:tr>
      <w:tr>
        <w:trPr>
          <w:trHeight w:val="22"/>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2"/>
        </w:trPr>
        <w:tc>
          <w:tcPr>
            <w:tcW w:w="7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61"/>
              <w:spacing w:after="0"/>
              <w:rPr>
                <w:sz w:val="20"/>
                <w:szCs w:val="20"/>
                <w:color w:val="auto"/>
              </w:rPr>
            </w:pPr>
            <w:r>
              <w:rPr>
                <w:rFonts w:ascii="Arial" w:cs="Arial" w:eastAsia="Arial" w:hAnsi="Arial"/>
                <w:sz w:val="16"/>
                <w:szCs w:val="16"/>
                <w:b w:val="1"/>
                <w:bCs w:val="1"/>
                <w:color w:val="auto"/>
              </w:rPr>
              <w:t>2015</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9"/>
        </w:trPr>
        <w:tc>
          <w:tcPr>
            <w:tcW w:w="7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21"/>
                <w:szCs w:val="21"/>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1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133</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Amortization of accumulated other comprehensive loss on interest rate swaps de-designated as qualifying</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2"/>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hedges</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(Gain) loss on sale of mortgage-backed securities, net</w:t>
            </w:r>
          </w:p>
        </w:tc>
        <w:tc>
          <w:tcPr>
            <w:tcW w:w="1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549</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1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accounts payable and other 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420</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Purchases of mortgage-backed securities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(14,672)</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mortgage-backed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7,099</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Principal collections on mortgage-backed securities</w:t>
            </w:r>
          </w:p>
        </w:tc>
        <w:tc>
          <w:tcPr>
            <w:tcW w:w="1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1,811</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(21,929)</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1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17,999</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2,043</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Net proceeds from (payments on) other derivative instruments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99</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REIT 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restricted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(7,973)</w:t>
            </w:r>
          </w:p>
        </w:tc>
      </w:tr>
      <w:tr>
        <w:trPr>
          <w:trHeight w:val="242"/>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120,104</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(58,614)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(112,288)</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Federal Home Loan Bank advances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Payments on Federal Home Loan Bank advances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49"/>
        </w:trPr>
        <w:tc>
          <w:tcPr>
            <w:tcW w:w="7440" w:type="dxa"/>
            <w:vAlign w:val="bottom"/>
          </w:tcPr>
          <w:p>
            <w:pPr>
              <w:ind w:left="380"/>
              <w:spacing w:after="0"/>
              <w:rPr>
                <w:sz w:val="20"/>
                <w:szCs w:val="20"/>
                <w:color w:val="auto"/>
              </w:rPr>
            </w:pPr>
            <w:r>
              <w:rPr>
                <w:rFonts w:ascii="Arial" w:cs="Arial" w:eastAsia="Arial" w:hAnsi="Arial"/>
                <w:sz w:val="16"/>
                <w:szCs w:val="16"/>
                <w:color w:val="auto"/>
              </w:rPr>
              <w:t>Payments for common stock repurchases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7,541</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9"/>
        </w:trPr>
        <w:tc>
          <w:tcPr>
            <w:tcW w:w="74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1,720</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1,708</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20"/>
          </w:cols>
          <w:pgMar w:left="1000" w:top="580"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Our unaudited interim consolidated financial statements include the accounts of all of our wholly-owned subsidiaries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MBS").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(also referred to as "net book value," "NAV" and "stockholders' equity"). We fund our investments primarily through short-term borrowings structured as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securities as part of our overall management of our investment portfolio. Accordingly, we typically designate our agency and non-agency securities (collectively referred to as "mortgage securities" or "investment securities") as available-for-sale. All securities classified as available-for-sale are reported at fair value, with unrealized gains and losses reported in accumulated other comprehensive income (loss) ("OCI"), a separate component of stockholders' equity.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Upon the sale of a security, we determine the cost of the security and the amount of unrealized gains or losses to reclassify out of accumulated OCI into earnings based on the specific identification method.</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Non-agency securities in which we may invest consist of investment grade, AAA rated MBS backed by residential or commercial mortgages, for which the payment of principal and interest is not guaranteed by a GSE or government agency. Instead, a private institution such as a commercial bank will package residential or commercial mortgage loans and securitize them through the issuance of MBS. Investment grade, AAA rated non-agency MBS benefit from credit enhancements derived from structural elements, such as subordination, overcollateralization or insurance, but nonetheless carry a higher level of credit exposure than agency MBS.</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mortgage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based on a market approach using "Level 1" inputs based on quoted market prices.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mortgage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Nonrefundable 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 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and extension risks. The objective of our risk management strategy is to reduce fluctuations in net book value over a range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U.S. Treasury securities and U.S. Treasury futures contracts, primarily through short sales, and forward contracts for the purchase or sale of agency MBS securities on a generic pool basis in the "to-be-announced" market ("TBA securities"). We may also purchase or write put or call options on TBA securities and invest in mortgage and other types of derivatives, such as interest and principal-only securities.</w:t>
      </w:r>
    </w:p>
    <w:p>
      <w:pPr>
        <w:spacing w:after="0" w:line="13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also enter into TBA contracts as a means of investing in and financing agency securities (thereby increasing our "at risk" leverage) or as a means of disposing of or reducing our exposure to agency securities (thereby reducing our "at risk" leverage). Under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estimate the fair value of our "non-centrally cleared" swaps using a combination of inputs from counterparty and third-party pricing models to estimate the net present value of the future cash flows using the forward interest rate yield curve in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utilize TBA dollar roll transactions to finance agency MBS purchases.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2016 and December 31, 2015, our investment portfolio consisted of $56.1 billion and $52.5 billion of MBS, respectively, and a $6.0 billion and $7.4 billion net long TBA position, at fair value,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TBA position is reported at its net carrying value of $41 million and $14 million as of March 31, 2016 and December 31, 2015,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6 for further details of our net TBA position as of March 31, 2016 and December 31, 2015.)</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2016 and December 31, 2015, the net unamortized premium balance on our MBS was $2.4 billion and $2.3 billion, respectively, including interest and principal-only securities.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MBS as of March 31, 2016 and December 31, 2015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6"/>
              </w:rPr>
              <w:t>March 31, 2016</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53,462</w:t>
            </w:r>
          </w:p>
        </w:tc>
        <w:tc>
          <w:tcPr>
            <w:tcW w:w="12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759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54,155</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55,160</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852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55,943</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AAA non-agency</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56,055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50,576</w:t>
            </w:r>
          </w:p>
        </w:tc>
        <w:tc>
          <w:tcPr>
            <w:tcW w:w="12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339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50,522</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52,350</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407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52,360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AAA non-agency</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52,473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Fannie Mae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Freddie Mac</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Non-Agency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MBS: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MBS, par value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42,376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10,120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52,664</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2,339</w:t>
            </w:r>
          </w:p>
        </w:tc>
      </w:tr>
      <w:tr>
        <w:trPr>
          <w:trHeight w:val="256"/>
        </w:trPr>
        <w:tc>
          <w:tcPr>
            <w:tcW w:w="51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54,968</w:t>
            </w: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802</w:t>
            </w:r>
          </w:p>
        </w:tc>
      </w:tr>
      <w:tr>
        <w:trPr>
          <w:trHeight w:val="270"/>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r>
      <w:tr>
        <w:trPr>
          <w:trHeight w:val="250"/>
        </w:trPr>
        <w:tc>
          <w:tcPr>
            <w:tcW w:w="518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Total available-for-sale MBS, at fair value</w:t>
            </w: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44,804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10,728</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55,704</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MBS remeasured at fair value through earnings: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303</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51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Total MBS remeasured at fair value through earnings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w:t>
            </w:r>
          </w:p>
        </w:tc>
      </w:tr>
      <w:tr>
        <w:trPr>
          <w:trHeight w:val="283"/>
        </w:trPr>
        <w:tc>
          <w:tcPr>
            <w:tcW w:w="5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MBS,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45,134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10,749</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56,055</w:t>
            </w:r>
          </w:p>
        </w:tc>
      </w:tr>
      <w:tr>
        <w:trPr>
          <w:trHeight w:val="224"/>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March 31, 2016 </w:t>
            </w:r>
            <w:r>
              <w:rPr>
                <w:rFonts w:ascii="Arial" w:cs="Arial" w:eastAsia="Arial" w:hAnsi="Arial"/>
                <w:sz w:val="8"/>
                <w:szCs w:val="8"/>
                <w:color w:val="auto"/>
              </w:rPr>
              <w:t>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r>
      <w:tr>
        <w:trPr>
          <w:trHeight w:val="256"/>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March 31, 2016 </w:t>
            </w:r>
            <w:r>
              <w:rPr>
                <w:rFonts w:ascii="Arial" w:cs="Arial" w:eastAsia="Arial" w:hAnsi="Arial"/>
                <w:sz w:val="8"/>
                <w:szCs w:val="8"/>
                <w:color w:val="auto"/>
              </w:rPr>
              <w:t>3</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24"/>
        </w:trPr>
        <w:tc>
          <w:tcPr>
            <w:tcW w:w="508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660" w:hanging="328"/>
        <w:spacing w:after="0" w:line="24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securities was $1.0 billion and the weighted average contractual interest we are entitled to receive was 5.26% of this amount as of March 31, 2016. The par value of our principal-only securities was $201 million as of March 31, 2016.</w:t>
      </w:r>
    </w:p>
    <w:p>
      <w:pPr>
        <w:ind w:left="660" w:hanging="328"/>
        <w:spacing w:after="0" w:line="241"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securities and is stated as a percentage of par value (excluding the UPB of our interest-only securities) as of March 31, 2016.</w:t>
      </w: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10% based on forward rates as of March 31, 2016.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Fannie Mae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Non-Agency</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MBS: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MBS, par value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39,205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10,575</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113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49,955</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2,228</w:t>
            </w:r>
          </w:p>
        </w:tc>
      </w:tr>
      <w:tr>
        <w:trPr>
          <w:trHeight w:val="270"/>
        </w:trPr>
        <w:tc>
          <w:tcPr>
            <w:tcW w:w="51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114</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52,147</w:t>
            </w: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368</w:t>
            </w:r>
          </w:p>
        </w:tc>
      </w:tr>
      <w:tr>
        <w:trPr>
          <w:trHeight w:val="270"/>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r>
      <w:tr>
        <w:trPr>
          <w:trHeight w:val="264"/>
        </w:trPr>
        <w:tc>
          <w:tcPr>
            <w:tcW w:w="518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Total available-for-sale MBS, at fair value</w:t>
            </w: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40,883</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11,059</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113</w:t>
            </w: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52,120</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MBS measured at fair value through earnings: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317</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51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Total MBS measured at fair value through earnings</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w:t>
            </w:r>
          </w:p>
        </w:tc>
      </w:tr>
      <w:tr>
        <w:trPr>
          <w:trHeight w:val="310"/>
        </w:trPr>
        <w:tc>
          <w:tcPr>
            <w:tcW w:w="5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MBS,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41,214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113</w:t>
            </w: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52,473</w:t>
            </w:r>
          </w:p>
        </w:tc>
      </w:tr>
      <w:tr>
        <w:trPr>
          <w:trHeight w:val="251"/>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2015 </w:t>
            </w:r>
            <w:r>
              <w:rPr>
                <w:rFonts w:ascii="Arial" w:cs="Arial" w:eastAsia="Arial" w:hAnsi="Arial"/>
                <w:sz w:val="8"/>
                <w:szCs w:val="8"/>
                <w:color w:val="auto"/>
              </w:rPr>
              <w:t>2</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r>
      <w:tr>
        <w:trPr>
          <w:trHeight w:val="251"/>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2015 </w:t>
            </w:r>
            <w:r>
              <w:rPr>
                <w:rFonts w:ascii="Arial" w:cs="Arial" w:eastAsia="Arial" w:hAnsi="Arial"/>
                <w:sz w:val="8"/>
                <w:szCs w:val="8"/>
                <w:color w:val="auto"/>
              </w:rPr>
              <w:t>3</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3.33%</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174"/>
        </w:trPr>
        <w:tc>
          <w:tcPr>
            <w:tcW w:w="5080" w:type="dxa"/>
            <w:vAlign w:val="bottom"/>
          </w:tcPr>
          <w:p>
            <w:pPr>
              <w:ind w:left="40"/>
              <w:spacing w:after="0"/>
              <w:rPr>
                <w:sz w:val="20"/>
                <w:szCs w:val="20"/>
                <w:color w:val="auto"/>
              </w:rPr>
            </w:pPr>
            <w:r>
              <w:rPr>
                <w:rFonts w:ascii="Arial" w:cs="Arial" w:eastAsia="Arial" w:hAnsi="Arial"/>
                <w:sz w:val="14"/>
                <w:szCs w:val="14"/>
                <w:color w:val="auto"/>
              </w:rPr>
              <w:t>________________________</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underlying UPB of our interest-only securities was $1.0 billion and the weighted average contractual interest we are entitled to receive was 5.28% of this amount as of December 31, 2015. The par value of our principal-only securities was $207 million as of December 31, 2015.</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securities and is stated as a percentage of par value (excluding the UPB of our interest-only securities) as of December 31, 2015.</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2015.</w:t>
      </w:r>
    </w:p>
    <w:p>
      <w:pPr>
        <w:spacing w:after="0" w:line="1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7"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prepayments. As of March 31, 2016 and December 31, 2015, our weighted average expected constant prepayment rate ("CPR") over the remaining life of our aggregate investment portfolio was 10% and 8%, respectively. Our estimates differ materially for different types of securities and thus individual holdings have a wide range of projected CPRs.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investments classified as available-for-sale as of March 31, 2016 and December 31, 2015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March 31, 2016</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 xml:space="preserve">Securities Classified as Available-for-Sale </w:t>
            </w:r>
            <w:r>
              <w:rPr>
                <w:rFonts w:ascii="Arial" w:cs="Arial" w:eastAsia="Arial" w:hAnsi="Arial"/>
                <w:sz w:val="8"/>
                <w:szCs w:val="8"/>
                <w:b w:val="1"/>
                <w:bCs w:val="1"/>
                <w:color w:val="auto"/>
                <w:w w:val="93"/>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3.99%</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2.66%</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18,447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18,061</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3.30%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17,497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17,343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36,414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34,391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3.60%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3.08%</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54,968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2.75%</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weighted average life of our interest-only securities was 5.4 and 6.1 years as of March 31, 2016 and December 31, 2015, respectively. The weighted average life of our principal-only securities was 6.8 and 8.0 years as of March 31, 2016 and December 31, 2015, respectively.</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classified as available-for-sale are reported at fair value, with unrealized gains and losses excluded from earnings and reported in accumulated OCI, a separate component of stockholders' equity. Refer to Note 9 for a summary of changes in accumulated OCI for our available-for-sale securities for the three months ended March 31, 2016 and 2015</w:t>
      </w:r>
      <w:r>
        <w:rPr>
          <w:rFonts w:ascii="Arial" w:cs="Arial" w:eastAsia="Arial" w:hAnsi="Arial"/>
          <w:sz w:val="16"/>
          <w:szCs w:val="16"/>
          <w:color w:val="auto"/>
        </w:rPr>
        <w: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securities by length of time that such securities have been in a continuous unrealized loss position as of March 31, 2016 and December 31, 2015 (in millions):</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6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8"/>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December 31, 2015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24,035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6,793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30,828</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did not recognize any OTTI charges on our investment securities for the three months ended March 31, 2016 and 2015.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and credit enhancements on our AAA non-agency securities,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Gains and Losses on Sale of Mortgage-Backed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net gain (loss) from the sale of securities classified as available-for-sale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and 2015 (in millions):</w:t>
      </w:r>
    </w:p>
    <w:p>
      <w:pPr>
        <w:spacing w:after="0" w:line="216" w:lineRule="exact"/>
        <w:rPr>
          <w:sz w:val="20"/>
          <w:szCs w:val="20"/>
          <w:color w:val="auto"/>
        </w:rPr>
      </w:pPr>
    </w:p>
    <w:tbl>
      <w:tblPr>
        <w:tblLayout w:type="fixed"/>
        <w:tblInd w:w="234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Securities Classified as Available-for-Sale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25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MBS sold, at cost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w:t>
            </w:r>
          </w:p>
        </w:tc>
      </w:tr>
      <w:tr>
        <w:trPr>
          <w:trHeight w:val="264"/>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Proceeds from MBS sold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7,768</w:t>
            </w: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05"/>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gain on sale of MBS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r>
      <w:tr>
        <w:trPr>
          <w:trHeight w:val="264"/>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Gross loss on sale of MBS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MBS sold during the period as of period end.</w:t>
      </w:r>
    </w:p>
    <w:p>
      <w:pPr>
        <w:spacing w:after="0" w:line="15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For the three months ended March 31, 2016 and 2015, we recognized a net unrealized gain of $11 million and $11 million, respectively, for the change in value of investments in interest and principal-only securities in gain (loss) on derivative instruments and other securities, net in our consolidated statements of comprehensive income. Over the same periods, we did not recognize any realized gains or losses on our interest or principal-only securities.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March 31, 2016 and December 31, 2015,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1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connection with our consolidated CMO trusts, we recognized agency securities with a total fair value of $1.0 billion as of March 31, 2016 and December 31, 2015, and debt with a total fair value of $562 million and $595 million, respectively, in our accompanying consolidated balance sheets. As of March 31, 2016 and December 31, 2015, the agency securities had an aggregate unpaid principal balance of $0.9 billion and $1.0 billion, respectively, and the debt had an aggregate unpaid principal balance of $556 million and $587 million, respectively. We re-measure our consolidated debt at fair value through earnings in gain (loss) on derivative instruments and other securities, net in our consolidated statements of comprehensive income. For the three months ended March 31, 2016, we recorded a loss of $5 million associated with our consolidated debt. For the three months ended March 31, 2015, we did not recognize a gain or loss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2016 and December 31, 2015, the fair value of our CMO securities and interest and principal-only securities was $1.3 billion, excluding the consolidated CMO trusts discussed above, or $1.7 billion and $1.8 billion, respectively, including the net asset value of our consolidated CMO trusts. Our maximum exposure to loss related to our CMO securities and interest and principal-only securities, including our consolidated CMO trusts, was $236 million and $238 million as of March 31, 2016 and December 31,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Secured Borrowings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pledge certain of our securities as collateral under our repurchase agreements with financial institutions and under our secured borrowing facility with the Federal Home Loan Bank ("FHLB") of Des Moines.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March 31, 2016, we had met all margin call requirements. For additional information regarding our pledged assets, please refer to Note 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March 31, 2016 and December 31, 2015, we had $45.3 billion and $41.8 billion, respectively, of repurchase agreements outstanding. The terms and conditions of our repurchase agreements are typically negotiated on a transaction-by-transaction basis. Our repurchase agreements with original maturities greater than 90 days have floating interest rates based on an index plus or minus a fixed spread. As of March 31, 2016, all of our repurchase agreements and, as of December 31, 2015, $41.7 billion of our repurchase agreements, were used to fund purchases of agency securities ("agency repo"), with an average borrowing rate of 0.76% and 0.61%, respectively, and a weighted average remaining term to maturity of 184 and 173 days, respectively. The remainder, or $25 million, of our repurchase agreements as of December 31, 2015, were used to fund temporary holdings of U.S. Treasury securities ("U.S. Treasury repo").</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March 31, 2016 and December 31, 2015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2016</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24,531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17,579</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8,941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2,158</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315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902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1,326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1,781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45,276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41,729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45,276</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184</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41,754</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12, 2016, the Federal Housing Finance Agency ("FHFA") released its final rule on FHLB membership, which requires the termination of our wholly-owned captive insurance subsidiary's FHLB membership and repayment of all FHLB advances after a one year period ending in February 2017. As of March 31, 2016 and December 31, 2015, we had $3.0 billion and $3.8 billion, respectively, of outstanding secured FHLB advances, with a weighted average borrowing rate of 0.56% and 0.53%, respectively, and a weighted average remaining term to maturity of 306 and 141 days, respectively, through February 2017, consisting of 30 day and longer-term floating rate advances: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March 31, 2016</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4"/>
              </w:rPr>
              <w:t>FHLB Advances</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20" w:type="dxa"/>
            <w:vAlign w:val="bottom"/>
          </w:tcPr>
          <w:p>
            <w:pPr>
              <w:spacing w:after="0"/>
              <w:rPr>
                <w:sz w:val="12"/>
                <w:szCs w:val="12"/>
                <w:color w:val="auto"/>
              </w:rPr>
            </w:pPr>
          </w:p>
        </w:tc>
        <w:tc>
          <w:tcPr>
            <w:tcW w:w="11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3"/>
              </w:rPr>
              <w:t>FHLB Advances</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 1 month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1,952</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&gt; 1 to ≤ 3 months</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 to ≤ 12 months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306</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80" w:type="dxa"/>
            <w:vAlign w:val="bottom"/>
            <w:gridSpan w:val="2"/>
          </w:tcPr>
          <w:p>
            <w:pPr>
              <w:ind w:left="120"/>
              <w:spacing w:after="0"/>
              <w:rPr>
                <w:sz w:val="20"/>
                <w:szCs w:val="20"/>
                <w:color w:val="auto"/>
              </w:rPr>
            </w:pPr>
            <w:r>
              <w:rPr>
                <w:rFonts w:ascii="Arial" w:cs="Arial" w:eastAsia="Arial" w:hAnsi="Arial"/>
                <w:sz w:val="16"/>
                <w:szCs w:val="16"/>
                <w:color w:val="auto"/>
              </w:rPr>
              <w:t>13 months</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FHLB advances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306</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March 31, 2016 and December 31, 2015, debt of consolidated VIEs, at fair value, was $562 million and $595 million, respectively, and had a weighted average interest rate of LIBOR plus 38 and 34 basis points, respectively, and a principal balance of $556 million and $587 million, respectively. The actual maturities of our debt of consolidated VIEs are generally shorter than the stated contractual maturities. The actual maturities are affected by the contractual lives of the underlying agency MBS securitizing the debt of our consolidated VIEs and periodic principal prepayments of such underlying securities. The estimated weighted average life of the debt of our consolidated VIEs as of March 31, 2016 and December 31, 2015 was 4.5 and 4.9 years,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Financing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March 31, 2016 and December 31, 2015, we had outstanding forward commitments to purchase and sell agency securities through the TBA market at a cost of $6.0 billion and $7.4 billion, respectively (see Notes 3 and 6). These transactions, also referred to as "TBA dollar roll transactions," represent a form of "off-balance sheet" financing and serve to either increase, in the case of forward purchases, or decrease, in the case of forward sales, our total "at risk" leverage. We account for such transactions as one or more series of derivative transactions and report our outstanding TBA commitments at their net carrying value of $41 million and $14 million as of March 31, 2016 and December 31, 2015, respectively, in derivative assets/(liabilities) on our accompanying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The principal instruments that we use are interest rate swaps and interest rate swaptions and U.S. Treasury securities and U.S. Treasury futures contracts, primarily through short sales. We may also utilize TBA securities, purchase or write put or call options on TBA securities or invest in mortgage and other types of derivatives, such as interest and principal-only securities. We also enter into TBA contracts as a means of investing in and financing agency securities (thereby increasing our "at risk" leverage) or as a means of disposing of or reducing our exposure to agency securities (thereby reducing our "at risk" leverage). Our risk management strategy attempts to manage the overall risk of the portfolio, reduce fluctuations in our net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months ended March 31, 2016 and 2015, we reclassified $19 million and $29 million, respectively, of net deferred losses from accumulated OCI into interest expense related to our de-designated interest rate swaps and recognized an equal, but offsetting, amount in other comprehensive income. Our total net periodic interest costs on our swap portfolio for those periods were $108 million and $113 million, respectively. The difference between our total net periodic interest costs on our swap portfolio and the amount recorded in interest expense related to our de-designated hedges is reported in gain (loss) on derivative instruments and other securities, net in our accompanying consolidated statements of comprehensive income (totaling $89 million and $84 million for the three months ended March 31, 2016 and 2015, respectively). As of March 31, 2016, the remaining net deferred loss in accumulated OCI related to de-designated interest rate swaps was $20 million and will be reclassified from OCI into interest expense over a remaining weighted average period of 0.4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 and liabilities as of March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4"/>
                <w:szCs w:val="14"/>
                <w:color w:val="auto"/>
              </w:rPr>
            </w:pPr>
          </w:p>
        </w:tc>
        <w:tc>
          <w:tcPr>
            <w:tcW w:w="42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3"/>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4"/>
        </w:trPr>
        <w:tc>
          <w:tcPr>
            <w:tcW w:w="4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U.S. Treasury securities, at fair value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Obligation to return securities borrowed under reverse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at fair value</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44"/>
        </w:trPr>
        <w:tc>
          <w:tcPr>
            <w:tcW w:w="4580" w:type="dxa"/>
            <w:vAlign w:val="bottom"/>
            <w:gridSpan w:val="2"/>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summarize our interest rate swap agreements outstanding as of March 31, 2016 and December 31, 2015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10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Fixed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Pay Rate 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15,125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7,750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1.94%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6,850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2.63%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14.5</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38,175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1.83%</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0.62%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________________________</w:t>
      </w:r>
    </w:p>
    <w:p>
      <w:pPr>
        <w:spacing w:after="0" w:line="2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$2.7 billion with an average forward start date of 0.9 years and an average maturity of 7.3 years from March 31, 2016.</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1.73% as of March 31,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200" w:lineRule="exact"/>
        <w:rPr>
          <w:sz w:val="20"/>
          <w:szCs w:val="20"/>
          <w:color w:val="auto"/>
        </w:r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2015</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2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14,775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1.06%</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6"/>
                <w:szCs w:val="16"/>
                <w:color w:val="auto"/>
              </w:rPr>
              <w:t>&gt; 3 to ≤ 5 years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9,950</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2.03%</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2.47%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6"/>
                <w:szCs w:val="16"/>
                <w:color w:val="auto"/>
              </w:rPr>
              <w:t>&gt; 7 to ≤ 10 years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2.57%</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3.20%</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44"/>
        </w:trPr>
        <w:tc>
          <w:tcPr>
            <w:tcW w:w="3900" w:type="dxa"/>
            <w:vAlign w:val="bottom"/>
          </w:tcPr>
          <w:p>
            <w:pPr>
              <w:ind w:left="20"/>
              <w:spacing w:after="0"/>
              <w:rPr>
                <w:sz w:val="20"/>
                <w:szCs w:val="20"/>
                <w:color w:val="auto"/>
              </w:rPr>
            </w:pPr>
            <w:r>
              <w:rPr>
                <w:rFonts w:ascii="Arial" w:cs="Arial" w:eastAsia="Arial" w:hAnsi="Arial"/>
                <w:sz w:val="16"/>
                <w:szCs w:val="16"/>
                <w:color w:val="auto"/>
              </w:rPr>
              <w:t>Total payer interest rate swaps</w:t>
            </w:r>
          </w:p>
        </w:tc>
        <w:tc>
          <w:tcPr>
            <w:tcW w:w="202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40,525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1.89%</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4.6</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39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$4.5 billion with an average forward start date of 0.7 years and an average maturity of 5.5 years from December 31, 2015.</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1.75% as of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31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our interest rate payer swaption agreements outstanding as of March 31, 2016 and December 31, 2015 (dollars in millions):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2016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 ≤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3.37%</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7.7</w:t>
            </w:r>
          </w:p>
        </w:tc>
        <w:tc>
          <w:tcPr>
            <w:tcW w:w="0" w:type="dxa"/>
            <w:vAlign w:val="bottom"/>
          </w:tcPr>
          <w:p>
            <w:pPr>
              <w:spacing w:after="0"/>
              <w:rPr>
                <w:sz w:val="1"/>
                <w:szCs w:val="1"/>
                <w:color w:val="auto"/>
              </w:rPr>
            </w:pPr>
          </w:p>
        </w:tc>
      </w:tr>
      <w:tr>
        <w:trPr>
          <w:trHeight w:val="284"/>
        </w:trPr>
        <w:tc>
          <w:tcPr>
            <w:tcW w:w="34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 1 year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Treasury securities as of March 31, 2016 and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3"/>
                <w:szCs w:val="13"/>
                <w:color w:val="auto"/>
              </w:rPr>
            </w:pPr>
          </w:p>
        </w:tc>
        <w:tc>
          <w:tcPr>
            <w:tcW w:w="13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120" w:type="dxa"/>
            <w:vAlign w:val="bottom"/>
          </w:tcPr>
          <w:p>
            <w:pPr>
              <w:spacing w:after="0"/>
              <w:rPr>
                <w:sz w:val="13"/>
                <w:szCs w:val="13"/>
                <w:color w:val="auto"/>
              </w:rPr>
            </w:pPr>
          </w:p>
        </w:tc>
        <w:tc>
          <w:tcPr>
            <w:tcW w:w="11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9"/>
              </w:rPr>
              <w:t>Market Value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42"/>
              <w:spacing w:after="0" w:line="153" w:lineRule="exact"/>
              <w:rPr>
                <w:sz w:val="20"/>
                <w:szCs w:val="20"/>
                <w:color w:val="auto"/>
              </w:rPr>
            </w:pPr>
            <w:r>
              <w:rPr>
                <w:rFonts w:ascii="Arial" w:cs="Arial" w:eastAsia="Arial" w:hAnsi="Arial"/>
                <w:sz w:val="14"/>
                <w:szCs w:val="14"/>
                <w:b w:val="1"/>
                <w:bCs w:val="1"/>
                <w:color w:val="auto"/>
                <w:w w:val="92"/>
              </w:rPr>
              <w:t>Face Amount 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Long / (Short)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 / (Short)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44"/>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Treasury futures as of March 31, 2016 and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18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900" w:type="dxa"/>
            <w:vAlign w:val="bottom"/>
            <w:gridSpan w:val="2"/>
          </w:tcPr>
          <w:p>
            <w:pPr>
              <w:jc w:val="right"/>
              <w:ind w:right="10"/>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(1,130)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U.S. Treasury futures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U.S. Treasury futures as of period-end and is reported in derivative assets / (liabilities),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tables summarize our TBA securities as of March 31, 2016 and December 31, 2015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300" w:type="dxa"/>
            <w:vAlign w:val="bottom"/>
            <w:tcBorders>
              <w:bottom w:val="single" w:sz="8" w:color="CCEEFF"/>
            </w:tcBorders>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15-Year TBAs</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30-Year TBAs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5,700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5,865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5,906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7,014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7,135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7,150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r>
      <w:tr>
        <w:trPr>
          <w:trHeight w:val="283"/>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5,813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5,983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6,024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7,295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7,430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7,444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r>
      <w:tr>
        <w:trPr>
          <w:trHeight w:val="278"/>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1"/>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Fannie Mae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4,172</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4,278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4,312</w:t>
            </w:r>
          </w:p>
        </w:tc>
        <w:tc>
          <w:tcPr>
            <w:tcW w:w="120" w:type="dxa"/>
            <w:vAlign w:val="bottom"/>
          </w:tcPr>
          <w:p>
            <w:pPr>
              <w:spacing w:after="0"/>
              <w:rPr>
                <w:sz w:val="21"/>
                <w:szCs w:val="21"/>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6,145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6,159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Freddie Mac</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Ginnie Mae</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488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5,813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5,983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7,295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7,430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7,444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the three months ended March 31, 2016 and 2015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880"/>
              <w:spacing w:after="0"/>
              <w:rPr>
                <w:sz w:val="20"/>
                <w:szCs w:val="20"/>
                <w:color w:val="auto"/>
              </w:rPr>
            </w:pPr>
            <w:r>
              <w:rPr>
                <w:rFonts w:ascii="Arial" w:cs="Arial" w:eastAsia="Arial" w:hAnsi="Arial"/>
                <w:sz w:val="14"/>
                <w:szCs w:val="14"/>
                <w:b w:val="1"/>
                <w:bCs w:val="1"/>
                <w:color w:val="auto"/>
              </w:rPr>
              <w:t>Three Months Ended March 31, 2016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2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March 31, 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7,295</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17,959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5,813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(40,525)</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3,350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(38,175)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right="20" w:hanging="568"/>
        <w:spacing w:after="0" w:line="255" w:lineRule="auto"/>
        <w:tabs>
          <w:tab w:leader="none" w:pos="6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a net loss of $5 million from debt of consolidated VIEs, a net gain of $11 million from interest and principal-only securities and other miscellaneous net gains of $12 million recognized in gain (loss) on derivative instruments and other securities, net in our consolidated statements of comprehensive income.</w:t>
      </w:r>
    </w:p>
    <w:p>
      <w:pPr>
        <w:sectPr>
          <w:pgSz w:w="11900" w:h="16838" w:orient="portrait"/>
          <w:cols w:equalWidth="0" w:num="1">
            <w:col w:w="11420"/>
          </w:cols>
          <w:pgMar w:left="240" w:top="746"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880"/>
              <w:spacing w:after="0"/>
              <w:rPr>
                <w:sz w:val="20"/>
                <w:szCs w:val="20"/>
                <w:color w:val="auto"/>
              </w:rPr>
            </w:pPr>
            <w:r>
              <w:rPr>
                <w:rFonts w:ascii="Arial" w:cs="Arial" w:eastAsia="Arial" w:hAnsi="Arial"/>
                <w:sz w:val="14"/>
                <w:szCs w:val="14"/>
                <w:b w:val="1"/>
                <w:bCs w:val="1"/>
                <w:color w:val="auto"/>
              </w:rPr>
              <w:t>Three Months Ended March 31, 2015</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March 31, 2015</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45,500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4,873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(44,925)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15,562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4,261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a net gain of $2 million from investments in REIT equity securities and a net gain of $11 million from interest and principal-only securities recognized in gain (loss) on derivative instruments and other securities, net in our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interest rate swap agreements and TBA contracts. If we breach our collateral requirements, we will be required to fully settle our obligations under the agreements, which could include a forced liquidation of our pledged collateral.</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Additionally, the FHLB of Des Moines may adjust the haircut on our outstanding FHLB advances at any time prior to maturity. As a condition of our membership in the FHLB of Des Moines, we are also obligated to purchase membership and activity-based stock in the FHLB based upon the aggregate amount of advances obtained from the FHLB.</w:t>
      </w:r>
    </w:p>
    <w:p>
      <w:pPr>
        <w:spacing w:after="0" w:line="13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March 31, 2016,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2016, our maximum amount at risk with any counterparty related to our repurchase agreements was 5% of our stockholders' equity and our maximum amount at risk with any counterparty related to our interest rate swap and swaption agreements, excluding centrally cleared swaps, was less than 1% of our stockholders' equity.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March 31, 2016 and December 31, 2015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680" w:type="dxa"/>
            <w:vAlign w:val="bottom"/>
            <w:gridSpan w:val="5"/>
          </w:tcPr>
          <w:p>
            <w:pPr>
              <w:jc w:val="right"/>
              <w:ind w:right="340"/>
              <w:spacing w:after="0" w:line="153" w:lineRule="exact"/>
              <w:rPr>
                <w:sz w:val="20"/>
                <w:szCs w:val="20"/>
                <w:color w:val="auto"/>
              </w:rPr>
            </w:pPr>
            <w:r>
              <w:rPr>
                <w:rFonts w:ascii="Arial" w:cs="Arial" w:eastAsia="Arial" w:hAnsi="Arial"/>
                <w:sz w:val="14"/>
                <w:szCs w:val="14"/>
                <w:b w:val="1"/>
                <w:bCs w:val="1"/>
                <w:color w:val="auto"/>
                <w:w w:val="93"/>
              </w:rPr>
              <w:t>Debt of Consolidated</w:t>
            </w: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VIEs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51,276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53,022</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AAA non-agency MBS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51,535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54,968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2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Includes $243 million of retained interests in our consolidated VIEs pledged as collateral under repurchase agreements.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49,654</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AAA non-agency MBS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48,288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51,213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color w:val="auto"/>
        </w:rPr>
        <w:t>1. Includes $245 million of retained interests in our consolidated VIEs pledged as collateral under repurchase agreements.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2016 and December 31, 2015, we held $126 million and $150 million, respectively, of membership and activity-based stock in the FHLB of Des Moines. FHLB stock is reported at cost, which equals par value, in other assets on our accompanying consolidated balance sheets. FHLB stock can only be redeemed or sold at its par value, and only to the FHLB of Des Moines.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and FHLB advances by the remaining maturity of our borrowings, including securities pledged related to sold but not yet settled securities, as of March 31, 2016 and December 31, 2015 (in millions). For the corresponding borrowings associated with the following amounts and the interest rates thereon, refer to Note 5</w:t>
      </w:r>
      <w:r>
        <w:rPr>
          <w:rFonts w:ascii="Arial" w:cs="Arial" w:eastAsia="Arial" w:hAnsi="Arial"/>
          <w:sz w:val="17"/>
          <w:szCs w:val="17"/>
          <w:i w:val="1"/>
          <w:iCs w:val="1"/>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1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9"/>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MBS: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25,578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25,250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20,053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20,075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7,525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16,094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Total 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51,388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50,687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48,105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48,127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51,388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50,687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48,152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right="16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$243 million and $245 million of retained interests in our consolidated VIEs pledged as collateral under repurchase agreements, as of March 31, 2016 and December 31, 2015, respectively.</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2016 and December 31, 2015, none of our borrowings backed by MBS were due on demand or mature overnight.</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4 and 5 for additional information regarding our consolidated VIEs.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2016 and December 31, 2015, we had U.S. Treasury securities pledged to us from counterparties as collateral under our reverse repurchase agreements of $3.2 billion and $1.7 billion, respectively. 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68" w:right="239" w:bottom="1440" w:gutter="0" w:footer="0" w:header="0"/>
        </w:sectPr>
      </w:pPr>
    </w:p>
    <w:bookmarkStart w:id="22" w:name="page23"/>
    <w:bookmarkEnd w:id="22"/>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March 31, 2016 and December 31, 2015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2016</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3,163</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3,175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3,175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(2,671)</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1,651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1,651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48,313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(45,654)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49,964</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49,964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(2,671)</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(47,282)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(44,151)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46,427</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months ended March 31, 2016.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March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54,950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51,331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8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fair value of the MBS transferred to consolidated VIEs, less the fair value of our retained interests, which are based on valuations obtained from third-party pricing services and non-binding dealer quotes derived from common market pricing methods using "Level 2" inputs.</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March 31, 2016,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April 2012, we completed a public offering in which 6.9 million shares of our Series A Preferred Stock were sold to the underwriters at a price of $24.2125 per share for proceeds, net of offering expenses, of $167 million. In May 2014, we completed a public offering in which 7.0 million depositary shares were sold to the underwriters at a price of $24.2125 per depositary share for proceeds, net of offering expenses, of $169 million. Each depositary share represents a 1/1,000th interest in a share of our Series B Preferred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jc w:val="both"/>
        <w:ind w:firstLine="405"/>
        <w:spacing w:after="0" w:line="289" w:lineRule="auto"/>
        <w:rPr>
          <w:sz w:val="20"/>
          <w:szCs w:val="20"/>
          <w:color w:val="auto"/>
        </w:rPr>
      </w:pPr>
      <w:r>
        <w:rPr>
          <w:rFonts w:ascii="Arial" w:cs="Arial" w:eastAsia="Arial" w:hAnsi="Arial"/>
          <w:sz w:val="16"/>
          <w:szCs w:val="16"/>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March 31, 2016, we had declared all required quarterly dividends on our Series A and Series B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$2 billion.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2016, we repurchased 6.5 million shares of our common stock at an average repurchase price of $17.89 per share, including expenses, totaling $116 million. We did not repurchase any shares of our common stock during the three months ended March 31, 2015. As of March 31, 2016, the total remaining amount authorized for repurchases of our common stock was $0.6 billion.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months ended March 31, 2016 and 2015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1"/>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ind w:left="440"/>
        <w:spacing w:after="0"/>
        <w:rPr>
          <w:sz w:val="20"/>
          <w:szCs w:val="20"/>
          <w:color w:val="auto"/>
        </w:rPr>
      </w:pPr>
      <w:r>
        <w:rPr>
          <w:rFonts w:ascii="Arial" w:cs="Arial" w:eastAsia="Arial" w:hAnsi="Arial"/>
          <w:sz w:val="17"/>
          <w:szCs w:val="17"/>
          <w:color w:val="auto"/>
        </w:rPr>
        <w:t>The following table summarizes reclassifications out of accumulated OCI for the three months ended March 31, 2016 and 2015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1"/>
              <w:spacing w:after="0"/>
              <w:rPr>
                <w:sz w:val="20"/>
                <w:szCs w:val="20"/>
                <w:color w:val="auto"/>
              </w:rPr>
            </w:pPr>
            <w:r>
              <w:rPr>
                <w:rFonts w:ascii="Arial" w:cs="Arial" w:eastAsia="Arial" w:hAnsi="Arial"/>
                <w:sz w:val="14"/>
                <w:szCs w:val="14"/>
                <w:b w:val="1"/>
                <w:bCs w:val="1"/>
                <w:color w:val="auto"/>
                <w:w w:val="93"/>
              </w:rPr>
              <w:t>Three Months Ended March</w:t>
            </w:r>
          </w:p>
        </w:tc>
        <w:tc>
          <w:tcPr>
            <w:tcW w:w="120" w:type="dxa"/>
            <w:vAlign w:val="bottom"/>
          </w:tcPr>
          <w:p>
            <w:pPr>
              <w:spacing w:after="0"/>
              <w:rPr>
                <w:sz w:val="14"/>
                <w:szCs w:val="14"/>
                <w:color w:val="auto"/>
              </w:rPr>
            </w:pPr>
          </w:p>
        </w:tc>
        <w:tc>
          <w:tcPr>
            <w:tcW w:w="3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gridSpan w:val="3"/>
          </w:tcPr>
          <w:p>
            <w:pPr>
              <w:jc w:val="right"/>
              <w:ind w:right="180"/>
              <w:spacing w:after="0" w:line="145" w:lineRule="exact"/>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(Gain) loss amounts reclassified from accumulated OCI for available-for-sale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 upon realization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(loss) on sale of mortgage-backed securities, net</w:t>
            </w:r>
          </w:p>
        </w:tc>
        <w:tc>
          <w:tcPr>
            <w:tcW w:w="0" w:type="dxa"/>
            <w:vAlign w:val="bottom"/>
          </w:tcPr>
          <w:p>
            <w:pPr>
              <w:spacing w:after="0"/>
              <w:rPr>
                <w:sz w:val="1"/>
                <w:szCs w:val="1"/>
                <w:color w:val="auto"/>
              </w:rPr>
            </w:pPr>
          </w:p>
        </w:tc>
      </w:tr>
      <w:tr>
        <w:trPr>
          <w:trHeight w:val="220"/>
        </w:trPr>
        <w:tc>
          <w:tcPr>
            <w:tcW w:w="5380" w:type="dxa"/>
            <w:vAlign w:val="bottom"/>
            <w:gridSpan w:val="2"/>
          </w:tcPr>
          <w:p>
            <w:pPr>
              <w:ind w:left="40"/>
              <w:spacing w:after="0"/>
              <w:rPr>
                <w:sz w:val="20"/>
                <w:szCs w:val="20"/>
                <w:color w:val="auto"/>
              </w:rPr>
            </w:pPr>
            <w:r>
              <w:rPr>
                <w:rFonts w:ascii="Arial" w:cs="Arial" w:eastAsia="Arial" w:hAnsi="Arial"/>
                <w:sz w:val="16"/>
                <w:szCs w:val="16"/>
                <w:color w:val="auto"/>
                <w:w w:val="96"/>
              </w:rPr>
              <w:t>Periodic interest costs of interest rate swaps previously designated as hedges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under GAAP, net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3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April 12, 2016, our Board of Directors declared a monthly dividend of $0.20 per common share, which will be paid on May 9, 2016, to common stockholders of record as of April 29,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American Capital Agency Corp.'s consolidated financial statements with a narrative from the perspective of management, and should be read in conjunction with the consolidated financial statements and accompanying notes included in this Quarterly Report on Form 10-Q for the three months ended March 31, 2016.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MBS").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book value (also referred to as "net asset value", "NAV" and "stockholders' equity"). We fund our investments primarily through borrowings structured as repurchase agreements ("repo").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strategy is designed to:</w:t>
      </w:r>
    </w:p>
    <w:p>
      <w:pPr>
        <w:spacing w:after="0" w:line="171" w:lineRule="exact"/>
        <w:rPr>
          <w:sz w:val="20"/>
          <w:szCs w:val="20"/>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that seeks to generate attractive risk-adjusted returns;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AAA non-agency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regular monthly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unemployment rates, general economic conditions, government participation in the mortgage market and evolving regulations or legal settlements that impact servicing practices or other mortgage related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Consequently, while we use interest rate swaps and other hedges to attempt to protect our net book value against moves in interest rates, we may not hedge certain interest rate, prepayment or extension risks if our Manager believes that bearing such risks enhances our return relative to our risk/return profile, or the hedging transaction would negatively impact our REIT status.</w:t>
      </w:r>
    </w:p>
    <w:p>
      <w:pPr>
        <w:spacing w:after="0" w:line="13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also be no certainty that our Manager's projections of our exposures to interest rates, prepayments, extension or other risks will be accurate or that our hedging activities will be effective and, therefore, actual results could differ materially. Furthermore, since our hedging strategies are generally not designed to protect our net book value from spread risk, wider spreads between the market yield on our investment securities and benchmark interests underlying our interest rate hedges will typically cause our net book value to decline and can occur independent of changes in benchmark interest rates. For further discussion of our market risks and risk management strategy, please refer to “Quantitative and Qualitative Disclosures about Market Risk” under Item 3 of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Following the Federal Reserve's (the "Fed") first Federal Funds Rate increase in nearly ten years in December 2015, interest rates across much of the yield curve fell materially during the first quarter of 2016 as concerns regarding global economic weakness dampened the market’s expectations with respect to U.S. economic growth, inflation and the pace of monetary policy normalization. Consistent with this weaker outlook, at its March meeting, the Fed significantly reduced its expectations for short term interest rate increases and explicitly acknowledged the potential downside risk to the U.S. economy associated with the deteriorating global landscape. This weaker global growth also led to significant additional easing measures by the European Central Bank and the Bank of Japan, with the latter instituting negative interest rates for the first time.</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Against this backdrop, the 10 year swap rate in the U.S. moved significantly during the first quarter, declining 70 basis points from 2.19% at the beginning of the quarter to a low of 1.49% in early February, ultimately closing the quarter at 1.64%, a 55 basis point decline for the quarter. The 10 year U.S. Treasury rate performed slightly better, closing the quarter down 49 basis points. The aggregate spread differential between the market yield on agency MBS and benchmark interest rates underlying our interest rate hedges widened modestly during the quarter and was the primary driver of the -2.2% decline in our net book value per common share to $22.09 per common share as of March 31, 2016, from $22.59 per common share as of December 31, 2015. Taking into account the $0.60 per common share of dividends declared during the first quarter, our economic return was 0.4% for the quarter, or 1.8% on an annualized basis.</w:t>
      </w:r>
    </w:p>
    <w:p>
      <w:pPr>
        <w:spacing w:after="0" w:line="1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continue to believe that rates in the U.S. will remain "lower for longer." This more benign interest rate environment, when coupled with increasingly attractive investment opportunities in agency MBS, should be supportive of improved economic returns for our stockholders. Given this view, we chose to increase our "at risk" leverage level again during the first quarter to 7.3x as of March 31, 2016, compared to 6.8x as of December 31, 2015 and a low of 6.1x as of June 30, 2015. We also repurchased 6.5 million shares, or 1.9%, of our common stock during the quarter.</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weighted average net interest margin declined during the first quarter due to the combination of (i) lower asset yields, due to higher prepayment expectations following the decline in interest rates and the resultant "catch-up" premium amortization expense recognized during the quarter, and (ii) an increase in our average funding costs, largely due to higher repo costs following the Fed's December rate increase and timing differences between the rate reset on our repo positions and the rate reset on the receive-floating rate leg of our pay-fixed interest rate swaps.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outstanding balance of our hedge portfolio declined to 83% from 87% of our repo, FHLB advances, other debt and net TBA position as of March 31, 2016 and December 31, 2015, respectively. In addition, the composition of our hedges shifted slightly toward a greater portion of U.S. Treasury hedges in our overall hedge mix, as we favored using a greater share of U.S. Treasury-based hedges in the current environment given the heightened risk associated with swap spreads. The significant drop in interest rates during the quarter also led to a reduction in our net duration gap from 0.8 years as of December 31, 2015 to a zero net duration gap as of the end of the first quarter. During periods of low interest rate levels where the risk is skewed towards higher interest rates, we will generally operate with a smaller, or even negative, net duration gap. For the estimated impact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changes in interests rates and mortgage spreads on our net book value please refer to "Quantitative and Qualitative Disclosures about Market Risk" under Item 3 of this Quarterly Report on Form 10-Q.</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 31,</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Sept.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 31,</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 31, 2016</w:t>
            </w:r>
          </w:p>
        </w:tc>
        <w:tc>
          <w:tcPr>
            <w:tcW w:w="0" w:type="dxa"/>
            <w:vAlign w:val="bottom"/>
          </w:tcPr>
          <w:p>
            <w:pPr>
              <w:spacing w:after="0"/>
              <w:rPr>
                <w:sz w:val="1"/>
                <w:szCs w:val="1"/>
                <w:color w:val="auto"/>
              </w:rPr>
            </w:pPr>
          </w:p>
        </w:tc>
      </w:tr>
      <w:tr>
        <w:trPr>
          <w:trHeight w:val="149"/>
        </w:trPr>
        <w:tc>
          <w:tcPr>
            <w:tcW w:w="43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Dec. 31, 2015</w:t>
            </w:r>
          </w:p>
        </w:tc>
        <w:tc>
          <w:tcPr>
            <w:tcW w:w="10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 31, 2015</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0.18%</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0.19%</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0.19%</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0.43%</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0.44%</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0.27%</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0.40%</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0.44%</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0.53%</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0.85%</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0.90%</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+0.05</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0.56%</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0.64%</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0.64%</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1.06%</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0.73%</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-0.33</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0.88%</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1.37%</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1.63%</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1.37%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1.22%</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-0.55</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1.93%</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2.27%</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2.54%</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3.10%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2.88%</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3.01%</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-0.39</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0.81%</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0.89%</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0.76%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1.17%</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0.85%</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-0.32</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1.53%</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1.40%</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1.73%</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1.18%</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-0.55</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2.03%</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2.19%</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2.92%</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2.62%</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2.13%</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-0.49</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$102.25</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$99.58</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$101.34</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$100.01</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$102.59</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+$2.58</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$105.05</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$103.02</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$104.31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$103.18</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$104.86</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+$1.68</w:t>
            </w:r>
          </w:p>
        </w:tc>
        <w:tc>
          <w:tcPr>
            <w:tcW w:w="0" w:type="dxa"/>
            <w:vAlign w:val="bottom"/>
          </w:tcPr>
          <w:p>
            <w:pPr>
              <w:spacing w:after="0"/>
              <w:rPr>
                <w:sz w:val="1"/>
                <w:szCs w:val="1"/>
                <w:color w:val="auto"/>
              </w:rPr>
            </w:pPr>
          </w:p>
        </w:tc>
      </w:tr>
      <w:tr>
        <w:trPr>
          <w:trHeight w:val="264"/>
        </w:trPr>
        <w:tc>
          <w:tcPr>
            <w:tcW w:w="438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$106.92</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$105.91</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$106.67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$105.83</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$106.86</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+$1.03</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$109.08</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$108.09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$108.41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$108.00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$108.82</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+$0.82</w:t>
            </w:r>
          </w:p>
        </w:tc>
        <w:tc>
          <w:tcPr>
            <w:tcW w:w="0" w:type="dxa"/>
            <w:vAlign w:val="bottom"/>
          </w:tcPr>
          <w:p>
            <w:pPr>
              <w:spacing w:after="0"/>
              <w:rPr>
                <w:sz w:val="1"/>
                <w:szCs w:val="1"/>
                <w:color w:val="auto"/>
              </w:rPr>
            </w:pPr>
          </w:p>
        </w:tc>
      </w:tr>
      <w:tr>
        <w:trPr>
          <w:trHeight w:val="264"/>
        </w:trPr>
        <w:tc>
          <w:tcPr>
            <w:tcW w:w="450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$101.17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$100.80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$102.66</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+$1.86</w:t>
            </w:r>
          </w:p>
        </w:tc>
        <w:tc>
          <w:tcPr>
            <w:tcW w:w="0" w:type="dxa"/>
            <w:vAlign w:val="bottom"/>
          </w:tcPr>
          <w:p>
            <w:pPr>
              <w:spacing w:after="0"/>
              <w:rPr>
                <w:sz w:val="1"/>
                <w:szCs w:val="1"/>
                <w:color w:val="auto"/>
              </w:rPr>
            </w:pPr>
          </w:p>
        </w:tc>
      </w:tr>
      <w:tr>
        <w:trPr>
          <w:trHeight w:val="264"/>
        </w:trPr>
        <w:tc>
          <w:tcPr>
            <w:tcW w:w="438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$104.83</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$103.57</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$104.11</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$103.02</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$104.47</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+$1.45</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$106.09</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$105.61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$104.72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$105.59</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+$0.87</w:t>
            </w:r>
          </w:p>
        </w:tc>
        <w:tc>
          <w:tcPr>
            <w:tcW w:w="0" w:type="dxa"/>
            <w:vAlign w:val="bottom"/>
          </w:tcPr>
          <w:p>
            <w:pPr>
              <w:spacing w:after="0"/>
              <w:rPr>
                <w:sz w:val="1"/>
                <w:szCs w:val="1"/>
                <w:color w:val="auto"/>
              </w:rPr>
            </w:pPr>
          </w:p>
        </w:tc>
      </w:tr>
      <w:tr>
        <w:trPr>
          <w:trHeight w:val="256"/>
        </w:trPr>
        <w:tc>
          <w:tcPr>
            <w:tcW w:w="438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$105.59</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$105.06</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$104.77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$104.41</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$104.31</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0"/>
              </w:rPr>
              <w:t>-$0.10</w:t>
            </w:r>
          </w:p>
        </w:tc>
        <w:tc>
          <w:tcPr>
            <w:tcW w:w="0" w:type="dxa"/>
            <w:vAlign w:val="bottom"/>
          </w:tcPr>
          <w:p>
            <w:pPr>
              <w:spacing w:after="0"/>
              <w:rPr>
                <w:sz w:val="1"/>
                <w:szCs w:val="1"/>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the weighted average actual one-month annualized constant prepayment rates on our investment portfolio for the three months ended March 31, 2016. The weighted average projected CPR for the remaining life of our investment securities held as of March 31, 2016 was 10.2%, an increase from 8.4% as of December 31, 2015.</w:t>
      </w:r>
    </w:p>
    <w:p>
      <w:pPr>
        <w:spacing w:after="0" w:line="269"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00" w:type="dxa"/>
            <w:vAlign w:val="bottom"/>
            <w:vMerge w:val="restart"/>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w:t>
            </w: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Mar.</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AGNC portfolio</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-163195</wp:posOffset>
            </wp:positionV>
            <wp:extent cx="475107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2016 and December 31, 2015, our investment portfolio consisted of $56.1 billion and $52.5 billion of MBS, respectively, and a $6.0 billion and $7.4 billion net long TBA position, at fair value, respectively. The following table is a summary of our investment portfolio as of March 31, 2016 and December 31, 2015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March 31, 2016</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MBS and TBA Securities</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16,242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16,565</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17,020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17,158</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1,066</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36,312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36,642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32,790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32,570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5,865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5,906</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7,150</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42,177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42,548</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39,720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59,445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60,179</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58,006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57,966</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Adjustable rate agency securities</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 non-agency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securities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1,317</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1,343</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 and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62,079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59,894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59,917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March 31, 2016 and December 31, 2015, our TBA position had a net carrying value of $41 million and $14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1" w:name="page32"/>
    <w:bookmarkEnd w:id="31"/>
    <w:p>
      <w:pPr>
        <w:ind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MBS fixed rate portfolio, inclusive of our net TBA position as of March 31, 2016 and December 31, 2015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jc w:val="right"/>
              <w:ind w:right="2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Agency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44%</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4,203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25%</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16,565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74%</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105.8%</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5.89%</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4.02%</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6,776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12,700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13,530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13,649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4.53%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6.21%</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40,240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42,177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42,548</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48%</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4.25%</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60,179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for 15-year and 30-year securities, respectively, as of March 31, 2016.</w:t>
      </w:r>
    </w:p>
    <w:p>
      <w:pPr>
        <w:jc w:val="both"/>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111% and 131% for 15-year and 30-year securities, respectively, as of March 31, 2016. Includes $0.9 billion and $5.2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March 31,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28%</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106.1%</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12,888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13,733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13,687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57,966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$98,000 for 15-year and 30-year securities, respectively, as of December 31, 2015.</w:t>
      </w:r>
    </w:p>
    <w:p>
      <w:pPr>
        <w:ind w:left="980" w:hanging="648"/>
        <w:spacing w:after="0" w:line="241" w:lineRule="auto"/>
        <w:tabs>
          <w:tab w:leader="none" w:pos="6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110% and 127% for 15-year and 30-year securities, respectively, as of December 31, 2015. Includes $0.9 billion and $4.0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2015.</w:t>
      </w:r>
    </w:p>
    <w:p>
      <w:pPr>
        <w:spacing w:after="0" w:line="1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2016 and December 31, 2015, the combined weighted average yield of our MBS portfolio, inclusive of interest and principal-only securities and AAA non-agency securities, was 2.72% and 2.78%, respectively.</w:t>
      </w:r>
    </w:p>
    <w:p>
      <w:pPr>
        <w:spacing w:after="0" w:line="11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pass-through agency MBS collateralized by adjustable rate mortgage loans, or ARMs, have coupons linked to various indices. As of March 31, 2016 and December 31, 2015, our ARM securities had a weighted average next reset date of 44 months and 46 months,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"net interest rate spread." By providing users of our financial information with such measures in addition to the related GAAP measures, we believe it gives users greater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68" w:right="2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7"/>
          <w:szCs w:val="17"/>
          <w:color w:val="auto"/>
        </w:rPr>
        <w:t>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 (ii) in the case of net spread and dollar roll income, our current financial performance without the effects of certain transactions that are not necessarily indicative of our current investment portfolio and operations, and (iii) in the case of estimated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1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2016 and December 31, 2015 and our condensed consolidated statements of comprehensive income and key statistics for the three months ended March 31, 2016 and 2015 (in millions, except per share amounts):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in millions, except per share amounts)</w:t>
      </w:r>
    </w:p>
    <w:p>
      <w:pPr>
        <w:spacing w:after="0" w:line="5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2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7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portfolio,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56,055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52,473</w:t>
            </w:r>
          </w:p>
        </w:tc>
        <w:tc>
          <w:tcPr>
            <w:tcW w:w="0" w:type="dxa"/>
            <w:vAlign w:val="bottom"/>
          </w:tcPr>
          <w:p>
            <w:pPr>
              <w:spacing w:after="0"/>
              <w:rPr>
                <w:sz w:val="1"/>
                <w:szCs w:val="1"/>
                <w:color w:val="auto"/>
              </w:rPr>
            </w:pP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62,396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57,021</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Federal Home Loan Bank advances and other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46,102</w:t>
            </w:r>
          </w:p>
        </w:tc>
        <w:tc>
          <w:tcPr>
            <w:tcW w:w="0" w:type="dxa"/>
            <w:vAlign w:val="bottom"/>
          </w:tcPr>
          <w:p>
            <w:pPr>
              <w:spacing w:after="0"/>
              <w:rPr>
                <w:sz w:val="1"/>
                <w:szCs w:val="1"/>
                <w:color w:val="auto"/>
              </w:rPr>
            </w:pP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54,736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49,050</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7,971</w:t>
            </w:r>
          </w:p>
        </w:tc>
        <w:tc>
          <w:tcPr>
            <w:tcW w:w="0" w:type="dxa"/>
            <w:vAlign w:val="bottom"/>
          </w:tcPr>
          <w:p>
            <w:pPr>
              <w:spacing w:after="0"/>
              <w:rPr>
                <w:sz w:val="1"/>
                <w:szCs w:val="1"/>
                <w:color w:val="auto"/>
              </w:rPr>
            </w:pPr>
          </w:p>
        </w:tc>
      </w:tr>
      <w:tr>
        <w:trPr>
          <w:trHeight w:val="311"/>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2015</w:t>
            </w:r>
          </w:p>
        </w:tc>
      </w:tr>
      <w:tr>
        <w:trPr>
          <w:trHeight w:val="236"/>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383</w:t>
            </w:r>
          </w:p>
        </w:tc>
      </w:tr>
      <w:tr>
        <w:trPr>
          <w:trHeight w:val="27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86</w:t>
            </w: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297</w:t>
            </w:r>
          </w:p>
        </w:tc>
      </w:tr>
      <w:tr>
        <w:trPr>
          <w:trHeight w:val="25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Other loss, net </w:t>
            </w:r>
            <w:r>
              <w:rPr>
                <w:rFonts w:ascii="Arial" w:cs="Arial" w:eastAsia="Arial" w:hAnsi="Arial"/>
                <w:sz w:val="21"/>
                <w:szCs w:val="21"/>
                <w:color w:val="auto"/>
                <w:vertAlign w:val="superscript"/>
              </w:rPr>
              <w:t>2</w:t>
            </w: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(513)</w:t>
            </w:r>
          </w:p>
        </w:tc>
      </w:tr>
      <w:tr>
        <w:trPr>
          <w:trHeight w:val="27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w:t>
            </w:r>
          </w:p>
        </w:tc>
      </w:tr>
      <w:tr>
        <w:trPr>
          <w:trHeight w:val="21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(252)</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w:t>
            </w:r>
          </w:p>
        </w:tc>
      </w:tr>
      <w:tr>
        <w:trPr>
          <w:trHeight w:val="284"/>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(259)</w:t>
            </w:r>
          </w:p>
        </w:tc>
      </w:tr>
      <w:tr>
        <w:trPr>
          <w:trHeight w:val="284"/>
        </w:trPr>
        <w:tc>
          <w:tcPr>
            <w:tcW w:w="7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(252)</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Other comprehensive income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420</w:t>
            </w:r>
          </w:p>
        </w:tc>
      </w:tr>
      <w:tr>
        <w:trPr>
          <w:trHeight w:val="21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168</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7</w:t>
            </w:r>
          </w:p>
        </w:tc>
      </w:tr>
      <w:tr>
        <w:trPr>
          <w:trHeight w:val="284"/>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available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161</w:t>
            </w:r>
          </w:p>
        </w:tc>
      </w:tr>
      <w:tr>
        <w:trPr>
          <w:trHeight w:val="284"/>
        </w:trPr>
        <w:tc>
          <w:tcPr>
            <w:tcW w:w="7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9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352.8</w:t>
            </w:r>
          </w:p>
        </w:tc>
      </w:tr>
      <w:tr>
        <w:trPr>
          <w:trHeight w:val="237"/>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 per common share -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(0.73)</w:t>
            </w:r>
          </w:p>
        </w:tc>
      </w:tr>
      <w:tr>
        <w:trPr>
          <w:trHeight w:val="20"/>
        </w:trPr>
        <w:tc>
          <w:tcPr>
            <w:tcW w:w="78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7"/>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loss per common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0.46</w:t>
            </w:r>
          </w:p>
        </w:tc>
      </w:tr>
      <w:tr>
        <w:trPr>
          <w:trHeight w:val="237"/>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0.66</w:t>
            </w:r>
          </w:p>
        </w:tc>
      </w:tr>
      <w:tr>
        <w:trPr>
          <w:trHeight w:val="20"/>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642"/>
        </w:trPr>
        <w:tc>
          <w:tcPr>
            <w:tcW w:w="7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Data (unaudited)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2015</w:t>
            </w:r>
          </w:p>
        </w:tc>
      </w:tr>
      <w:tr>
        <w:trPr>
          <w:trHeight w:val="236"/>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investment securities - at par</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89"/>
              </w:rPr>
              <w:t>$48,687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89"/>
              </w:rPr>
              <w:t>$56,874</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Average investment securities - at cost</w:t>
            </w:r>
          </w:p>
        </w:tc>
        <w:tc>
          <w:tcPr>
            <w:tcW w:w="160" w:type="dxa"/>
            <w:vAlign w:val="bottom"/>
          </w:tcPr>
          <w:p>
            <w:pPr>
              <w:spacing w:after="0"/>
              <w:rPr>
                <w:sz w:val="20"/>
                <w:szCs w:val="20"/>
                <w:color w:val="auto"/>
              </w:rPr>
            </w:pP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89"/>
              </w:rPr>
              <w:t>$50,897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39"/>
              <w:spacing w:after="0"/>
              <w:rPr>
                <w:sz w:val="20"/>
                <w:szCs w:val="20"/>
                <w:color w:val="auto"/>
              </w:rPr>
            </w:pPr>
            <w:r>
              <w:rPr>
                <w:rFonts w:ascii="Arial" w:cs="Arial" w:eastAsia="Arial" w:hAnsi="Arial"/>
                <w:sz w:val="16"/>
                <w:szCs w:val="16"/>
                <w:color w:val="auto"/>
                <w:w w:val="89"/>
              </w:rPr>
              <w:t>$59,479</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net TBA portfolio - at cost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89"/>
              </w:rPr>
              <w:t>$8,144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89"/>
              </w:rPr>
              <w:t>$6,957</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Average total assets - at fair value</w:t>
            </w:r>
          </w:p>
        </w:tc>
        <w:tc>
          <w:tcPr>
            <w:tcW w:w="160" w:type="dxa"/>
            <w:vAlign w:val="bottom"/>
          </w:tcPr>
          <w:p>
            <w:pPr>
              <w:spacing w:after="0"/>
              <w:rPr>
                <w:sz w:val="20"/>
                <w:szCs w:val="20"/>
                <w:color w:val="auto"/>
              </w:rPr>
            </w:pP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89"/>
              </w:rPr>
              <w:t>$56,763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39"/>
              <w:spacing w:after="0"/>
              <w:rPr>
                <w:sz w:val="20"/>
                <w:szCs w:val="20"/>
                <w:color w:val="auto"/>
              </w:rPr>
            </w:pPr>
            <w:r>
              <w:rPr>
                <w:rFonts w:ascii="Arial" w:cs="Arial" w:eastAsia="Arial" w:hAnsi="Arial"/>
                <w:sz w:val="16"/>
                <w:szCs w:val="16"/>
                <w:color w:val="auto"/>
                <w:w w:val="89"/>
              </w:rPr>
              <w:t>$72,688</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mortgage borrowings outstanding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89"/>
              </w:rPr>
              <w:t>$45,926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89"/>
              </w:rPr>
              <w:t>$53,963</w:t>
            </w:r>
          </w:p>
        </w:tc>
      </w:tr>
      <w:tr>
        <w:trPr>
          <w:trHeight w:val="27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4</w:t>
            </w:r>
          </w:p>
        </w:tc>
        <w:tc>
          <w:tcPr>
            <w:tcW w:w="160" w:type="dxa"/>
            <w:vAlign w:val="bottom"/>
          </w:tcPr>
          <w:p>
            <w:pPr>
              <w:spacing w:after="0"/>
              <w:rPr>
                <w:sz w:val="23"/>
                <w:szCs w:val="23"/>
                <w:color w:val="auto"/>
              </w:rPr>
            </w:pPr>
          </w:p>
        </w:tc>
        <w:tc>
          <w:tcPr>
            <w:tcW w:w="960" w:type="dxa"/>
            <w:vAlign w:val="bottom"/>
          </w:tcPr>
          <w:p>
            <w:pPr>
              <w:jc w:val="center"/>
              <w:ind w:right="80"/>
              <w:spacing w:after="0"/>
              <w:rPr>
                <w:sz w:val="20"/>
                <w:szCs w:val="20"/>
                <w:color w:val="auto"/>
              </w:rPr>
            </w:pPr>
            <w:r>
              <w:rPr>
                <w:rFonts w:ascii="Arial" w:cs="Arial" w:eastAsia="Arial" w:hAnsi="Arial"/>
                <w:sz w:val="16"/>
                <w:szCs w:val="16"/>
                <w:color w:val="auto"/>
                <w:w w:val="89"/>
              </w:rPr>
              <w:t>$7,776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center"/>
              <w:ind w:right="139"/>
              <w:spacing w:after="0"/>
              <w:rPr>
                <w:sz w:val="20"/>
                <w:szCs w:val="20"/>
                <w:color w:val="auto"/>
              </w:rPr>
            </w:pPr>
            <w:r>
              <w:rPr>
                <w:rFonts w:ascii="Arial" w:cs="Arial" w:eastAsia="Arial" w:hAnsi="Arial"/>
                <w:sz w:val="16"/>
                <w:szCs w:val="16"/>
                <w:color w:val="auto"/>
                <w:w w:val="89"/>
              </w:rPr>
              <w:t>$9,401</w:t>
            </w: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r>
      <w:tr>
        <w:trPr>
          <w:trHeight w:val="27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21"/>
                <w:szCs w:val="21"/>
                <w:color w:val="auto"/>
                <w:vertAlign w:val="superscript"/>
              </w:rPr>
              <w:t>6</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2.57 %</w:t>
            </w: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7</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Average net interest rate spread</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1.29 %</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8</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1.53 %</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16"/>
                <w:szCs w:val="16"/>
                <w:i w:val="1"/>
                <w:iCs w:val="1"/>
                <w:color w:val="auto"/>
              </w:rPr>
              <w:t>(as of period end)</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3.58 %</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16"/>
                <w:szCs w:val="16"/>
                <w:i w:val="1"/>
                <w:iCs w:val="1"/>
                <w:color w:val="auto"/>
              </w:rPr>
              <w:t>(as of period end)</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r>
      <w:tr>
        <w:trPr>
          <w:trHeight w:val="27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9</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7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Net comprehensive income return on average common equity - annualized </w:t>
            </w:r>
            <w:r>
              <w:rPr>
                <w:rFonts w:ascii="Arial" w:cs="Arial" w:eastAsia="Arial" w:hAnsi="Arial"/>
                <w:sz w:val="21"/>
                <w:szCs w:val="21"/>
                <w:color w:val="auto"/>
                <w:vertAlign w:val="superscript"/>
              </w:rPr>
              <w:t>10</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Economic return on common equity </w:t>
            </w:r>
            <w:r>
              <w:rPr>
                <w:rFonts w:ascii="Arial" w:cs="Arial" w:eastAsia="Arial" w:hAnsi="Arial"/>
                <w:sz w:val="21"/>
                <w:szCs w:val="21"/>
                <w:color w:val="auto"/>
                <w:vertAlign w:val="superscript"/>
              </w:rPr>
              <w:t>11</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7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leverage </w:t>
            </w:r>
            <w:r>
              <w:rPr>
                <w:rFonts w:ascii="Arial" w:cs="Arial" w:eastAsia="Arial" w:hAnsi="Arial"/>
                <w:sz w:val="21"/>
                <w:szCs w:val="21"/>
                <w:color w:val="auto"/>
                <w:vertAlign w:val="superscript"/>
              </w:rPr>
              <w:t>12</w:t>
            </w:r>
          </w:p>
        </w:tc>
        <w:tc>
          <w:tcPr>
            <w:tcW w:w="16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5.8:1</w:t>
            </w: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"at risk" leverage, inclusive of the net TBA position </w:t>
            </w:r>
            <w:r>
              <w:rPr>
                <w:rFonts w:ascii="Arial" w:cs="Arial" w:eastAsia="Arial" w:hAnsi="Arial"/>
                <w:sz w:val="21"/>
                <w:szCs w:val="21"/>
                <w:color w:val="auto"/>
                <w:vertAlign w:val="superscript"/>
              </w:rPr>
              <w:t>13</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6.5:1</w:t>
            </w:r>
          </w:p>
        </w:tc>
      </w:tr>
      <w:tr>
        <w:trPr>
          <w:trHeight w:val="27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16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5.8:1</w:t>
            </w:r>
          </w:p>
        </w:tc>
      </w:tr>
      <w:tr>
        <w:trPr>
          <w:trHeight w:val="27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"At risk" leverage, inclusive of net TBA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6.4:1</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Expenses % of average total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0.20 %</w:t>
            </w:r>
          </w:p>
        </w:tc>
      </w:tr>
      <w:tr>
        <w:trPr>
          <w:trHeight w:val="33"/>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 % of average assets, including average net TBA position</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Expenses % of average stockholders' equity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1.55 %</w:t>
            </w:r>
          </w:p>
        </w:tc>
      </w:tr>
    </w:tbl>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00"/>
          </w:cols>
          <w:pgMar w:left="860" w:top="806" w:right="8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980" w:hanging="648"/>
        <w:spacing w:after="0" w:line="250"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We voluntarily discontinued hedge accounting for our interest rate swaps as of September 30, 2011. Please refer to our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in </w:t>
      </w:r>
      <w:r>
        <w:rPr>
          <w:rFonts w:ascii="Arial" w:cs="Arial" w:eastAsia="Arial" w:hAnsi="Arial"/>
          <w:sz w:val="14"/>
          <w:szCs w:val="14"/>
          <w:i w:val="1"/>
          <w:iCs w:val="1"/>
          <w:color w:val="auto"/>
        </w:rPr>
        <w:t>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Discussion and Analysis of Financial Condition and Results of Operations </w:t>
      </w:r>
      <w:r>
        <w:rPr>
          <w:rFonts w:ascii="Arial" w:cs="Arial" w:eastAsia="Arial" w:hAnsi="Arial"/>
          <w:sz w:val="14"/>
          <w:szCs w:val="14"/>
          <w:color w:val="auto"/>
        </w:rPr>
        <w:t>and Notes 3 and 6 of our</w:t>
      </w:r>
      <w:r>
        <w:rPr>
          <w:rFonts w:ascii="Arial" w:cs="Arial" w:eastAsia="Arial" w:hAnsi="Arial"/>
          <w:sz w:val="14"/>
          <w:szCs w:val="14"/>
          <w:i w:val="1"/>
          <w:iCs w:val="1"/>
          <w:color w:val="auto"/>
        </w:rPr>
        <w:t xml:space="preserve"> Consolidated Financial Statements </w:t>
      </w:r>
      <w:r>
        <w:rPr>
          <w:rFonts w:ascii="Arial" w:cs="Arial" w:eastAsia="Arial" w:hAnsi="Arial"/>
          <w:sz w:val="14"/>
          <w:szCs w:val="14"/>
          <w:color w:val="auto"/>
        </w:rPr>
        <w:t>in this Quarterly Report on Form 10-Q for</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information regarding our discontinuance of hedge accounting.</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mortgage borrowings include agency repo, FHLB advances and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Average coupon for the period was calculated by dividing our total coupon (or cash) interest income on investment securities by our average investment securities held at par.</w:t>
      </w:r>
    </w:p>
    <w:p>
      <w:pPr>
        <w:spacing w:after="0" w:line="12" w:lineRule="exact"/>
        <w:rPr>
          <w:rFonts w:ascii="Arial" w:cs="Arial" w:eastAsia="Arial" w:hAnsi="Arial"/>
          <w:sz w:val="13"/>
          <w:szCs w:val="13"/>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cost of funds as of period end includes mortgage borrowings outstanding, plus the impact of interest rate swaps. Amount excludes costs associated with other supplemental hedges such as swaptions, U.S. Treasuries and TBA positions.</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980" w:right="2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our daily weighted average mortgage borrowings outstanding for the period by the sum of our average stockholders' equity less our average investment in REIT equity securities for the period. Leverage excludes U.S. Treasury repurchase agreements.</w:t>
      </w:r>
    </w:p>
    <w:p>
      <w:pPr>
        <w:ind w:left="980" w:right="2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"at risk" leverage, inclusive of net TBA portfolio, during the period includes the components of "average leverage" plus our daily weighted average net TBA dollar position (at cost) during the period.</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our mortgage borrowings outstanding and our receivable / payable for unsettled investment securities by the sum of our total stockholders' equity less the fair value of investments in REIT equity securities at period end. Leverage excludes U.S. Treasury repurchase agreements.</w:t>
      </w:r>
    </w:p>
    <w:p>
      <w:pPr>
        <w:ind w:left="980" w:right="20" w:hanging="648"/>
        <w:spacing w:after="0" w:line="255"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"At risk" leverage at period end, inclusive of net TBA position, includes the components of "leverage (as of period end)" plus our net TBA dollar roll position outstanding as of period end, at cost.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three months ended March 31, 2016 and 2015 (dollars in millions):</w:t>
      </w:r>
    </w:p>
    <w:p>
      <w:pPr>
        <w:spacing w:after="0" w:line="39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7"/>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264"/>
        </w:trPr>
        <w:tc>
          <w:tcPr>
            <w:tcW w:w="6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r>
      <w:tr>
        <w:trPr>
          <w:trHeight w:val="250"/>
        </w:trPr>
        <w:tc>
          <w:tcPr>
            <w:tcW w:w="6280" w:type="dxa"/>
            <w:vAlign w:val="bottom"/>
          </w:tcPr>
          <w:p>
            <w:pPr>
              <w:ind w:left="20"/>
              <w:spacing w:after="0"/>
              <w:rPr>
                <w:sz w:val="20"/>
                <w:szCs w:val="20"/>
                <w:color w:val="auto"/>
              </w:rPr>
            </w:pPr>
            <w:r>
              <w:rPr>
                <w:rFonts w:ascii="Arial" w:cs="Arial" w:eastAsia="Arial" w:hAnsi="Arial"/>
                <w:sz w:val="14"/>
                <w:szCs w:val="14"/>
                <w:color w:val="auto"/>
              </w:rPr>
              <w:t>Cash/coupon interest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3.63 %</w:t>
            </w: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premium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2.32 %</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2.57 %</w:t>
            </w:r>
          </w:p>
        </w:tc>
      </w:tr>
      <w:tr>
        <w:trPr>
          <w:trHeight w:val="251"/>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actual portfolio CPR for securities held during the period</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64"/>
        </w:trPr>
        <w:tc>
          <w:tcPr>
            <w:tcW w:w="6280" w:type="dxa"/>
            <w:vAlign w:val="bottom"/>
          </w:tcPr>
          <w:p>
            <w:pPr>
              <w:ind w:left="20"/>
              <w:spacing w:after="0"/>
              <w:rPr>
                <w:sz w:val="20"/>
                <w:szCs w:val="20"/>
                <w:color w:val="auto"/>
              </w:rPr>
            </w:pPr>
            <w:r>
              <w:rPr>
                <w:rFonts w:ascii="Arial" w:cs="Arial" w:eastAsia="Arial" w:hAnsi="Arial"/>
                <w:sz w:val="14"/>
                <w:szCs w:val="14"/>
                <w:color w:val="auto"/>
              </w:rPr>
              <w:t>Weighted average projected CPR for the remaining life of securities held as of period end</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58"/>
        </w:trPr>
        <w:tc>
          <w:tcPr>
            <w:tcW w:w="628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34"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interest income are the size of our average investment portfolio and the yield on our investments. The following is a summary of the estimated impact of each of these elements on the decline in interest income for the three months ended March 31, 2016, compared to the prior year period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3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2016 vs.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Interest Income</w:t>
            </w:r>
          </w:p>
        </w:tc>
        <w:tc>
          <w:tcPr>
            <w:tcW w:w="280" w:type="dxa"/>
            <w:vAlign w:val="bottom"/>
            <w:tcBorders>
              <w:top w:val="single" w:sz="8" w:color="auto"/>
            </w:tcBorders>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top w:val="single" w:sz="8" w:color="BFE4FF"/>
            </w:tcBorders>
            <w:shd w:val="clear" w:color="auto" w:fill="BFE4FF"/>
          </w:tcPr>
          <w:p>
            <w:pPr>
              <w:spacing w:after="0"/>
              <w:rPr>
                <w:sz w:val="22"/>
                <w:szCs w:val="22"/>
                <w:color w:val="auto"/>
              </w:rPr>
            </w:pPr>
          </w:p>
        </w:tc>
        <w:tc>
          <w:tcPr>
            <w:tcW w:w="380" w:type="dxa"/>
            <w:vAlign w:val="bottom"/>
            <w:tcBorders>
              <w:top w:val="single" w:sz="8" w:color="auto"/>
            </w:tcBorders>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BFE4FF"/>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(33)</w:t>
            </w:r>
          </w:p>
        </w:tc>
      </w:tr>
    </w:tbl>
    <w:p>
      <w:pPr>
        <w:spacing w:after="0" w:line="28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The size of our average investment portfolio decreased in par value by 14% for the three months ended March 31, 2016, compared to the prior year period, largely as a function of the decline in our stockholders' equity due to share repurchase activity as our average leverage during the period was largely unchanged at 5.9x our stockholders' equity for the three months ended March 31, 2016, compared to 5.8x for the prior year period (see </w:t>
      </w:r>
      <w:r>
        <w:rPr>
          <w:rFonts w:ascii="Arial" w:cs="Arial" w:eastAsia="Arial" w:hAnsi="Arial"/>
          <w:sz w:val="16"/>
          <w:szCs w:val="16"/>
          <w:i w:val="1"/>
          <w:iCs w:val="1"/>
          <w:color w:val="auto"/>
        </w:rPr>
        <w:t>"Leverage"</w:t>
      </w:r>
      <w:r>
        <w:rPr>
          <w:rFonts w:ascii="Arial" w:cs="Arial" w:eastAsia="Arial" w:hAnsi="Arial"/>
          <w:sz w:val="16"/>
          <w:szCs w:val="16"/>
          <w:color w:val="auto"/>
        </w:rPr>
        <w:t xml:space="preserve"> below).</w:t>
      </w:r>
    </w:p>
    <w:p>
      <w:pPr>
        <w:spacing w:after="0" w:line="1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average asset yield decreased for the three months ended March 31, 2016, compared to the prior year period, due to fluctuations in "catch-up" premium amortization cost recognized due to changes in our projected CPR estimates. We recognized "catch-up" premium amortization cost of $55 million for the three months ended March 31, 2016, compared to $19 million for the prior year period. Excluding "catch-up" premium amortization adjustments, our average asset yield was 2.75% for the three months ended March 31, 2016, up slightly from 2.70% for the prior year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leverage was 6.5x and 5.8x our stockholders' equity as of March 31, 2016 and December 31, 2015, respectively, measured as the sum of our agency repurchase agreements ("agency repo"), FHLB advances and debt of consolidated VIEs (collectively referred to as "mortgage borrowings") and our net receivable / payable for unsettled agency securities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("U.S. Treasury repo") due to the temporary and highly liquid nature of these investments.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Inclusive of our net TBA position, our total "at risk" leverage was 7.3x and 6.8x our stockholders' equity as of March 31, 2016 and December 31, 2015, respectively. Since we recognize our TBA commitments as derivatives under GAAP, they are not included in our repurchase agreement and other debt leverage calculations as measured from our consolidated balance sheets; however, a long TBA position carries similar risks as if we had purchased the underlying MBS assets and funded such purchases with on-balance sheet funding liabilities. Similarly, a short TBA position has substantially the same effect as selling the underlying MBS assets and reducing our on-balance sheet funding commitments. (Refer to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for further discussion of TBA dollar roll positions). Therefore, we refer to our leverage adjusted for TBA positions as our "at risk" leverage.</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mortgage borrowings,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92"/>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6"/>
          </w:tcPr>
          <w:p>
            <w:pPr>
              <w:jc w:val="center"/>
              <w:ind w:right="28"/>
              <w:spacing w:after="0" w:line="135" w:lineRule="exact"/>
              <w:rPr>
                <w:sz w:val="20"/>
                <w:szCs w:val="20"/>
                <w:color w:val="auto"/>
              </w:rPr>
            </w:pPr>
            <w:r>
              <w:rPr>
                <w:rFonts w:ascii="Arial" w:cs="Arial" w:eastAsia="Arial" w:hAnsi="Arial"/>
                <w:sz w:val="13"/>
                <w:szCs w:val="13"/>
                <w:b w:val="1"/>
                <w:bCs w:val="1"/>
                <w:color w:val="auto"/>
                <w:w w:val="88"/>
              </w:rPr>
              <w:t xml:space="preserve">Mortgage Borrowings </w:t>
            </w:r>
            <w:r>
              <w:rPr>
                <w:rFonts w:ascii="Arial" w:cs="Arial" w:eastAsia="Arial" w:hAnsi="Arial"/>
                <w:sz w:val="8"/>
                <w:szCs w:val="8"/>
                <w:b w:val="1"/>
                <w:bCs w:val="1"/>
                <w:color w:val="auto"/>
                <w:w w:val="88"/>
              </w:rPr>
              <w:t>1</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2"/>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Average Daily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2"/>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2016</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45,926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49,767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48,875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8,144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5,983</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7.3:1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December 31, 2015</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47,018</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50,078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46,077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7,796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7,430</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6.8:1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2015</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53,963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58,217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55,056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6,957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4,815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6.4:1</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Mortgage borrowings includes agency repo, FHLB advances and debt of consolidated VIEs. Amounts exclude U.S. Treasury repo agreements.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mortgage borrowings outstanding by the sum of our average month-end stockholders' equity less our average investment in REIT equity securities for the period.</w:t>
      </w:r>
    </w:p>
    <w:p>
      <w:pPr>
        <w:ind w:left="660" w:right="2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"at risk" leverage during the period includes the components of "average leverage during the period," plus our daily weighted average net TBA position (at cost) during the period.</w:t>
      </w: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Leverage as of period end was calculated by dividing the sum of the amount of mortgage borrowings outstanding and net payables and receivables for unsettled agency securities by the sum of our total stockholders' equity less the fair value of our investment in REIT equity securities at period end.</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"leverage as of period end," plus the cost basis (or contract price) of our net TBA position.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1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interest expense is comprised of interest expense on our mortgage borrowings and the reclassification of accumulated OCI into interest expense related to previously de-designated interest rate swaps. Our mortgage borrowings primarily consist of agency repurchase agreements.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"adjusted net interest expense," also referred to as our "cost of funds" when stated as a percentage of our mortgage borrowings outstanding, includes periodic interest costs on our interest rate swaps reported in gain/loss on derivative instruments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cost/benefit of our net TBA dollar roll position, but does, however, include interest rate swap hedge costs related to our TBA dollar roll funded assets. Consequently, our cost of funds measured as a percentage of our outstanding mortgage borrowings is higher than if we allocated a portion of our swap hedge costs to our TBA dollar roll funded assets.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 below presents a reconciliation of our interest expense (the most comparable GAAP financial measure) to our adjusted net interest expense and cost of funds (non-GAAP financial measures) for the three months ended March 31, 2016 and 2015 (dollars in millions):</w:t>
      </w:r>
    </w:p>
    <w:p>
      <w:pPr>
        <w:spacing w:after="0" w:line="392"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3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r>
      <w:tr>
        <w:trPr>
          <w:trHeight w:val="264"/>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8"/>
                <w:szCs w:val="8"/>
                <w:b w:val="1"/>
                <w:bCs w:val="1"/>
                <w:color w:val="auto"/>
                <w:w w:val="95"/>
              </w:rPr>
              <w:t>1</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Interest expense on mortgage borrowings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r>
      <w:tr>
        <w:trPr>
          <w:trHeight w:val="157"/>
        </w:trPr>
        <w:tc>
          <w:tcPr>
            <w:tcW w:w="350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Periodic interest costs of interest rate swaps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35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previously designated as hedges under GAAP,</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88"/>
        </w:trPr>
        <w:tc>
          <w:tcPr>
            <w:tcW w:w="350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r>
      <w:tr>
        <w:trPr>
          <w:trHeight w:val="157"/>
        </w:trPr>
        <w:tc>
          <w:tcPr>
            <w:tcW w:w="3500" w:type="dxa"/>
            <w:vAlign w:val="bottom"/>
            <w:gridSpan w:val="2"/>
          </w:tcPr>
          <w:p>
            <w:pPr>
              <w:ind w:left="360"/>
              <w:spacing w:after="0" w:line="157" w:lineRule="exact"/>
              <w:rPr>
                <w:sz w:val="20"/>
                <w:szCs w:val="20"/>
                <w:color w:val="auto"/>
              </w:rPr>
            </w:pPr>
            <w:r>
              <w:rPr>
                <w:rFonts w:ascii="Arial" w:cs="Arial" w:eastAsia="Arial" w:hAnsi="Arial"/>
                <w:sz w:val="14"/>
                <w:szCs w:val="14"/>
                <w:color w:val="auto"/>
                <w:w w:val="98"/>
              </w:rPr>
              <w:t>Other periodic interest costs of interest rate swaps,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88"/>
        </w:trPr>
        <w:tc>
          <w:tcPr>
            <w:tcW w:w="350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r>
      <w:tr>
        <w:trPr>
          <w:trHeight w:val="243"/>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6"/>
              </w:rPr>
              <w:t>Total adjusted net interest expense and cost of funds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4"/>
          <w:szCs w:val="14"/>
          <w:color w:val="auto"/>
        </w:rPr>
        <w:t>1.</w:t>
        <w:tab/>
        <w:t>Percent of our average mortgage borrowings outstanding for the period annualized.</w:t>
      </w:r>
    </w:p>
    <w:p>
      <w:pPr>
        <w:spacing w:after="0" w:line="30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principal elements impacting our adjusted net interest expense are the size of our average mortgage borrowings outstanding during the period, the size of our average interest rate swap balance outstanding (excluding forward starting swaps), the average interest rate on our borrowings and the average net pay rate on our pay-fixed receive-floating interest rate swaps. The size of our average borrowings declined 15% for the three months ended March 31, 2016, compared to the prior year period, while our average cost of funds increased 36 basis points due to the net effect of (i) higher average interest rates on our mortgage borrowings, (ii) a higher ratio of interest rate swaps outstanding to our average mortgage borrowings (excluding forward starting swaps) and (iii) an increase in the floating rate received on our interest rate swaps more than offsetting an increase in the average fixed rate paid.</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the increase in our adjusted net interest expense for the three months ended March 31, 2016, compared to the prior year period (in millions):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2016 and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Due to Change in Average</w:t>
            </w:r>
          </w:p>
        </w:tc>
        <w:tc>
          <w:tcPr>
            <w:tcW w:w="40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400" w:type="dxa"/>
            <w:vAlign w:val="bottom"/>
          </w:tcPr>
          <w:p>
            <w:pPr>
              <w:spacing w:after="0"/>
              <w:rPr>
                <w:sz w:val="16"/>
                <w:szCs w:val="16"/>
                <w:color w:val="auto"/>
              </w:rPr>
            </w:pP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660" w:hanging="328"/>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table below presents a summary of our average mortgage borrowings outstanding and our average interest rates swaps outstanding, excluding forward starting swaps, for the three months ended March 31, 2016 and 2015 (dollars in millions):</w:t>
      </w:r>
    </w:p>
    <w:p>
      <w:pPr>
        <w:spacing w:after="0" w:line="338"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39"/>
        </w:trPr>
        <w:tc>
          <w:tcPr>
            <w:tcW w:w="740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8"/>
              </w:rPr>
              <w:t>Average Ratio of Interest Rate Swaps Outstanding (Excluding Forward Starting Swaps) to Mortgage Borrowings</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45,926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53,963</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(excluding forward starting swaps)</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35,811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32,924</w:t>
            </w: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interest rate swaps</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interest rate swaps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interest rate swaps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1.39 %</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0" w:firstLine="486"/>
        <w:spacing w:after="0" w:line="297" w:lineRule="auto"/>
        <w:rPr>
          <w:sz w:val="20"/>
          <w:szCs w:val="20"/>
          <w:color w:val="auto"/>
        </w:rPr>
      </w:pPr>
      <w:r>
        <w:rPr>
          <w:rFonts w:ascii="Arial" w:cs="Arial" w:eastAsia="Arial" w:hAnsi="Arial"/>
          <w:sz w:val="16"/>
          <w:szCs w:val="16"/>
          <w:color w:val="auto"/>
        </w:rPr>
        <w:t>For the three months ended March 31, 2016 and 2015, we had an average of $4.0 billion and $13.0 billion, respectively, of forward starting interest rate swaps outstanding.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view of the forward yield curve and the timing of potential changes in short-term interest rates, time to deploy new capital, amount and timing of expirations of our existing interest rate swap portfolio, current and anticipated swap spreads and our desire to mitigate our exposure to specific sectors of the yield curve.</w:t>
      </w:r>
    </w:p>
    <w:p>
      <w:pPr>
        <w:spacing w:after="0" w:line="104" w:lineRule="exact"/>
        <w:rPr>
          <w:sz w:val="20"/>
          <w:szCs w:val="20"/>
          <w:color w:val="auto"/>
        </w:rPr>
      </w:pPr>
    </w:p>
    <w:p>
      <w:pPr>
        <w:jc w:val="both"/>
        <w:ind w:left="60" w:firstLine="486"/>
        <w:spacing w:after="0" w:line="342" w:lineRule="auto"/>
        <w:rPr>
          <w:sz w:val="20"/>
          <w:szCs w:val="20"/>
          <w:color w:val="auto"/>
        </w:rPr>
      </w:pPr>
      <w:r>
        <w:rPr>
          <w:rFonts w:ascii="Arial" w:cs="Arial" w:eastAsia="Arial" w:hAnsi="Arial"/>
          <w:sz w:val="16"/>
          <w:szCs w:val="16"/>
          <w:color w:val="auto"/>
        </w:rPr>
        <w:t>Including forward starting swaps and our net TBA position, our average ratio of interest rate swaps outstanding to our average mortgage borrowings and net TBA position (at cost) was 74% for the three months ended March 31, 2016, compared to 75% for the three months ended March 31, 2015.</w:t>
      </w:r>
    </w:p>
    <w:p>
      <w:pPr>
        <w:spacing w:after="0" w:line="291"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39"/>
        </w:trPr>
        <w:tc>
          <w:tcPr>
            <w:tcW w:w="720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6"/>
              </w:rPr>
              <w:t>Average Ratio of Interest Rate Swaps Outstanding (Including Forward Starting Swaps) to Mortgage Borrowings</w:t>
            </w: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Net TBA Position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45,926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53,963</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position - at cost</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8,144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6,957</w:t>
            </w:r>
          </w:p>
        </w:tc>
        <w:tc>
          <w:tcPr>
            <w:tcW w:w="0" w:type="dxa"/>
            <w:vAlign w:val="bottom"/>
          </w:tcPr>
          <w:p>
            <w:pPr>
              <w:spacing w:after="0"/>
              <w:rPr>
                <w:sz w:val="1"/>
                <w:szCs w:val="1"/>
                <w:color w:val="auto"/>
              </w:rPr>
            </w:pPr>
          </w:p>
        </w:tc>
      </w:tr>
      <w:tr>
        <w:trPr>
          <w:trHeight w:val="25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average mortgage borrowings and net TBA position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60,920</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(including of forward starting swaps)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39,767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45,880</w:t>
            </w: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 and net TBA position</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months ended March 31, 2016 and 2015 (dollars in millions):</w:t>
      </w:r>
    </w:p>
    <w:p>
      <w:pPr>
        <w:spacing w:after="0" w:line="281"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13335</wp:posOffset>
            </wp:positionV>
            <wp:extent cx="1063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64"/>
        </w:trPr>
        <w:tc>
          <w:tcPr>
            <w:tcW w:w="5940" w:type="dxa"/>
            <w:vAlign w:val="bottom"/>
          </w:tcPr>
          <w:p>
            <w:pPr>
              <w:ind w:left="14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Dividend from REIT equity securities </w:t>
            </w:r>
            <w:r>
              <w:rPr>
                <w:rFonts w:ascii="Arial" w:cs="Arial" w:eastAsia="Arial" w:hAnsi="Arial"/>
                <w:sz w:val="8"/>
                <w:szCs w:val="8"/>
                <w:color w:val="auto"/>
              </w:rPr>
              <w:t>1</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stockholders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110"/>
        </w:trPr>
        <w:tc>
          <w:tcPr>
            <w:tcW w:w="594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-99695</wp:posOffset>
            </wp:positionV>
            <wp:extent cx="1063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spread and dollar roll income, excluding "catch-up" premium amortization adjustments, for the three months ended March 31, 2016 decreased to $0.52 per common share from $0.70 per common share for the prior year period, reflective of the increase in our average cost of funds, which was partially offset by the increase in our average "at risk" leverage.</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Excluding catch-up premium amortization cost, our average net interest rate spread and dollar roll income (i.e., the difference between the average yield on our assets and our average cost of funds inclusive of TBAs) was 1.31% for the three months ended March 31, 2016, compared to 1.64% for the prior year period. Including catch-up premium amortization adjustments, our net interest rate spread and dollar roll income was 0.94% for the three months ended March 31, 2016, compared to 1.53% for the prior 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Mortgage-Backed Securities,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our net gain (loss) on sale of MBS for the three months ended March 31, 2016 and 2015 (in millions):</w:t>
      </w:r>
    </w:p>
    <w:p>
      <w:pPr>
        <w:spacing w:after="0" w:line="325"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13335</wp:posOffset>
            </wp:positionV>
            <wp:extent cx="12693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87" w:lineRule="exact"/>
        <w:rPr>
          <w:sz w:val="20"/>
          <w:szCs w:val="20"/>
          <w:color w:val="auto"/>
        </w:rPr>
      </w:pPr>
    </w:p>
    <w:tbl>
      <w:tblPr>
        <w:tblLayout w:type="fixed"/>
        <w:tblInd w:w="2740" w:type="dxa"/>
        <w:tblCellMar>
          <w:top w:w="0" w:type="dxa"/>
          <w:left w:w="0" w:type="dxa"/>
          <w:bottom w:w="0" w:type="dxa"/>
          <w:right w:w="0" w:type="dxa"/>
        </w:tblCellMar>
      </w:tblPr>
      <w:tr>
        <w:trPr>
          <w:trHeight w:val="192"/>
        </w:trPr>
        <w:tc>
          <w:tcPr>
            <w:tcW w:w="3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MBS sold, at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7,768</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4"/>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MBS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MBS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-98425</wp:posOffset>
            </wp:positionV>
            <wp:extent cx="1269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MBS sold during the period as of period end.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sales primarily resulted from leverage adjustments and portfolio repositioning.</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84"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months ended March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(in millions):</w:t>
      </w:r>
    </w:p>
    <w:p>
      <w:pPr>
        <w:spacing w:after="0" w:line="311"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13335</wp:posOffset>
            </wp:positionV>
            <wp:extent cx="1217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87"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6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r>
      <w:tr>
        <w:trPr>
          <w:trHeight w:val="25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58"/>
        </w:trPr>
        <w:tc>
          <w:tcPr>
            <w:tcW w:w="612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TBA securities - mark-to-market net gain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289</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76"/>
        </w:trPr>
        <w:tc>
          <w:tcPr>
            <w:tcW w:w="6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264"/>
        </w:trPr>
        <w:tc>
          <w:tcPr>
            <w:tcW w:w="61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r>
      <w:tr>
        <w:trPr>
          <w:trHeight w:val="258"/>
        </w:trPr>
        <w:tc>
          <w:tcPr>
            <w:tcW w:w="612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6120" w:type="dxa"/>
            <w:vAlign w:val="bottom"/>
            <w:tcBorders>
              <w:bottom w:val="single" w:sz="8" w:color="CCEEFF"/>
            </w:tcBorders>
          </w:tcPr>
          <w:p>
            <w:pPr>
              <w:ind w:left="1100"/>
              <w:spacing w:after="0"/>
              <w:rPr>
                <w:sz w:val="20"/>
                <w:szCs w:val="20"/>
                <w:color w:val="auto"/>
              </w:rPr>
            </w:pPr>
            <w:r>
              <w:rPr>
                <w:rFonts w:ascii="Arial" w:cs="Arial" w:eastAsia="Arial" w:hAnsi="Arial"/>
                <w:sz w:val="14"/>
                <w:szCs w:val="14"/>
                <w:color w:val="auto"/>
              </w:rPr>
              <w:t>REIT equity securities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r>
      <w:tr>
        <w:trPr>
          <w:trHeight w:val="243"/>
        </w:trPr>
        <w:tc>
          <w:tcPr>
            <w:tcW w:w="6120" w:type="dxa"/>
            <w:vAlign w:val="bottom"/>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$27 million and $30 million for the three months ended March 31, 2016 and 2015, respectively.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General and administrative expenses were $6 million for the three months ended March 31, 2016 and 2015. Our general and administrative expenses primarily consisted of prime broker fees, information technology costs, accounting fees, legal fees, Board of Director fees, insurance expense and general overhead expense. For the three months ended March 31, 2016, our general and administrative expenses also included compensation costs of our wholly-owned captive broker-dealer subsidiary, Bethesda Securities, LLC.</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total annualized operating expense as a percentage of our average stockholders' equity was 1.70% and 1.55% for the three months ended March 31, 2016 and 2015, respectively.</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80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2016 and 2015, we had estimated taxable income available to common stockholders of $74 million and $166 million (or $0.22 and $0.47 per common share), respectively.</w:t>
      </w:r>
    </w:p>
    <w:p>
      <w:pPr>
        <w:spacing w:after="0" w:line="116"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firstLine="8"/>
        <w:spacing w:after="0" w:line="261" w:lineRule="auto"/>
        <w:tabs>
          <w:tab w:leader="none" w:pos="3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premiums and discounts on investments. Furthermore, our estimated taxable income is subject to potential adjustments up to the time of filing our appropriate tax returns, which occurs after the end of our fiscal year.</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months ended March 31, 2016 and 2015 (dollars in millions):</w:t>
      </w:r>
    </w:p>
    <w:p>
      <w:pPr>
        <w:spacing w:after="0" w:line="27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13335</wp:posOffset>
            </wp:positionV>
            <wp:extent cx="1132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7" w:lineRule="exact"/>
        <w:rPr>
          <w:sz w:val="20"/>
          <w:szCs w:val="20"/>
          <w:color w:val="auto"/>
        </w:rPr>
      </w:pPr>
    </w:p>
    <w:tbl>
      <w:tblPr>
        <w:tblLayout w:type="fixed"/>
        <w:tblInd w:w="1600" w:type="dxa"/>
        <w:tblCellMar>
          <w:top w:w="0" w:type="dxa"/>
          <w:left w:w="0" w:type="dxa"/>
          <w:bottom w:w="0" w:type="dxa"/>
          <w:right w:w="0" w:type="dxa"/>
        </w:tblCellMar>
      </w:tblPr>
      <w:tr>
        <w:trPr>
          <w:trHeight w:val="192"/>
        </w:trPr>
        <w:tc>
          <w:tcPr>
            <w:tcW w:w="6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r>
      <w:tr>
        <w:trPr>
          <w:trHeight w:val="25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4"/>
        </w:trPr>
        <w:tc>
          <w:tcPr>
            <w:tcW w:w="646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1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1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627</w:t>
            </w:r>
          </w:p>
        </w:tc>
      </w:tr>
      <w:tr>
        <w:trPr>
          <w:trHeight w:val="270"/>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4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425</w:t>
            </w:r>
          </w:p>
        </w:tc>
      </w:tr>
      <w:tr>
        <w:trPr>
          <w:trHeight w:val="25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r>
      <w:tr>
        <w:trPr>
          <w:trHeight w:val="264"/>
        </w:trPr>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352.8</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0.47</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6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761</w:t>
            </w:r>
          </w:p>
        </w:tc>
      </w:tr>
      <w:tr>
        <w:trPr>
          <w:trHeight w:val="26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Utilization of net capital loss carryforward</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5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r>
      <w:tr>
        <w:trPr>
          <w:trHeight w:val="243"/>
        </w:trPr>
        <w:tc>
          <w:tcPr>
            <w:tcW w:w="646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March 31, 2016, we had $0.6 billion (or $1.77 per common share) of net capital loss carryforwards, which can be carried forward and applied against future net capital gains through fiscal year 2018.</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the three months ended March 31, 2016 and 2015:</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0.66</w:t>
            </w:r>
          </w:p>
        </w:tc>
      </w:tr>
    </w:tbl>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final tax characterization of our fiscal year 2016 dividends will be determined and reported to stockholders on their annual Form 1099-DIV statement after the end of the year.</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income for the three months ended March 31, 2016 and 2015 (in millions):</w:t>
      </w:r>
    </w:p>
    <w:p>
      <w:pPr>
        <w:spacing w:after="0" w:line="297"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13335</wp:posOffset>
            </wp:positionV>
            <wp:extent cx="1183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7"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7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7960" w:type="dxa"/>
            <w:vAlign w:val="bottom"/>
          </w:tcPr>
          <w:p>
            <w:pPr>
              <w:ind w:left="120"/>
              <w:spacing w:after="0"/>
              <w:rPr>
                <w:sz w:val="20"/>
                <w:szCs w:val="20"/>
                <w:color w:val="auto"/>
              </w:rPr>
            </w:pPr>
            <w:r>
              <w:rPr>
                <w:rFonts w:ascii="Arial" w:cs="Arial" w:eastAsia="Arial" w:hAnsi="Arial"/>
                <w:sz w:val="14"/>
                <w:szCs w:val="14"/>
                <w:color w:val="auto"/>
              </w:rPr>
              <w:t>Unrealized gain,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427</w:t>
            </w:r>
          </w:p>
        </w:tc>
      </w:tr>
      <w:tr>
        <w:trPr>
          <w:trHeight w:val="270"/>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50"/>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Unrealized gain on available-for-sale securities, net: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w:t>
            </w: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43"/>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funds are borrowings under master repurchase agreements, asset sales, receipts of monthly principal and interest payments on our investment portfolio and equity offerings. Because the level of our borrowings can be adjusted on a daily basis, the level of cash and cash equivalents carried on our balance sheet is significantly less important than the potential liquidity available under our borrowing arrangements.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To the extent that we annually distribute all of our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31, 2016, we had $45.3 billion of repurchase agreements outstanding used to fund acquisitions of agency securities. Our "at risk" leverage ratio was 7.3x as of March 31, 2016, compared to 6.8x as of December 31, 2015, measured as the sum of our mortgage borrowings (primarily consisting of our agency repurchase agreements), our net TBA position (at cost) and our net receivable / payable for unsettled mortgage securities divided by the sum of our total stockholders' equity less the fair value of our investment in REIT equity securities as of period end. Excluding our net TBA position, our leverage ratio was 6.5x our stockholders' equity as of March 31, 2016, compared to 5.8x as of December 31, 2015.</w:t>
      </w:r>
    </w:p>
    <w:p>
      <w:pPr>
        <w:spacing w:after="0" w:line="11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2016, our agency repurchase agreements had a weighted average cost of funds of 0.76% and a weighted average remaining days-to-maturity of 184 days, compared 0.61% and 173 days, respectively, as of December 31, 2015.</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March 31, 2016, we had master repurchase agreements with 36 financial institutions located throughout North America, Europe and Asia. As of March 31, 2016, a maximum of 5% of our stockholders' equity was at risk with any one repo counterparty, with the top five repo counterparties representing less than 15% of our stockholders' equity. The table below includes a summary of our repurchase agreement funding by number of repo counterparties and counterparty region as of March 31, 2016. For further details regarding our borrowings under repurchase agreements and concentration of credit risk as of March 31, 2016, please refer to Notes 5 and 7 to our Consolidated Financial Statements in this Quarterly Report on Form 10-Q.</w:t>
      </w:r>
    </w:p>
    <w:p>
      <w:pPr>
        <w:spacing w:after="0" w:line="346"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three months ended March 31, 2016, haircuts on our pledged collateral remained stable and as of March 31, 2016, our weighted average haircut was approximately 5% of the value of our collateral.</w:t>
      </w:r>
    </w:p>
    <w:p>
      <w:pPr>
        <w:spacing w:after="0" w:line="11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securities securing our repurchase agreements and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March 31, 2016, we had met all of our margin requirements and we had unrestricted cash and cash equivalents of $1.1 billion and unpledged securities of approximately $2.5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wholly-owned captive broker-dealer subsidiary, Bethesda Securities, LLC ("BES"), was formed in 2015 and is currently in the regulatory application process. BES expects to become operational during 2016 and intends to become a member of the Fixed Income Clearing Corporation ("FICC"), thereby providing us with additional repurchase agreement funding and TBA trade clearing capabilities. There can be no assurances that BES will be successful in receiving the regulatory approvals required to become operational or that BES will be successful in becoming a member of the FICC.</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U.S. Treasury securities, U.S. Treasury futures contracts, TBA securities and other instruments. Please refer to Notes 3 and 6 to our Consolidated Financial Statements in this Quarterly Report on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our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Excluding centrally cleared interest rate swaps, as of March 31, 2016,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case of centrally cleared interest rate swap contracts, we could be exposed to credit risk if the central clearing agency or a clearing member defaults on its respective obligation to perform under the contract. However, we believe that the risk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minimal due to the exchange's initial and daily mark to market margin requirements and a clearinghouse guarantee fund and other resources that are available in the event of a clearing member default.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Quarterly Report on Form 10-Q).</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March 31, 2016, we had a net long TBA position with a market value and total contract price of $6.0 billion and a net carrying value of $41 million recognized in derivative assets/(liabilities), at fair value, on our Consolidated Balance Sheets in this Quarterly Report on Form 10-Q.</w:t>
      </w:r>
    </w:p>
    <w:p>
      <w:pPr>
        <w:spacing w:after="0" w:line="18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April 2015, our wholly-owned captive insurance subsidiary, Old Georgetown Insurance Co., LLC ("OGI"), was approved as a member of the FHLB of Des Moines. The FHLBs provide a variety of products and services to their members, including short and long-term secured loans, called "advances." In January 2016, the FHFA released its final rule on changes to regulations concerning FHLB membership criteria. The final rule terminates OGI's FHLB membership and requires repayment of all advances at the earlier of their contractual maturity dates or one year after the effective date of the final rule (February 2017). As of March 31, 2016, we had $3.0 billion of FHLB advances outstanding with a weighted average interest rate of 0.56% and a weighted average remaining days to maturity of 306 days up to February 2017. Termination of our FHLB membership could negatively impact our liquidity position; however, since FHLB advances do not represent our primary source of funding, we believe that we will have adequate alternative sources of funding upon such termination.</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FHLB members may use a variety of real estate related assets, including agency MBS and AAA non-agency securities, as collateral for advances. The ability to borrow from the FHLB during the duration of our FHLB membership is subject to our subsidiary's continued creditworthiness, pledging of sufficient eligible collateral to secure advances, and compliance with certain agreements with the FHLB. Each advance requires approval by the FHLB and is secured by collateral in accordance with the FHLB’s credit and collateral guidelines, as may be revised from time to time by the FHLB. In addition, membership in the FHLB obligates OGI to purchase membership and activity-based stock in the FHLB, the latter dependent upon the aggregate amount of advances obtained from the FHLB.</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FHLB advances typically require higher effective "haircuts" than those required under our current repurchase agreements due to the combination of slightly higher haircuts implemented by the FHLB of Des Moines and the requirement to acquire activity-based stock in the FHLB concurrent with such borrowings. The FHLBs also determine the fair value of the securities pledged as collateral and retain the right to adjust collateral haircuts over the term of the secured borrowings.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maintain a portfolio of highly liquid mortgage-backed securities. We may sell our agency securities through the TBA market by delivering them into TBA contracts, subject to "good delivery" provisions promulgated by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March 31, 2016, approximately 89% of our fixed rate agency MBS portfolio was eligible for TBA delivery.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the extent we raise additional equity capital through follow-on equity offerings or under our dividend reinvestment and direct stock purchase plan, we may use cash proceeds from such transactions to purchase additional investment securities, to make scheduled payments of principal and interest on our funding liabilities and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net asset value per common share, among other conditions, we may repurchase shares of our common stock.</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$2 billion.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2016, we repurchased 6.5 million shares of our common stock at an average repurchase price of $17.89 per share, including expenses, totaling $116 million. As of March 31, 2016, the total remaining amount authorized for repurchases of our common stock was $0.6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2016,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March 31, 2016, we had not guaranteed any obligations of unconsolidated entities or entered into any commitment or intent to provide funding to any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credit risk and inflation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swaptions. We also utilize U.S. Treasury securities and U.S. Treasury futures contracts, primarily through short sales, as well as TBA contracts. We may also purchase or write put or call options on TBA securities and invest in mortgage and other types of derivative instruments,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net asset value as of March 31, 2016 and December 31, 2015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March 31, 2016 and December 31, 2015.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2016</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-24.1%</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-9.2%</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+3.4%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-17.3%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+2.0%</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 w:lineRule="exact"/>
        <w:rPr>
          <w:sz w:val="20"/>
          <w:szCs w:val="20"/>
          <w:color w:val="auto"/>
        </w:rPr>
      </w:pPr>
    </w:p>
    <w:p>
      <w:pPr>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10% and 8% as of March 31, 2016 and December 31, 2015, respectively. As of March 31, 2016, rate shock scenarios assume a forecasted CPR of 17%, 13%, 9% and 8% for the -100, -50, +50 and +100 basis points scenarios, respectively. As of December 31, 2015, rate shock scenarios assume a forecasted CPR of 12%, 10%, 8%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between the yield on our investment securities and benchmark interest rates widens,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00"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net asset value as of March 31, 2016 and December 31, 2015 should spreads widen or tighten by 10 and 25 basis points. The estimated impact of changes in spreads is in addition to our interest rate shock sensitivity included in the interest rate shock table above. The table below assumes a spread duration of 4.8 years and 5.2 years as of March 31, 2016 and December 31, 2015, respectively, based on interest rates and MBS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2016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+4.0%</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right="2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FHLB advances and other short-term funding agreements. As of March 31, 2016, we had unrestricted cash and cash equivalents of $1.1 billion and unpledged securities of approximately $2.5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Manager's assumptions regarding the rate at which the borrowers will prepay the underlying mortgage loans. In general, we 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exposed to credit risk relating to potential losses that could be recognized on our non-agency securities due to delinquency, foreclosure and related losses on the underlying mortgage loans, and to counterparty credit risk relating to potential losses on our repurchase agreements, other debt and derivative contracts in the event that the counterparties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We seek to manage credit risk related to investments in non-agency securities through prudent asset selection, pre-acquisition due diligence, post-acquisition performance monitoring, sale of assets where we have identified negative credit trends and the use of various types of credit enhancements. Our overall management of credit exposure may also include the use of credit default swaps or other financial derivatives that we believe are appropriate. Additionally, we intend to limit our non-agency mortgage investments to investment grade, AAA rated securities and to up to 10% of our portfolio. However, there is no guarantee our efforts to manage credit risk will be successful and we could suffer significant losses if unsuccessful.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Virtually all of our assets and liabilities are interest rate sensitive in nature. As a result, interest rates and other factors influence our performance more so than does inflation. Changes in interest rates do not necessarily correlate with inflation rates or changes in inflation rates. Further, our consolidated financial statements are prepared in accordance with GAAP and our distributions are determined by our Board of Directors based in part on our net income as calculated for income tax purposes. In each case, our activities and consolidated balance sheets are measured with reference to historical cost and/or fair market value without considering inflation.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2016.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There have been no material changes to the risk factors previously disclosed in our Annual Report on Form 10-K for the year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58"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The following table presents information with respect to purchases of our common stock made during the three months ended March 31, 2016 by us or any "affiliated purchaser" of us, as defined in Rule 10b-18(a)(3) under the Exchange Act (in millions, except per share amounts):</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Total Number of Shares</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Net Price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4"/>
        </w:trPr>
        <w:tc>
          <w:tcPr>
            <w:tcW w:w="37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Settlement Date</w:t>
            </w:r>
          </w:p>
        </w:tc>
        <w:tc>
          <w:tcPr>
            <w:tcW w:w="17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Purchased</w:t>
            </w: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Paid Per Share</w:t>
            </w: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Plans or Programs </w:t>
            </w:r>
            <w:r>
              <w:rPr>
                <w:rFonts w:ascii="Arial" w:cs="Arial" w:eastAsia="Arial" w:hAnsi="Arial"/>
                <w:sz w:val="8"/>
                <w:szCs w:val="8"/>
                <w:b w:val="1"/>
                <w:bCs w:val="1"/>
                <w:color w:val="auto"/>
                <w:w w:val="91"/>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8, 2016 - February 29, 2016</w:t>
            </w:r>
          </w:p>
        </w:tc>
        <w:tc>
          <w:tcPr>
            <w:tcW w:w="16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$17.85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March 1, 2016 - March 21, 2016</w:t>
            </w: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$18.08</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8890</wp:posOffset>
            </wp:positionV>
            <wp:extent cx="4073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shares were purchased by us pursuant to the stock repurchase program described in Note 9 of our accompanying Consolidated Financial Statements in this Form 10-Q.</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2" w:name="page53"/>
    <w:bookmarkEnd w:id="52"/>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3.1  American Capital Agency Corp. Amended and Restated Certificate of Incorporation, as amended April 20, 2016, filed herewith.</w:t>
      </w:r>
    </w:p>
    <w:p>
      <w:pPr>
        <w:spacing w:after="0" w:line="196"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of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of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of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of Form 8-K (File No. 001-34067), filed May 8, 2014.</w:t>
      </w:r>
    </w:p>
    <w:p>
      <w:pPr>
        <w:spacing w:after="0" w:line="196" w:lineRule="exact"/>
        <w:rPr>
          <w:sz w:val="20"/>
          <w:szCs w:val="20"/>
          <w:color w:val="auto"/>
        </w:rPr>
      </w:pPr>
    </w:p>
    <w:p>
      <w:pPr>
        <w:ind w:left="1300" w:right="140" w:hanging="539"/>
        <w:spacing w:after="0" w:line="342" w:lineRule="auto"/>
        <w:rPr>
          <w:sz w:val="20"/>
          <w:szCs w:val="20"/>
          <w:color w:val="auto"/>
        </w:rPr>
      </w:pPr>
      <w:r>
        <w:rPr>
          <w:rFonts w:ascii="Arial" w:cs="Arial" w:eastAsia="Arial" w:hAnsi="Arial"/>
          <w:sz w:val="16"/>
          <w:szCs w:val="16"/>
          <w:color w:val="auto"/>
        </w:rPr>
        <w:t>*10.1 Form of American Capital Agency Corp. Amended and Restated Equity Incentive Plan for Independent Directors, incorporated herein by reference to Appendix 1 of the Definitive Proxy Statement for the 2016 Annual Meeting (File No. 001-34057), filed March 11, 2016.</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83" w:lineRule="exact"/>
        <w:rPr>
          <w:rFonts w:ascii="Arial" w:cs="Arial" w:eastAsia="Arial" w:hAnsi="Arial"/>
          <w:sz w:val="18"/>
          <w:szCs w:val="18"/>
          <w:color w:val="auto"/>
        </w:rPr>
      </w:pPr>
    </w:p>
    <w:p>
      <w:pPr>
        <w:ind w:left="880" w:hanging="467"/>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540" w:hanging="467"/>
        <w:spacing w:after="0" w:line="277"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ectPr>
          <w:pgSz w:w="11900" w:h="16838" w:orient="portrait"/>
          <w:cols w:equalWidth="0" w:num="1">
            <w:col w:w="11340"/>
          </w:cols>
          <w:pgMar w:left="240" w:top="738" w:right="319" w:bottom="1440" w:gutter="0" w:footer="0" w:header="0"/>
        </w:sectPr>
      </w:pP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40"/>
          </w:cols>
          <w:pgMar w:left="240" w:top="738" w:right="319" w:bottom="1440" w:gutter="0" w:footer="0" w:header="0"/>
          <w:type w:val="continuous"/>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Kain</w:t>
      </w:r>
    </w:p>
    <w:p>
      <w:pPr>
        <w:jc w:val="center"/>
        <w:ind w:left="6180"/>
        <w:spacing w:after="0" w:line="226" w:lineRule="auto"/>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President and Chief Investment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5,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0" w:right="27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AMENDED AND RESTATED</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CERTIFICATE OF INCORPORATION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AMERICAN CAPITAL AGENCY CORP.</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AMENDED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As amended and restated May 20, 2008</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amended June 14, 2011</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amended May 1, 2012</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amended April 20, 2016</w:t>
      </w:r>
    </w:p>
    <w:p>
      <w:pPr>
        <w:sectPr>
          <w:pgSz w:w="11900" w:h="16838" w:orient="portrait"/>
          <w:cols w:equalWidth="0" w:num="1">
            <w:col w:w="10220"/>
          </w:cols>
          <w:pgMar w:left="1440" w:top="126"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NAME</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name of the Corporation is American Capital Agency Corp.</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ADDRESS OF REGISTERED OFFICE; NAME OF REGISTERED AGENT</w:t>
      </w:r>
    </w:p>
    <w:p>
      <w:pPr>
        <w:spacing w:after="0" w:line="328" w:lineRule="exact"/>
        <w:rPr>
          <w:sz w:val="20"/>
          <w:szCs w:val="20"/>
          <w:color w:val="auto"/>
        </w:rPr>
      </w:pPr>
    </w:p>
    <w:p>
      <w:pPr>
        <w:ind w:right="80" w:firstLine="1297"/>
        <w:spacing w:after="0" w:line="343" w:lineRule="auto"/>
        <w:rPr>
          <w:sz w:val="20"/>
          <w:szCs w:val="20"/>
          <w:color w:val="auto"/>
        </w:rPr>
      </w:pPr>
      <w:r>
        <w:rPr>
          <w:rFonts w:ascii="Arial" w:cs="Arial" w:eastAsia="Arial" w:hAnsi="Arial"/>
          <w:sz w:val="19"/>
          <w:szCs w:val="19"/>
          <w:color w:val="auto"/>
        </w:rPr>
        <w:t>The address of the registered office of the Corporation in the State of Delaware is 1209 Orange Street, in the City of Wilmington, County of New Castle. The name of its registered agent at that address is The Corporation Trust Company.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PURPOSE AND POWER</w:t>
      </w:r>
    </w:p>
    <w:p>
      <w:pPr>
        <w:spacing w:after="0" w:line="328"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auto"/>
        </w:rPr>
        <w:t>The purpose of the Corporation is to engage in any lawful act or activity for which a corporation may be organized under the General Corporation Law.</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CAPITAL STOCK</w:t>
      </w:r>
    </w:p>
    <w:p>
      <w:pPr>
        <w:spacing w:after="0" w:line="220" w:lineRule="exact"/>
        <w:rPr>
          <w:sz w:val="20"/>
          <w:szCs w:val="20"/>
          <w:color w:val="auto"/>
        </w:rPr>
      </w:pPr>
    </w:p>
    <w:p>
      <w:pPr>
        <w:ind w:left="80" w:firstLine="1202"/>
        <w:spacing w:after="0" w:line="250"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Total Number of Shares of Capital Stock.</w:t>
      </w:r>
      <w:r>
        <w:rPr>
          <w:rFonts w:ascii="Arial" w:cs="Arial" w:eastAsia="Arial" w:hAnsi="Arial"/>
          <w:sz w:val="22"/>
          <w:szCs w:val="22"/>
          <w:color w:val="auto"/>
        </w:rPr>
        <w:t xml:space="preserve"> The total number of shares of capital stock of all classes that the Corporation shall have authority to issue is 610,000,000 shares. The authorized stock is divided into 10,000,000 shares of preferred stock, with the par value of $0.01 each (the “Preferred Stock”), and 600,000,000 shares of common stock, with the par value of $0.01 each (the “Common Stock”). The Board of Directors of the Corporation (the “Board of Directors”) may classify any unissued shares of stock and reclassify any previously classified but unissued shares of stock from time to time, in one or more classes or series of stock</w:t>
      </w:r>
      <w:r>
        <w:rPr>
          <w:rFonts w:ascii="Arial" w:cs="Arial" w:eastAsia="Arial" w:hAnsi="Arial"/>
          <w:sz w:val="18"/>
          <w:szCs w:val="18"/>
          <w:color w:val="auto"/>
        </w:rPr>
        <w:t>.</w:t>
      </w:r>
    </w:p>
    <w:p>
      <w:pPr>
        <w:spacing w:after="0" w:line="310" w:lineRule="exact"/>
        <w:rPr>
          <w:sz w:val="20"/>
          <w:szCs w:val="20"/>
          <w:color w:val="auto"/>
        </w:rPr>
      </w:pPr>
    </w:p>
    <w:p>
      <w:pPr>
        <w:ind w:right="140" w:firstLine="1297"/>
        <w:spacing w:after="0" w:line="248"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Preferred Stock.</w:t>
      </w:r>
      <w:r>
        <w:rPr>
          <w:rFonts w:ascii="Arial" w:cs="Arial" w:eastAsia="Arial" w:hAnsi="Arial"/>
          <w:sz w:val="22"/>
          <w:szCs w:val="22"/>
          <w:color w:val="auto"/>
        </w:rPr>
        <w:t xml:space="preserve"> Authority is hereby expressly granted to the Board of Directors of the Corporation (the "Board of Directors"), subject to the provisions of this Article IV and to the limitations prescribed by the General Corporation Law, to authorize the issue of one or more classes of Preferred Stock and, with respect to each such class, to fix by resolution or resolutions providing for the issue of such class the voting powers, full or limited, if any, of the shares of such class, the designations, preferences and relative, participating, optional or other special rights, and qualifications, limitations or restrictions thereof. The authority of the Board of Directors with respect to each class thereof shall include, but not be limited to, the determination or fixing of the following:</w:t>
      </w:r>
    </w:p>
    <w:p>
      <w:pPr>
        <w:spacing w:after="0" w:line="196" w:lineRule="exact"/>
        <w:rPr>
          <w:sz w:val="20"/>
          <w:szCs w:val="20"/>
          <w:color w:val="auto"/>
        </w:rPr>
      </w:pPr>
    </w:p>
    <w:p>
      <w:pPr>
        <w:ind w:left="1720" w:hanging="415"/>
        <w:spacing w:after="0"/>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designation of such class;</w:t>
      </w:r>
    </w:p>
    <w:p>
      <w:pPr>
        <w:spacing w:after="0" w:line="233" w:lineRule="exact"/>
        <w:rPr>
          <w:rFonts w:ascii="Arial" w:cs="Arial" w:eastAsia="Arial" w:hAnsi="Arial"/>
          <w:sz w:val="22"/>
          <w:szCs w:val="22"/>
          <w:color w:val="auto"/>
        </w:rPr>
      </w:pPr>
    </w:p>
    <w:p>
      <w:pPr>
        <w:jc w:val="both"/>
        <w:ind w:right="520" w:firstLine="1305"/>
        <w:spacing w:after="0" w:line="320" w:lineRule="auto"/>
        <w:tabs>
          <w:tab w:leader="none" w:pos="1728"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number of shares to compose such class, which number the Board of Directors may thereafter (except where otherwise provided in a resolution designating a particular class) increase (but not above the total number of authorized shares of the class) or decrease (but not below the number of shares thereof then outstanding);</w:t>
      </w:r>
    </w:p>
    <w:p>
      <w:pPr>
        <w:spacing w:after="0" w:line="125" w:lineRule="exact"/>
        <w:rPr>
          <w:rFonts w:ascii="Arial" w:cs="Arial" w:eastAsia="Arial" w:hAnsi="Arial"/>
          <w:sz w:val="19"/>
          <w:szCs w:val="19"/>
          <w:color w:val="auto"/>
        </w:rPr>
      </w:pPr>
    </w:p>
    <w:p>
      <w:pPr>
        <w:ind w:right="660" w:firstLine="1305"/>
        <w:spacing w:after="0" w:line="276" w:lineRule="auto"/>
        <w:tabs>
          <w:tab w:leader="none" w:pos="17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dividend rate of such class, the conditions and dates upon which such dividends shall be payable, the relation which such dividends shall bear to the dividends payable on any other class</w:t>
      </w:r>
    </w:p>
    <w:p>
      <w:pPr>
        <w:sectPr>
          <w:pgSz w:w="11900" w:h="16838" w:orient="portrait"/>
          <w:cols w:equalWidth="0" w:num="1">
            <w:col w:w="11420"/>
          </w:cols>
          <w:pgMar w:left="240" w:top="807"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or classes of capital stock of the Corporation and whether such dividends shall be cumulative or noncumulative;</w:t>
      </w:r>
    </w:p>
    <w:p>
      <w:pPr>
        <w:spacing w:after="0" w:line="220" w:lineRule="exact"/>
        <w:rPr>
          <w:sz w:val="20"/>
          <w:szCs w:val="20"/>
          <w:color w:val="auto"/>
        </w:rPr>
      </w:pPr>
    </w:p>
    <w:p>
      <w:pPr>
        <w:ind w:right="60" w:firstLine="1305"/>
        <w:spacing w:after="0" w:line="276" w:lineRule="auto"/>
        <w:tabs>
          <w:tab w:leader="none" w:pos="1728" w:val="left"/>
        </w:tabs>
        <w:numPr>
          <w:ilvl w:val="0"/>
          <w:numId w:val="35"/>
        </w:numPr>
        <w:rPr>
          <w:rFonts w:ascii="Arial" w:cs="Arial" w:eastAsia="Arial" w:hAnsi="Arial"/>
          <w:sz w:val="22"/>
          <w:szCs w:val="22"/>
          <w:color w:val="auto"/>
        </w:rPr>
      </w:pPr>
      <w:r>
        <w:rPr>
          <w:rFonts w:ascii="Arial" w:cs="Arial" w:eastAsia="Arial" w:hAnsi="Arial"/>
          <w:sz w:val="22"/>
          <w:szCs w:val="22"/>
          <w:color w:val="auto"/>
        </w:rPr>
        <w:t>whether the shares of such class shall be subject to redemption by the Corporation and, if made subject to such redemption, the times, prices and other terms and conditions of such redemption;</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terms and amount of any sinking fund provided for the purchase or redemption of the shares of such class;</w:t>
      </w:r>
    </w:p>
    <w:p>
      <w:pPr>
        <w:spacing w:after="0" w:line="267" w:lineRule="exact"/>
        <w:rPr>
          <w:rFonts w:ascii="Arial" w:cs="Arial" w:eastAsia="Arial" w:hAnsi="Arial"/>
          <w:sz w:val="19"/>
          <w:szCs w:val="19"/>
          <w:color w:val="auto"/>
        </w:rPr>
      </w:pPr>
    </w:p>
    <w:p>
      <w:pPr>
        <w:ind w:right="360" w:firstLine="1305"/>
        <w:spacing w:after="0" w:line="278" w:lineRule="auto"/>
        <w:tabs>
          <w:tab w:leader="none" w:pos="1692" w:val="left"/>
        </w:tabs>
        <w:numPr>
          <w:ilvl w:val="0"/>
          <w:numId w:val="35"/>
        </w:numPr>
        <w:rPr>
          <w:rFonts w:ascii="Arial" w:cs="Arial" w:eastAsia="Arial" w:hAnsi="Arial"/>
          <w:sz w:val="21"/>
          <w:szCs w:val="21"/>
          <w:color w:val="auto"/>
        </w:rPr>
      </w:pPr>
      <w:r>
        <w:rPr>
          <w:rFonts w:ascii="Arial" w:cs="Arial" w:eastAsia="Arial" w:hAnsi="Arial"/>
          <w:sz w:val="21"/>
          <w:szCs w:val="21"/>
          <w:color w:val="auto"/>
        </w:rPr>
        <w:t>whether the shares of such class shall be convertible into or exchangeable for shares of any other class or classes of any capital stock or any other securities of the Corporation, and, if provision is made for conversion or exchange, the times, prices, rates, adjustments and other terms and conditions of such conversion or exchange;</w:t>
      </w:r>
    </w:p>
    <w:p>
      <w:pPr>
        <w:spacing w:after="0" w:line="160" w:lineRule="exact"/>
        <w:rPr>
          <w:rFonts w:ascii="Arial" w:cs="Arial" w:eastAsia="Arial" w:hAnsi="Arial"/>
          <w:sz w:val="21"/>
          <w:szCs w:val="21"/>
          <w:color w:val="auto"/>
        </w:rPr>
      </w:pPr>
    </w:p>
    <w:p>
      <w:pPr>
        <w:ind w:right="620" w:firstLine="1305"/>
        <w:spacing w:after="0" w:line="276" w:lineRule="auto"/>
        <w:tabs>
          <w:tab w:leader="none" w:pos="172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extent, if any, to which the holders of shares of such class shall be entitled to vote with respect to the election of directors or otherwise;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restrictions, if any, on the issue or reissue of any additional Preferred Stock;</w:t>
      </w:r>
    </w:p>
    <w:p>
      <w:pPr>
        <w:spacing w:after="0" w:line="233" w:lineRule="exact"/>
        <w:rPr>
          <w:rFonts w:ascii="Arial" w:cs="Arial" w:eastAsia="Arial" w:hAnsi="Arial"/>
          <w:sz w:val="22"/>
          <w:szCs w:val="22"/>
          <w:color w:val="auto"/>
        </w:rPr>
      </w:pPr>
    </w:p>
    <w:p>
      <w:pPr>
        <w:ind w:firstLine="1305"/>
        <w:spacing w:after="0" w:line="276" w:lineRule="auto"/>
        <w:tabs>
          <w:tab w:leader="none" w:pos="16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rights of the holders of the shares of such class upon the dissolution of, voluntary or involuntary liquidation, winding up or upon the distribution of assets of the Corporation; and</w:t>
      </w:r>
    </w:p>
    <w:p>
      <w:pPr>
        <w:spacing w:after="0" w:line="160" w:lineRule="exact"/>
        <w:rPr>
          <w:rFonts w:ascii="Arial" w:cs="Arial" w:eastAsia="Arial" w:hAnsi="Arial"/>
          <w:sz w:val="22"/>
          <w:szCs w:val="22"/>
          <w:color w:val="auto"/>
        </w:rPr>
      </w:pPr>
    </w:p>
    <w:p>
      <w:pPr>
        <w:ind w:right="60" w:firstLine="1305"/>
        <w:spacing w:after="0" w:line="260" w:lineRule="auto"/>
        <w:tabs>
          <w:tab w:leader="none" w:pos="16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manner in which any facts ascertainable outside the resolution or resolutions providing for the issue of such class shall operate upon the voting powers, designations, preferences, rights and qualifications, limitations or restrictions of such class.</w:t>
      </w:r>
    </w:p>
    <w:p>
      <w:pPr>
        <w:spacing w:after="0" w:line="177"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Common Stock.</w:t>
      </w:r>
      <w:r>
        <w:rPr>
          <w:rFonts w:ascii="Arial" w:cs="Arial" w:eastAsia="Arial" w:hAnsi="Arial"/>
          <w:sz w:val="22"/>
          <w:szCs w:val="22"/>
          <w:color w:val="auto"/>
        </w:rPr>
        <w:t xml:space="preserve"> (a) Subject to all of the rights of the holders of Preferred Stock provided for by resolution or resolutions of the Board of Directors pursuant to this Article IV or by the General Corporation Law, each holder of Common Stock shall have one vote per share of Common Stock held by such holder on all matters on which holders of Common Stock are entitled to vote and shall have the right to receive notice of and to vote at all meetings of the stockholders of the Corporation.</w:t>
      </w:r>
    </w:p>
    <w:p>
      <w:pPr>
        <w:spacing w:after="0" w:line="190" w:lineRule="exact"/>
        <w:rPr>
          <w:sz w:val="20"/>
          <w:szCs w:val="20"/>
          <w:color w:val="auto"/>
        </w:rPr>
      </w:pPr>
    </w:p>
    <w:p>
      <w:pPr>
        <w:ind w:right="20" w:firstLine="1305"/>
        <w:spacing w:after="0" w:line="250" w:lineRule="auto"/>
        <w:tabs>
          <w:tab w:leader="none" w:pos="1603"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holders of Common Stock shall have the right to receive dividends as and when declared by the Board of Directors in its sole discretion, subject to any limitations on the declaring of dividends imposed by the General Corporation Law or the rights of holders of Preferred Stock provided for by resolution or resolutions of the Board of Directors pursuant to this Article IV.</w:t>
      </w:r>
    </w:p>
    <w:p>
      <w:pPr>
        <w:spacing w:after="0" w:line="188" w:lineRule="exact"/>
        <w:rPr>
          <w:rFonts w:ascii="Arial" w:cs="Arial" w:eastAsia="Arial" w:hAnsi="Arial"/>
          <w:sz w:val="22"/>
          <w:szCs w:val="22"/>
          <w:color w:val="auto"/>
        </w:rPr>
      </w:pPr>
    </w:p>
    <w:p>
      <w:pPr>
        <w:ind w:right="660" w:firstLine="1305"/>
        <w:spacing w:after="0" w:line="263" w:lineRule="auto"/>
        <w:tabs>
          <w:tab w:leader="none" w:pos="1590" w:val="left"/>
        </w:tabs>
        <w:numPr>
          <w:ilvl w:val="0"/>
          <w:numId w:val="36"/>
        </w:numPr>
        <w:rPr>
          <w:rFonts w:ascii="Arial" w:cs="Arial" w:eastAsia="Arial" w:hAnsi="Arial"/>
          <w:sz w:val="22"/>
          <w:szCs w:val="22"/>
          <w:color w:val="auto"/>
        </w:rPr>
      </w:pPr>
      <w:r>
        <w:rPr>
          <w:rFonts w:ascii="Arial" w:cs="Arial" w:eastAsia="Arial" w:hAnsi="Arial"/>
          <w:sz w:val="22"/>
          <w:szCs w:val="22"/>
          <w:color w:val="auto"/>
        </w:rPr>
        <w:t>Stockholders shall not have preemptive rights to acquire additional shares of stock of any class which the Corporation may elect to issue or sell.</w:t>
      </w:r>
    </w:p>
    <w:p>
      <w:pPr>
        <w:spacing w:after="0" w:line="175" w:lineRule="exact"/>
        <w:rPr>
          <w:sz w:val="20"/>
          <w:szCs w:val="20"/>
          <w:color w:val="auto"/>
        </w:rPr>
      </w:pPr>
    </w:p>
    <w:p>
      <w:pPr>
        <w:ind w:firstLine="1297"/>
        <w:spacing w:after="0" w:line="290"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Issuance of Rights to Purchase Securities and Other Property.</w:t>
      </w:r>
      <w:r>
        <w:rPr>
          <w:rFonts w:ascii="Arial" w:cs="Arial" w:eastAsia="Arial" w:hAnsi="Arial"/>
          <w:sz w:val="19"/>
          <w:szCs w:val="19"/>
          <w:color w:val="auto"/>
        </w:rPr>
        <w:t xml:space="preserve"> Subject to all of the rights of the holders of Preferred Stock provided for by resolution or resolutions of the Board of Directors pursuant to this Article IV or by the General Corporation Law, the Board of Directors is hereby authorized to create and to authorize and direct the issuance (on either a pro rata or a non-pro rata basis) by the Corporation of rights, options and warrants for the purchase of shares of capital stock of the Corporation, other securities of the Corporation or shares or other securities of any successor in interest of the Corporation (a "Successor"), at such times, in such amounts, to such persons, for such consideration, with such form and content (including without limitation the consideration for which any shares of capital stock of the Corporation, other securities of the Corporation or shares or other securities of any Successor are to be issued) and upon such terms and conditions as it may from time to time determine, subject only to the restrictions, limitations, conditions and requirements imposed by the General Corporation Law, other applicable laws and this Certificate of Incorporation.</w:t>
      </w:r>
    </w:p>
    <w:p>
      <w:pPr>
        <w:sectPr>
          <w:pgSz w:w="11900" w:h="16838" w:orient="portrait"/>
          <w:cols w:equalWidth="0" w:num="1">
            <w:col w:w="11360"/>
          </w:cols>
          <w:pgMar w:left="240" w:top="483" w:right="299" w:bottom="1440" w:gutter="0" w:footer="0" w:header="0"/>
        </w:sectPr>
      </w:pPr>
    </w:p>
    <w:bookmarkStart w:id="57" w:name="page58"/>
    <w:bookmarkEnd w:id="57"/>
    <w:p>
      <w:pPr>
        <w:ind w:right="160" w:firstLine="1297"/>
        <w:spacing w:after="0" w:line="358"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Certificate of Incorporation and By-laws.</w:t>
      </w:r>
      <w:r>
        <w:rPr>
          <w:rFonts w:ascii="Arial" w:cs="Arial" w:eastAsia="Arial" w:hAnsi="Arial"/>
          <w:sz w:val="19"/>
          <w:szCs w:val="19"/>
          <w:color w:val="auto"/>
        </w:rPr>
        <w:t xml:space="preserve"> All persons who shall acquire stock in the Corporation shall acquire the same subject to the provisions of the Certificate of Incorporation and the By-laws of the Corporation (the "By-laws").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BOARD OF DIRECTORS</w:t>
      </w:r>
    </w:p>
    <w:p>
      <w:pPr>
        <w:spacing w:after="0" w:line="328" w:lineRule="exact"/>
        <w:rPr>
          <w:sz w:val="20"/>
          <w:szCs w:val="20"/>
          <w:color w:val="auto"/>
        </w:rPr>
      </w:pPr>
    </w:p>
    <w:p>
      <w:pPr>
        <w:ind w:right="280" w:firstLine="1297"/>
        <w:spacing w:after="0" w:line="260"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Power of the Board of Directors.</w:t>
      </w:r>
      <w:r>
        <w:rPr>
          <w:rFonts w:ascii="Arial" w:cs="Arial" w:eastAsia="Arial" w:hAnsi="Arial"/>
          <w:sz w:val="22"/>
          <w:szCs w:val="22"/>
          <w:color w:val="auto"/>
        </w:rPr>
        <w:t xml:space="preserve"> The business and affairs of the Corporation shall be managed by or under the direction of its Board of Directors. In furtherance, and not in limitation, of the powers conferred by the General Corporation Law, the Board of Directors is expressly authorized to:</w:t>
      </w:r>
    </w:p>
    <w:p>
      <w:pPr>
        <w:spacing w:after="0" w:line="177" w:lineRule="exact"/>
        <w:rPr>
          <w:sz w:val="20"/>
          <w:szCs w:val="20"/>
          <w:color w:val="auto"/>
        </w:rPr>
      </w:pPr>
    </w:p>
    <w:p>
      <w:pPr>
        <w:ind w:right="320" w:firstLine="1305"/>
        <w:spacing w:after="0" w:line="263" w:lineRule="auto"/>
        <w:tabs>
          <w:tab w:leader="none" w:pos="159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adopt, amend, alter, change or repeal the By-laws; provided, however, that no By-laws hereafter adopted shall invalidate any prior act of the directors that was valid at the time such action was taken;</w:t>
      </w:r>
    </w:p>
    <w:p>
      <w:pPr>
        <w:spacing w:after="0" w:line="174" w:lineRule="exact"/>
        <w:rPr>
          <w:rFonts w:ascii="Arial" w:cs="Arial" w:eastAsia="Arial" w:hAnsi="Arial"/>
          <w:sz w:val="22"/>
          <w:szCs w:val="22"/>
          <w:color w:val="auto"/>
        </w:rPr>
      </w:pPr>
    </w:p>
    <w:p>
      <w:pPr>
        <w:ind w:firstLine="1305"/>
        <w:spacing w:after="0" w:line="248" w:lineRule="auto"/>
        <w:tabs>
          <w:tab w:leader="none" w:pos="1603" w:val="left"/>
        </w:tabs>
        <w:numPr>
          <w:ilvl w:val="0"/>
          <w:numId w:val="37"/>
        </w:numPr>
        <w:rPr>
          <w:rFonts w:ascii="Arial" w:cs="Arial" w:eastAsia="Arial" w:hAnsi="Arial"/>
          <w:sz w:val="22"/>
          <w:szCs w:val="22"/>
          <w:color w:val="auto"/>
        </w:rPr>
      </w:pPr>
      <w:r>
        <w:rPr>
          <w:rFonts w:ascii="Arial" w:cs="Arial" w:eastAsia="Arial" w:hAnsi="Arial"/>
          <w:sz w:val="22"/>
          <w:szCs w:val="22"/>
          <w:color w:val="auto"/>
        </w:rPr>
        <w:t>determine the rights, powers, duties, rules and procedures that affect the power of the Board of Directors to manage and direct the business and affairs of the Corporation, including the power to designate and empower committees of the Board of Directors to elect, appoint and empower the officers and other agents of the Corporation, and to determine the time and place of, and the notice requirements for, Board meetings, as well as quorum and voting requirements for, and the manner of taking, Board action; and</w:t>
      </w:r>
    </w:p>
    <w:p>
      <w:pPr>
        <w:spacing w:after="0" w:line="192" w:lineRule="exact"/>
        <w:rPr>
          <w:rFonts w:ascii="Arial" w:cs="Arial" w:eastAsia="Arial" w:hAnsi="Arial"/>
          <w:sz w:val="22"/>
          <w:szCs w:val="22"/>
          <w:color w:val="auto"/>
        </w:rPr>
      </w:pPr>
    </w:p>
    <w:p>
      <w:pPr>
        <w:ind w:right="520" w:firstLine="1305"/>
        <w:spacing w:after="0" w:line="263" w:lineRule="auto"/>
        <w:tabs>
          <w:tab w:leader="none" w:pos="159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exercise all such powers and do all such acts as may be exercised or done by the Corporation, subject to the provisions of the General Corporation Law, this Certificate of Incorporation and the By-laws.</w:t>
      </w:r>
    </w:p>
    <w:p>
      <w:pPr>
        <w:spacing w:after="0" w:line="175" w:lineRule="exact"/>
        <w:rPr>
          <w:sz w:val="20"/>
          <w:szCs w:val="20"/>
          <w:color w:val="auto"/>
        </w:rPr>
      </w:pPr>
    </w:p>
    <w:p>
      <w:pPr>
        <w:ind w:right="100" w:firstLine="1297"/>
        <w:spacing w:after="0" w:line="276"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Number of Directors.</w:t>
      </w:r>
      <w:r>
        <w:rPr>
          <w:rFonts w:ascii="Arial" w:cs="Arial" w:eastAsia="Arial" w:hAnsi="Arial"/>
          <w:sz w:val="22"/>
          <w:szCs w:val="22"/>
          <w:color w:val="auto"/>
        </w:rPr>
        <w:t xml:space="preserve"> The number of directors constituting the Board of Directors shall be as specified in the By-laws of the Corporation.</w:t>
      </w:r>
    </w:p>
    <w:p>
      <w:pPr>
        <w:spacing w:after="0" w:line="161" w:lineRule="exact"/>
        <w:rPr>
          <w:sz w:val="20"/>
          <w:szCs w:val="20"/>
          <w:color w:val="auto"/>
        </w:rPr>
      </w:pPr>
    </w:p>
    <w:p>
      <w:pPr>
        <w:ind w:right="200" w:firstLine="1297"/>
        <w:spacing w:after="0" w:line="254"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Classes, Election and Term.</w:t>
      </w:r>
      <w:r>
        <w:rPr>
          <w:rFonts w:ascii="Arial" w:cs="Arial" w:eastAsia="Arial" w:hAnsi="Arial"/>
          <w:sz w:val="22"/>
          <w:szCs w:val="22"/>
          <w:color w:val="auto"/>
        </w:rPr>
        <w:t xml:space="preserve"> The directors shall be elected by the stockholders at each annual meeting of the stockholders for a one-year term. The term of all current directors will end at the 2009 annual meeting of stockholders. Commencing with the 2009 annual meeting of stockholders, each director shall hold office for a one-year term and until such director's successor shall have been duly elected and qualified.</w:t>
      </w:r>
    </w:p>
    <w:p>
      <w:pPr>
        <w:spacing w:after="0" w:line="185" w:lineRule="exact"/>
        <w:rPr>
          <w:sz w:val="20"/>
          <w:szCs w:val="20"/>
          <w:color w:val="auto"/>
        </w:rPr>
      </w:pPr>
    </w:p>
    <w:p>
      <w:pPr>
        <w:jc w:val="both"/>
        <w:ind w:right="60" w:firstLine="1297"/>
        <w:spacing w:after="0" w:line="307"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Vacancies.</w:t>
      </w:r>
      <w:r>
        <w:rPr>
          <w:rFonts w:ascii="Arial" w:cs="Arial" w:eastAsia="Arial" w:hAnsi="Arial"/>
          <w:sz w:val="19"/>
          <w:szCs w:val="19"/>
          <w:color w:val="auto"/>
        </w:rPr>
        <w:t xml:space="preserve"> Any vacancies in the Board of Directors for any reason and any newly created directorships resulting by reason of any increase in the number of directors may be filled only by the Board of Directors, acting by a majority of the remaining directors then in office, although less than a quorum, or by a sole remaining director, and any directors so appointed shall hold office until the next annual election of directors and until their successors are duly elected and qualified.</w:t>
      </w:r>
    </w:p>
    <w:p>
      <w:pPr>
        <w:spacing w:after="0" w:line="138" w:lineRule="exact"/>
        <w:rPr>
          <w:sz w:val="20"/>
          <w:szCs w:val="20"/>
          <w:color w:val="auto"/>
        </w:rPr>
      </w:pPr>
    </w:p>
    <w:p>
      <w:pPr>
        <w:ind w:right="80" w:firstLine="1297"/>
        <w:spacing w:after="0" w:line="266"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Removal of Directors.</w:t>
      </w:r>
      <w:r>
        <w:rPr>
          <w:rFonts w:ascii="Arial" w:cs="Arial" w:eastAsia="Arial" w:hAnsi="Arial"/>
          <w:sz w:val="21"/>
          <w:szCs w:val="21"/>
          <w:color w:val="auto"/>
        </w:rPr>
        <w:t xml:space="preserve"> Except as may be provided in a resolution or resolutions providing for any class of Preferred Stock pursuant to Article IV hereof, with respect to any directors elected by the holders of such class, any director, or the entire Board of Directors, may be removed from office at any time with or without cause by the affirmative vote of the holders of at least sixty-six percent (66%) of the voting power of all of the shares of capital stock of the Corporation then entitled to vote generally in the election of directors, voting together as a single class.</w:t>
      </w:r>
    </w:p>
    <w:p>
      <w:pPr>
        <w:spacing w:after="0" w:line="174" w:lineRule="exact"/>
        <w:rPr>
          <w:sz w:val="20"/>
          <w:szCs w:val="20"/>
          <w:color w:val="auto"/>
        </w:rPr>
      </w:pPr>
    </w:p>
    <w:p>
      <w:pPr>
        <w:ind w:right="120" w:firstLine="1297"/>
        <w:spacing w:after="0" w:line="254"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REIT Qualification.</w:t>
      </w:r>
      <w:r>
        <w:rPr>
          <w:rFonts w:ascii="Arial" w:cs="Arial" w:eastAsia="Arial" w:hAnsi="Arial"/>
          <w:sz w:val="22"/>
          <w:szCs w:val="22"/>
          <w:color w:val="auto"/>
        </w:rPr>
        <w:t xml:space="preserve"> If the Corporation elects to qualify for federal income tax treatment as a REIT (as defined in Article VIII hereof), the Board of Directors shall use its reasonable best efforts to take such actions as are necessary or appropriate to preserve the qualification of the Corporation as a REIT; however, if the Board of Directors determines that it is no longer in the best</w:t>
      </w:r>
    </w:p>
    <w:p>
      <w:pPr>
        <w:sectPr>
          <w:pgSz w:w="11900" w:h="16838" w:orient="portrait"/>
          <w:cols w:equalWidth="0" w:num="1">
            <w:col w:w="11420"/>
          </w:cols>
          <w:pgMar w:left="240" w:top="483" w:right="239" w:bottom="1440" w:gutter="0" w:footer="0" w:header="0"/>
        </w:sectPr>
      </w:pPr>
    </w:p>
    <w:bookmarkStart w:id="58" w:name="page59"/>
    <w:bookmarkEnd w:id="58"/>
    <w:p>
      <w:pPr>
        <w:ind w:right="20"/>
        <w:spacing w:after="0" w:line="250" w:lineRule="auto"/>
        <w:rPr>
          <w:sz w:val="20"/>
          <w:szCs w:val="20"/>
          <w:color w:val="auto"/>
        </w:rPr>
      </w:pPr>
      <w:r>
        <w:rPr>
          <w:rFonts w:ascii="Arial" w:cs="Arial" w:eastAsia="Arial" w:hAnsi="Arial"/>
          <w:sz w:val="22"/>
          <w:szCs w:val="22"/>
          <w:color w:val="auto"/>
        </w:rPr>
        <w:t>interests of the Corporation to continue to be qualified as a REIT, the Board of Directors may revoke or otherwise terminate the Corporation's REIT election pursuant to Section 856(g) of the Code (as defined in Article VIII hereof). The Board of Directors also may determine that compliance with any restriction or limitation on stock ownership and transfers set forth in Article VIII hereof is no longer required for REIT qualification.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STOCKHOLDER ACTION</w:t>
      </w:r>
    </w:p>
    <w:p>
      <w:pPr>
        <w:spacing w:after="0" w:line="328"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1"/>
          <w:szCs w:val="21"/>
          <w:color w:val="auto"/>
        </w:rPr>
        <w:t>Except as may be provided in a resolution or resolutions providing for any class of Preferred Stock pursuant to Article IV hereof, any action required or permitted to be taken by the stockholders of the Corporation must be effected at a duly called annual or special meeting of such holders and may not be effected by any consent in writing by such holders. Meetings of stockholders may be held within or without the State of Delaware, as the By-laws may provide. Elections of directors need not be by written ballot, unless otherwise provided in the By-laws of the Corporation.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INDEMNIFICATION</w:t>
      </w:r>
    </w:p>
    <w:p>
      <w:pPr>
        <w:spacing w:after="0" w:line="328" w:lineRule="exact"/>
        <w:rPr>
          <w:sz w:val="20"/>
          <w:szCs w:val="20"/>
          <w:color w:val="auto"/>
        </w:rPr>
      </w:pPr>
    </w:p>
    <w:p>
      <w:pPr>
        <w:jc w:val="both"/>
        <w:ind w:right="180" w:firstLine="1297"/>
        <w:spacing w:after="0" w:line="260"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Right to Indemnification.</w:t>
      </w:r>
      <w:r>
        <w:rPr>
          <w:rFonts w:ascii="Arial" w:cs="Arial" w:eastAsia="Arial" w:hAnsi="Arial"/>
          <w:sz w:val="22"/>
          <w:szCs w:val="22"/>
          <w:color w:val="auto"/>
        </w:rPr>
        <w:t xml:space="preserve"> Each person who was or is made a party or is threatened to be made a party to or is otherwise involved in any action, suit or proceeding, whether civil, criminal, administrative or investigative (hereinafter a "proceeding"), by reason of the fact:</w:t>
      </w:r>
    </w:p>
    <w:p>
      <w:pPr>
        <w:spacing w:after="0" w:line="177" w:lineRule="exact"/>
        <w:rPr>
          <w:sz w:val="20"/>
          <w:szCs w:val="20"/>
          <w:color w:val="auto"/>
        </w:rPr>
      </w:pPr>
    </w:p>
    <w:p>
      <w:pPr>
        <w:ind w:left="1600" w:hanging="295"/>
        <w:spacing w:after="0"/>
        <w:tabs>
          <w:tab w:leader="none" w:pos="16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that he or she is or was a director or officer of the Corporation, or</w:t>
      </w:r>
    </w:p>
    <w:p>
      <w:pPr>
        <w:spacing w:after="0" w:line="219" w:lineRule="exact"/>
        <w:rPr>
          <w:rFonts w:ascii="Arial" w:cs="Arial" w:eastAsia="Arial" w:hAnsi="Arial"/>
          <w:sz w:val="22"/>
          <w:szCs w:val="22"/>
          <w:color w:val="auto"/>
        </w:rPr>
      </w:pPr>
    </w:p>
    <w:p>
      <w:pPr>
        <w:ind w:right="120" w:firstLine="1305"/>
        <w:spacing w:after="0" w:line="253" w:lineRule="auto"/>
        <w:tabs>
          <w:tab w:leader="none" w:pos="1603"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that he or she, being at the time a director or officer of the Corporation, is or was serving at the request of the Corporation as a director, trustee, officer, employee or agent of another corporation or of a partnership, joint venture, trust or other enterprise (collectively, "another enterprise" or "other enterprise"),</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whether either in case (a) or in case (b) the basis of such proceeding is alleged action or inaction (x) in an official capacity as a director or officer of the Corporation, or as a director, trustee, officer, employee or agent of such other enterprise, or (y) in any other capacity related to the Corporation or such other enterprise while so serving as a director, trustee, officer, employee or agent, shall be indemnified and held harmless by the Corporation to the fullest extent not prohibited by Section 145 of the General Corporation Law, (or any successor provision or provisions, respectively) as the same exists or may hereafter be amended, respectively (but, in the case of any amendment to Section 145 of the General Corporation Law, with respect to actions taken prior to such amendment, only to the extent that such amendment permits the Corporation to provide broader indemnification rights than permitted prior thereto), against all expense, liability and loss (including, without limitation, attorneys' fees, judgments, fines, ERISA excise taxes or penalties and amounts paid in settlement) reasonably incurred or suffered by such person in connection therewith if such person satisfied the applicable level of care to permit such indemnification under the General Corporation Law; provided however, that nothing in this Article VII shall indemnify any person to the extent that such person has committed willful misfeasance, bad faith, gross negligence or reckless disregard involved in the conduct of such person's duties to or for the Corporation. The persons indemnified by this Article VII are hereinafter referred to as "indemnities." Such indemnification as to such alleged action or inaction shall continue as to an indemnitee who has after such alleged action or inaction ceased to be a director or officer of the Corporation, or director, officer, employee or agent of another enterprise; and shall inure to the benefit of the indemnitee's heirs, executors and administrators. The right to indemnification conferred in this Article VII: (i) shall be a contract right; (ii) shall not be</w:t>
      </w:r>
    </w:p>
    <w:p>
      <w:pPr>
        <w:sectPr>
          <w:pgSz w:w="11900" w:h="16838" w:orient="portrait"/>
          <w:cols w:equalWidth="0" w:num="1">
            <w:col w:w="11400"/>
          </w:cols>
          <w:pgMar w:left="240" w:top="483" w:right="259" w:bottom="1440" w:gutter="0" w:footer="0" w:header="0"/>
        </w:sectPr>
      </w:pPr>
    </w:p>
    <w:bookmarkStart w:id="59" w:name="page60"/>
    <w:bookmarkEnd w:id="59"/>
    <w:p>
      <w:pPr>
        <w:jc w:val="both"/>
        <w:ind w:right="80"/>
        <w:spacing w:after="0" w:line="312" w:lineRule="auto"/>
        <w:rPr>
          <w:sz w:val="20"/>
          <w:szCs w:val="20"/>
          <w:color w:val="auto"/>
        </w:rPr>
      </w:pPr>
      <w:r>
        <w:rPr>
          <w:rFonts w:ascii="Arial" w:cs="Arial" w:eastAsia="Arial" w:hAnsi="Arial"/>
          <w:sz w:val="19"/>
          <w:szCs w:val="19"/>
          <w:color w:val="auto"/>
        </w:rPr>
        <w:t>affected adversely as to any indemnitee by any amendment of this Certificate with respect to any action or inaction occurring prior to such amendment; and (iii) shall, subject to any requirements imposed by law and the By-laws, include the right to be paid by the Corporation the expenses incurred in defending any such proceeding in advance of its final disposition.</w:t>
      </w:r>
    </w:p>
    <w:p>
      <w:pPr>
        <w:spacing w:after="0" w:line="134" w:lineRule="exact"/>
        <w:rPr>
          <w:sz w:val="20"/>
          <w:szCs w:val="20"/>
          <w:color w:val="auto"/>
        </w:rPr>
      </w:pPr>
    </w:p>
    <w:p>
      <w:pPr>
        <w:ind w:right="240" w:firstLine="1297"/>
        <w:spacing w:after="0" w:line="264"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Relationship to Other Rights and Provisions Concerning Indemnification.</w:t>
      </w:r>
      <w:r>
        <w:rPr>
          <w:rFonts w:ascii="Arial" w:cs="Arial" w:eastAsia="Arial" w:hAnsi="Arial"/>
          <w:sz w:val="21"/>
          <w:szCs w:val="21"/>
          <w:color w:val="auto"/>
        </w:rPr>
        <w:t xml:space="preserve"> The rights to indemnification and to the advancement of expenses conferred in this Article VII shall not be exclusive of any other right which any person may have or hereafter acquire under any statute, this Certificate, By-laws, agreement, vote of stockholders or disinterested directors or otherwise. The By-laws may contain such other provisions concerning indemnification, including provisions specifying reasonable procedures relating to and conditions to the receipt by indemnitees of indemnification, provided that such provisions are not inconsistent with the provisions of this Article VII.</w:t>
      </w:r>
    </w:p>
    <w:p>
      <w:pPr>
        <w:spacing w:after="0" w:line="175"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Agents and Employees.</w:t>
      </w:r>
      <w:r>
        <w:rPr>
          <w:rFonts w:ascii="Arial" w:cs="Arial" w:eastAsia="Arial" w:hAnsi="Arial"/>
          <w:sz w:val="19"/>
          <w:szCs w:val="19"/>
          <w:color w:val="auto"/>
        </w:rPr>
        <w:t xml:space="preserve"> The Corporation may, to the extent authorized from time to time by the Board of Directors, grant rights to indemnification, and to the advancement of expenses, to any agent of the Corporation (or any person serving at the Corporation's request as a director, trustee, officer, employee or agent of another enterprise) or to persons who are or were a director, officer, employee or agent of any of the Corporation's affiliates, predecessor or subsidiary corporations or of a constituent corporation absorbed by the Corporation in a consolidation or merger or who is or was serving at the request of such affiliate, predecessor or subsidiary corporation or of such constituent corporation as a director, officer, employee or agent of another enterprise, in each case as determined by the Board of Directors to the fullest extent of the provisions of this Article VII in cases of the indemnification and advancement of expenses of directors and officers of the Corporation, or to any lesser extent (or greater extent, if permitted by law) determined by the Board of Directors.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RESTRICTION ON TRANSFER AND OWNERSHIP OF SHARES</w:t>
      </w:r>
    </w:p>
    <w:p>
      <w:pPr>
        <w:spacing w:after="0" w:line="328"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 xml:space="preserve">Definitions. </w:t>
      </w:r>
      <w:r>
        <w:rPr>
          <w:rFonts w:ascii="Arial" w:cs="Arial" w:eastAsia="Arial" w:hAnsi="Arial"/>
          <w:sz w:val="19"/>
          <w:szCs w:val="19"/>
          <w:color w:val="auto"/>
        </w:rPr>
        <w:t>For the purpose of this Article VIII, the following terms shall have the following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215" w:lineRule="exact"/>
        <w:rPr>
          <w:sz w:val="20"/>
          <w:szCs w:val="20"/>
          <w:color w:val="auto"/>
        </w:rPr>
      </w:pPr>
    </w:p>
    <w:p>
      <w:pPr>
        <w:ind w:right="100" w:firstLine="1297"/>
        <w:spacing w:after="0" w:line="259" w:lineRule="auto"/>
        <w:rPr>
          <w:sz w:val="20"/>
          <w:szCs w:val="20"/>
          <w:color w:val="auto"/>
        </w:rPr>
      </w:pPr>
      <w:r>
        <w:rPr>
          <w:rFonts w:ascii="Arial" w:cs="Arial" w:eastAsia="Arial" w:hAnsi="Arial"/>
          <w:sz w:val="21"/>
          <w:szCs w:val="21"/>
          <w:u w:val="single" w:color="auto"/>
          <w:color w:val="auto"/>
        </w:rPr>
        <w:t>Aggregate Stock Ownership Limit.</w:t>
      </w:r>
      <w:r>
        <w:rPr>
          <w:rFonts w:ascii="Arial" w:cs="Arial" w:eastAsia="Arial" w:hAnsi="Arial"/>
          <w:sz w:val="21"/>
          <w:szCs w:val="21"/>
          <w:color w:val="auto"/>
        </w:rPr>
        <w:t xml:space="preserve"> The term “Aggregate Stock Ownership Limit” shall mean not more than 9.8 percent (in value or in number of shares, whichever is more restrictive) of the aggregate of the outstanding shares of Capital Stock, subject to the Board of Directors' power under Section 8.2.8 hereof to increase or decrease such percentage. The value and number of the outstanding shares of Capital Stock shall be determined by the Board of Directors of the Corporation in good faith, which determination shall be conclusive for all purposes hereof. For the purposes of determining the percentage ownership of Capital Stock by any Person, shares of Capital Stock that may be acquired upon conversion, exchange or exercise of any securities of the Corporation directly or constructively held by such Person, but not Capital Stock issuable with respect to the conversion exchange or exercise of securities for the Corporation held by other Persons shall be deemed to be outstanding prior to conversion, exchange or exercise.</w:t>
      </w:r>
    </w:p>
    <w:p>
      <w:pPr>
        <w:spacing w:after="0" w:line="180" w:lineRule="exact"/>
        <w:rPr>
          <w:sz w:val="20"/>
          <w:szCs w:val="20"/>
          <w:color w:val="auto"/>
        </w:rPr>
      </w:pPr>
    </w:p>
    <w:p>
      <w:pPr>
        <w:ind w:right="80" w:firstLine="1297"/>
        <w:spacing w:after="0" w:line="248" w:lineRule="auto"/>
        <w:rPr>
          <w:sz w:val="20"/>
          <w:szCs w:val="20"/>
          <w:color w:val="auto"/>
        </w:rPr>
      </w:pPr>
      <w:r>
        <w:rPr>
          <w:rFonts w:ascii="Arial" w:cs="Arial" w:eastAsia="Arial" w:hAnsi="Arial"/>
          <w:sz w:val="22"/>
          <w:szCs w:val="22"/>
          <w:u w:val="single" w:color="auto"/>
          <w:color w:val="auto"/>
        </w:rPr>
        <w:t>Beneficial Ownership.</w:t>
      </w:r>
      <w:r>
        <w:rPr>
          <w:rFonts w:ascii="Arial" w:cs="Arial" w:eastAsia="Arial" w:hAnsi="Arial"/>
          <w:sz w:val="22"/>
          <w:szCs w:val="22"/>
          <w:color w:val="auto"/>
        </w:rPr>
        <w:t xml:space="preserve">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Sections 856(h)(1)(B) and 856(h)(3) of the Code. The terms “Beneficial Owner,” “Beneficially Owns” and “Beneficially Owned” shall have the correlative meanings.</w:t>
      </w:r>
    </w:p>
    <w:p>
      <w:pPr>
        <w:sectPr>
          <w:pgSz w:w="11900" w:h="16838" w:orient="portrait"/>
          <w:cols w:equalWidth="0" w:num="1">
            <w:col w:w="11420"/>
          </w:cols>
          <w:pgMar w:left="240" w:top="483" w:right="239" w:bottom="1440" w:gutter="0" w:footer="0" w:header="0"/>
        </w:sectPr>
      </w:pPr>
    </w:p>
    <w:bookmarkStart w:id="60" w:name="page61"/>
    <w:bookmarkEnd w:id="60"/>
    <w:p>
      <w:pPr>
        <w:jc w:val="both"/>
        <w:ind w:right="120" w:firstLine="1297"/>
        <w:spacing w:after="0" w:line="253"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The term “Business Day” shall mean any day, other than a Saturday or Sunday, that is neither a legal holiday nor a day on which banking institutions in New York City are authorized or required by law, regulation or executive order to close.</w:t>
      </w:r>
    </w:p>
    <w:p>
      <w:pPr>
        <w:spacing w:after="0" w:line="186" w:lineRule="exact"/>
        <w:rPr>
          <w:sz w:val="20"/>
          <w:szCs w:val="20"/>
          <w:color w:val="auto"/>
        </w:rPr>
      </w:pPr>
    </w:p>
    <w:p>
      <w:pPr>
        <w:ind w:right="560" w:firstLine="1297"/>
        <w:spacing w:after="0" w:line="263" w:lineRule="auto"/>
        <w:rPr>
          <w:sz w:val="20"/>
          <w:szCs w:val="20"/>
          <w:color w:val="auto"/>
        </w:rPr>
      </w:pPr>
      <w:r>
        <w:rPr>
          <w:rFonts w:ascii="Arial" w:cs="Arial" w:eastAsia="Arial" w:hAnsi="Arial"/>
          <w:sz w:val="22"/>
          <w:szCs w:val="22"/>
          <w:u w:val="single" w:color="auto"/>
          <w:color w:val="auto"/>
        </w:rPr>
        <w:t>Capital Stock</w:t>
      </w:r>
      <w:r>
        <w:rPr>
          <w:rFonts w:ascii="Arial" w:cs="Arial" w:eastAsia="Arial" w:hAnsi="Arial"/>
          <w:sz w:val="22"/>
          <w:szCs w:val="22"/>
          <w:color w:val="auto"/>
        </w:rPr>
        <w:t>. The term “Capital Stock” shall mean all classes or series of stock of the Corporation, including, without limitation, Common Stock and Preferred Stock.</w:t>
      </w:r>
    </w:p>
    <w:p>
      <w:pPr>
        <w:spacing w:after="0" w:line="175" w:lineRule="exact"/>
        <w:rPr>
          <w:sz w:val="20"/>
          <w:szCs w:val="20"/>
          <w:color w:val="auto"/>
        </w:rPr>
      </w:pPr>
    </w:p>
    <w:p>
      <w:pPr>
        <w:ind w:right="80" w:firstLine="1297"/>
        <w:spacing w:after="0" w:line="250" w:lineRule="auto"/>
        <w:rPr>
          <w:sz w:val="20"/>
          <w:szCs w:val="20"/>
          <w:color w:val="auto"/>
        </w:rPr>
      </w:pPr>
      <w:r>
        <w:rPr>
          <w:rFonts w:ascii="Arial" w:cs="Arial" w:eastAsia="Arial" w:hAnsi="Arial"/>
          <w:sz w:val="22"/>
          <w:szCs w:val="22"/>
          <w:u w:val="single" w:color="auto"/>
          <w:color w:val="auto"/>
        </w:rPr>
        <w:t>Charitable Beneficiary.</w:t>
      </w:r>
      <w:r>
        <w:rPr>
          <w:rFonts w:ascii="Arial" w:cs="Arial" w:eastAsia="Arial" w:hAnsi="Arial"/>
          <w:sz w:val="22"/>
          <w:szCs w:val="22"/>
          <w:color w:val="auto"/>
        </w:rPr>
        <w:t xml:space="preserve"> The term “Charitable Beneficiary” shall mean one or more beneficiaries of the Trust as determined pursuant to Section 8.3.6, provided that each such organization must be described in Section 501(c)(3) of the Code and contributions to each such organization must be eligible for deduction under each of Sections 170(b)(1)(A), 2055 and 2522 of the Code.</w:t>
      </w:r>
    </w:p>
    <w:p>
      <w:pPr>
        <w:spacing w:after="0" w:line="188"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xml:space="preserve"> The term “Certificate of Incorporation” shall mean the Certificate of Incorporation of the Corporation.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xml:space="preserve"> The term “Code” shall mean the Internal Revenue Code of 1986, as amended from time to time.</w:t>
      </w:r>
    </w:p>
    <w:p>
      <w:pPr>
        <w:spacing w:after="0" w:line="220"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u w:val="single" w:color="auto"/>
          <w:color w:val="auto"/>
        </w:rPr>
        <w:t>Common Stock Ownership Limit.</w:t>
      </w:r>
      <w:r>
        <w:rPr>
          <w:rFonts w:ascii="Arial" w:cs="Arial" w:eastAsia="Arial" w:hAnsi="Arial"/>
          <w:sz w:val="21"/>
          <w:szCs w:val="21"/>
          <w:color w:val="auto"/>
        </w:rPr>
        <w:t xml:space="preserve"> The term “Common Stock Ownership Limit” shall mean not more than 9.8 percent (in value or in number of shares, whichever is more restrictive) of the aggregate of the outstanding shares of Common Stock, subject to the Board of Directors' power under Section 8.2.8 hereof to increase or decrease such percentage. The number and value of the outstanding shares of Common Stock of the Corporation shall be determined by the Board of Directors of the Corporation in good faith, which determination shall be conclusive for all purposes hereof. For purposes of determining the percentage ownership of Common Stock by any Person, shares of Common Stock that may be acquired upon conversion, exchange or exercise of any securities of the Corporation directly or constructively held by such Person, but not Common Stock issuable with respect to the conversion, exchange or exercise of securities for the Corporation held by other Persons, shall be deemed to be outstanding prior to conversion, exchange or exercise.</w:t>
      </w:r>
    </w:p>
    <w:p>
      <w:pPr>
        <w:spacing w:after="0" w:line="180" w:lineRule="exact"/>
        <w:rPr>
          <w:sz w:val="20"/>
          <w:szCs w:val="20"/>
          <w:color w:val="auto"/>
        </w:rPr>
      </w:pPr>
    </w:p>
    <w:p>
      <w:pPr>
        <w:ind w:right="60" w:firstLine="1297"/>
        <w:spacing w:after="0" w:line="248" w:lineRule="auto"/>
        <w:rPr>
          <w:sz w:val="20"/>
          <w:szCs w:val="20"/>
          <w:color w:val="auto"/>
        </w:rPr>
      </w:pPr>
      <w:r>
        <w:rPr>
          <w:rFonts w:ascii="Arial" w:cs="Arial" w:eastAsia="Arial" w:hAnsi="Arial"/>
          <w:sz w:val="22"/>
          <w:szCs w:val="22"/>
          <w:u w:val="single" w:color="auto"/>
          <w:color w:val="auto"/>
        </w:rPr>
        <w:t>Constructive Ownership.</w:t>
      </w:r>
      <w:r>
        <w:rPr>
          <w:rFonts w:ascii="Arial" w:cs="Arial" w:eastAsia="Arial" w:hAnsi="Arial"/>
          <w:sz w:val="22"/>
          <w:szCs w:val="22"/>
          <w:color w:val="auto"/>
        </w:rPr>
        <w:t xml:space="preserve"> The term “Constructive Ownership” shall mean ownership of Capital Stock by a Person, whether the interest in the shares of Capital Stock is held directly or indirectly (including by a nominee), and shall include interests that would be treated as owned actually or constructively through the application of Section 318(a) of the Code, as modified by Section 856(d)(5) of the Code. The terms “Constructive Owner,” “Constructively Owns” and “Constructively Owned” shall have the correlative meanings.</w:t>
      </w:r>
    </w:p>
    <w:p>
      <w:pPr>
        <w:spacing w:after="0" w:line="192"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u w:val="single" w:color="auto"/>
          <w:color w:val="auto"/>
        </w:rPr>
        <w:t>Excepted Holder.</w:t>
      </w:r>
      <w:r>
        <w:rPr>
          <w:rFonts w:ascii="Arial" w:cs="Arial" w:eastAsia="Arial" w:hAnsi="Arial"/>
          <w:sz w:val="22"/>
          <w:szCs w:val="22"/>
          <w:color w:val="auto"/>
        </w:rPr>
        <w:t xml:space="preserve"> The term “Excepted Holder” shall mean a Person for whom an Excepted Holder Limit is created by the Certificate of Incorporation or by the Board of Directors pursuant to Section 8.2.7.</w:t>
      </w:r>
    </w:p>
    <w:p>
      <w:pPr>
        <w:spacing w:after="0" w:line="175" w:lineRule="exact"/>
        <w:rPr>
          <w:sz w:val="20"/>
          <w:szCs w:val="20"/>
          <w:color w:val="auto"/>
        </w:rPr>
      </w:pPr>
    </w:p>
    <w:p>
      <w:pPr>
        <w:ind w:right="160" w:firstLine="1297"/>
        <w:spacing w:after="0" w:line="250" w:lineRule="auto"/>
        <w:rPr>
          <w:sz w:val="20"/>
          <w:szCs w:val="20"/>
          <w:color w:val="auto"/>
        </w:rPr>
      </w:pPr>
      <w:r>
        <w:rPr>
          <w:rFonts w:ascii="Arial" w:cs="Arial" w:eastAsia="Arial" w:hAnsi="Arial"/>
          <w:sz w:val="22"/>
          <w:szCs w:val="22"/>
          <w:u w:val="single" w:color="auto"/>
          <w:color w:val="auto"/>
        </w:rPr>
        <w:t>Excepted Holder Limit.</w:t>
      </w:r>
      <w:r>
        <w:rPr>
          <w:rFonts w:ascii="Arial" w:cs="Arial" w:eastAsia="Arial" w:hAnsi="Arial"/>
          <w:sz w:val="22"/>
          <w:szCs w:val="22"/>
          <w:color w:val="auto"/>
        </w:rPr>
        <w:t xml:space="preserve"> The term “Excepted Holder Limit” shall mean, provided that the affected Excepted Holder agrees to comply with the requirements established by the Certificate of Incorporation or by the Board of Directors pursuant to Section 7.2.7 and subject to adjustment pursuant to Section 8.2.8, the percentage limit established for an Excepted Holder by the Board of Directors pursuant to Section 8.2.7.</w:t>
      </w:r>
    </w:p>
    <w:p>
      <w:pPr>
        <w:spacing w:after="0" w:line="188" w:lineRule="exact"/>
        <w:rPr>
          <w:sz w:val="20"/>
          <w:szCs w:val="20"/>
          <w:color w:val="auto"/>
        </w:rPr>
      </w:pPr>
    </w:p>
    <w:p>
      <w:pPr>
        <w:ind w:right="640" w:firstLine="1297"/>
        <w:spacing w:after="0" w:line="263" w:lineRule="auto"/>
        <w:rPr>
          <w:sz w:val="20"/>
          <w:szCs w:val="20"/>
          <w:color w:val="auto"/>
        </w:rPr>
      </w:pPr>
      <w:r>
        <w:rPr>
          <w:rFonts w:ascii="Arial" w:cs="Arial" w:eastAsia="Arial" w:hAnsi="Arial"/>
          <w:sz w:val="22"/>
          <w:szCs w:val="22"/>
          <w:u w:val="single" w:color="auto"/>
          <w:color w:val="auto"/>
        </w:rPr>
        <w:t>Initial Date.</w:t>
      </w:r>
      <w:r>
        <w:rPr>
          <w:rFonts w:ascii="Arial" w:cs="Arial" w:eastAsia="Arial" w:hAnsi="Arial"/>
          <w:sz w:val="22"/>
          <w:szCs w:val="22"/>
          <w:color w:val="auto"/>
        </w:rPr>
        <w:t xml:space="preserve"> The term “Initial Date” shall mean the date upon which the Amended and Restated Certificate of Incorporation containing this Article VIII are filed with the Delaware Secretary of State.</w:t>
      </w:r>
    </w:p>
    <w:p>
      <w:pPr>
        <w:spacing w:after="0" w:line="175"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2"/>
          <w:szCs w:val="22"/>
          <w:u w:val="single" w:color="auto"/>
          <w:color w:val="auto"/>
        </w:rPr>
        <w:t>Market Price.</w:t>
      </w:r>
      <w:r>
        <w:rPr>
          <w:rFonts w:ascii="Arial" w:cs="Arial" w:eastAsia="Arial" w:hAnsi="Arial"/>
          <w:sz w:val="22"/>
          <w:szCs w:val="22"/>
          <w:color w:val="auto"/>
        </w:rPr>
        <w:t xml:space="preserve"> The term “Market Price” on any date shall mean, with respect to any class or series of outstanding shares of Capital Stock, the Closing Price for such Capital Stock on such date. The “Closing Price” on any date shall mean the last reported sale price for such Capital Stock, regular way, or, in case no such sale takes place on such day, the average of the closing bid and asked prices, regular way,</w:t>
      </w:r>
    </w:p>
    <w:p>
      <w:pPr>
        <w:sectPr>
          <w:pgSz w:w="11900" w:h="16838" w:orient="portrait"/>
          <w:cols w:equalWidth="0" w:num="1">
            <w:col w:w="11400"/>
          </w:cols>
          <w:pgMar w:left="240" w:top="483" w:right="259" w:bottom="1440" w:gutter="0" w:footer="0" w:header="0"/>
        </w:sectPr>
      </w:pPr>
    </w:p>
    <w:bookmarkStart w:id="61" w:name="page62"/>
    <w:bookmarkEnd w:id="61"/>
    <w:p>
      <w:pPr>
        <w:spacing w:after="0" w:line="258" w:lineRule="auto"/>
        <w:rPr>
          <w:sz w:val="20"/>
          <w:szCs w:val="20"/>
          <w:color w:val="auto"/>
        </w:rPr>
      </w:pPr>
      <w:r>
        <w:rPr>
          <w:rFonts w:ascii="Arial" w:cs="Arial" w:eastAsia="Arial" w:hAnsi="Arial"/>
          <w:sz w:val="21"/>
          <w:szCs w:val="21"/>
          <w:color w:val="auto"/>
        </w:rPr>
        <w:t>for such Capital Stock, in either case as reported in the principal consolidated transaction reporting system with respect to securities listed or admitted to trading on Nasdaq or, if such Capital Stock is not listed or admitted to trading on Nasdaq,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of the Corporation or, in the event that no trading price is available for such Capital Stock, the fair market value of the Capital Stock, as determined in good faith by the Board of Directors of the Corporation.</w:t>
      </w:r>
    </w:p>
    <w:p>
      <w:pPr>
        <w:spacing w:after="0" w:line="183" w:lineRule="exact"/>
        <w:rPr>
          <w:sz w:val="20"/>
          <w:szCs w:val="20"/>
          <w:color w:val="auto"/>
        </w:rPr>
      </w:pPr>
    </w:p>
    <w:p>
      <w:pPr>
        <w:ind w:right="40" w:firstLine="1297"/>
        <w:spacing w:after="0" w:line="263" w:lineRule="auto"/>
        <w:rPr>
          <w:sz w:val="20"/>
          <w:szCs w:val="20"/>
          <w:color w:val="auto"/>
        </w:rPr>
      </w:pPr>
      <w:r>
        <w:rPr>
          <w:rFonts w:ascii="Arial" w:cs="Arial" w:eastAsia="Arial" w:hAnsi="Arial"/>
          <w:sz w:val="22"/>
          <w:szCs w:val="22"/>
          <w:u w:val="single" w:color="auto"/>
          <w:color w:val="auto"/>
        </w:rPr>
        <w:t>General Corporation Law.</w:t>
      </w:r>
      <w:r>
        <w:rPr>
          <w:rFonts w:ascii="Arial" w:cs="Arial" w:eastAsia="Arial" w:hAnsi="Arial"/>
          <w:sz w:val="22"/>
          <w:szCs w:val="22"/>
          <w:color w:val="auto"/>
        </w:rPr>
        <w:t xml:space="preserve"> The term “General Corporation Law” shall mean the Delaware General Corporation Law, as amended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Nasdaq.</w:t>
      </w:r>
      <w:r>
        <w:rPr>
          <w:rFonts w:ascii="Arial" w:cs="Arial" w:eastAsia="Arial" w:hAnsi="Arial"/>
          <w:sz w:val="22"/>
          <w:szCs w:val="22"/>
          <w:color w:val="auto"/>
        </w:rPr>
        <w:t xml:space="preserve"> The term “Nasdaq” shall mean The NASDAQ Stock Market, Inc.</w:t>
      </w:r>
    </w:p>
    <w:p>
      <w:pPr>
        <w:spacing w:after="0" w:line="220"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u w:val="single" w:color="auto"/>
          <w:color w:val="auto"/>
        </w:rPr>
        <w:t>Person.</w:t>
      </w:r>
      <w:r>
        <w:rPr>
          <w:rFonts w:ascii="Arial" w:cs="Arial" w:eastAsia="Arial" w:hAnsi="Arial"/>
          <w:sz w:val="19"/>
          <w:szCs w:val="19"/>
          <w:color w:val="auto"/>
        </w:rPr>
        <w:t xml:space="preserve">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147" w:lineRule="exact"/>
        <w:rPr>
          <w:sz w:val="20"/>
          <w:szCs w:val="20"/>
          <w:color w:val="auto"/>
        </w:rPr>
      </w:pPr>
    </w:p>
    <w:p>
      <w:pPr>
        <w:ind w:right="20" w:firstLine="1297"/>
        <w:spacing w:after="0" w:line="265" w:lineRule="auto"/>
        <w:rPr>
          <w:sz w:val="20"/>
          <w:szCs w:val="20"/>
          <w:color w:val="auto"/>
        </w:rPr>
      </w:pPr>
      <w:r>
        <w:rPr>
          <w:rFonts w:ascii="Arial" w:cs="Arial" w:eastAsia="Arial" w:hAnsi="Arial"/>
          <w:sz w:val="21"/>
          <w:szCs w:val="21"/>
          <w:u w:val="single" w:color="auto"/>
          <w:color w:val="auto"/>
        </w:rPr>
        <w:t>Prohibited Owner.</w:t>
      </w:r>
      <w:r>
        <w:rPr>
          <w:rFonts w:ascii="Arial" w:cs="Arial" w:eastAsia="Arial" w:hAnsi="Arial"/>
          <w:sz w:val="21"/>
          <w:szCs w:val="21"/>
          <w:color w:val="auto"/>
        </w:rPr>
        <w:t xml:space="preserve"> The term “Prohibited Owner” shall mean, with respect to any purported Transfer (or other event), any Person who, but for the provisions of Section 8.2.1, would Beneficially Own or Constructively Own shares of Capital Stock in violation of the provisions of 8.2.1(a) and, if appropriate in the context, shall also mean any Person who would have been the record owner of the shares of Capital Stock that the Prohibited Owner would have so owned.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REIT.</w:t>
      </w:r>
      <w:r>
        <w:rPr>
          <w:rFonts w:ascii="Arial" w:cs="Arial" w:eastAsia="Arial" w:hAnsi="Arial"/>
          <w:sz w:val="19"/>
          <w:szCs w:val="19"/>
          <w:color w:val="auto"/>
        </w:rPr>
        <w:t xml:space="preserve"> The term “REIT” shall mean a real estate investment trust within the meaning of Section 856 of the Code.</w:t>
      </w:r>
    </w:p>
    <w:p>
      <w:pPr>
        <w:spacing w:after="0" w:line="254" w:lineRule="exact"/>
        <w:rPr>
          <w:sz w:val="20"/>
          <w:szCs w:val="20"/>
          <w:color w:val="auto"/>
        </w:rPr>
      </w:pPr>
    </w:p>
    <w:p>
      <w:pPr>
        <w:ind w:right="60" w:firstLine="1297"/>
        <w:spacing w:after="0" w:line="248" w:lineRule="auto"/>
        <w:rPr>
          <w:sz w:val="20"/>
          <w:szCs w:val="20"/>
          <w:color w:val="auto"/>
        </w:rPr>
      </w:pPr>
      <w:r>
        <w:rPr>
          <w:rFonts w:ascii="Arial" w:cs="Arial" w:eastAsia="Arial" w:hAnsi="Arial"/>
          <w:sz w:val="22"/>
          <w:szCs w:val="22"/>
          <w:u w:val="single" w:color="auto"/>
          <w:color w:val="auto"/>
        </w:rPr>
        <w:t>Restriction Termination Date.</w:t>
      </w:r>
      <w:r>
        <w:rPr>
          <w:rFonts w:ascii="Arial" w:cs="Arial" w:eastAsia="Arial" w:hAnsi="Arial"/>
          <w:sz w:val="22"/>
          <w:szCs w:val="22"/>
          <w:color w:val="auto"/>
        </w:rPr>
        <w:t xml:space="preserve"> The term “Restriction Termination Date” shall mean the first day after the Initial Date on which the Corporation determines pursuant to Section 5.6 of the Certificate of Incorporation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192"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u w:val="single" w:color="auto"/>
          <w:color w:val="auto"/>
        </w:rPr>
        <w:t>Transfer.</w:t>
      </w:r>
      <w:r>
        <w:rPr>
          <w:rFonts w:ascii="Arial" w:cs="Arial" w:eastAsia="Arial" w:hAnsi="Arial"/>
          <w:sz w:val="22"/>
          <w:szCs w:val="22"/>
          <w:color w:val="auto"/>
        </w:rPr>
        <w:t xml:space="preserve"> The term “Transfer” shall mean any issuance, sale, transfer, gift, assignment, devise or other disposition, as well as any other event that causes any Person to acquire Beneficial Ownership or Constructive Ownership, or any agreement to take any such actions or cause any such events, of Capital Stock or the right to vote or receive dividends on Capital Stock, including (a) the granting or exercise of any option (or any disposition of any option), (b) any disposition of any securities or rights convertible into or exchangeable for Capital Stock or any interest in Capital Stock or any exercise of any such conversion or exchange right and (c) Transfers of interests in other entities that result in changes in Beneficial or Constructive Ownership of Capital Stock; in each case, whether voluntary or involuntary, whether owned of record, Constructively Owned or Beneficially Owned and whether by</w:t>
      </w:r>
    </w:p>
    <w:p>
      <w:pPr>
        <w:sectPr>
          <w:pgSz w:w="11900" w:h="16838" w:orient="portrait"/>
          <w:cols w:equalWidth="0" w:num="1">
            <w:col w:w="11400"/>
          </w:cols>
          <w:pgMar w:left="240" w:top="483" w:right="25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operation of law or otherwise. The terms “Transferring” and “Transferred” shall have the correlative meanings.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Trust.</w:t>
      </w:r>
      <w:r>
        <w:rPr>
          <w:rFonts w:ascii="Arial" w:cs="Arial" w:eastAsia="Arial" w:hAnsi="Arial"/>
          <w:sz w:val="22"/>
          <w:szCs w:val="22"/>
          <w:color w:val="auto"/>
        </w:rPr>
        <w:t xml:space="preserve"> The term “Trust” shall mean any trust provided for in Section 8.3.1.</w:t>
      </w:r>
    </w:p>
    <w:p>
      <w:pPr>
        <w:spacing w:after="0" w:line="220" w:lineRule="exact"/>
        <w:rPr>
          <w:sz w:val="20"/>
          <w:szCs w:val="20"/>
          <w:color w:val="auto"/>
        </w:rPr>
      </w:pPr>
    </w:p>
    <w:p>
      <w:pPr>
        <w:ind w:right="80" w:firstLine="1297"/>
        <w:spacing w:after="0" w:line="263" w:lineRule="auto"/>
        <w:rPr>
          <w:sz w:val="20"/>
          <w:szCs w:val="20"/>
          <w:color w:val="auto"/>
        </w:rPr>
      </w:pP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The term “Trustee” shall mean the Person unaffiliated with the Corporation and a Prohibited Owner, that is appointed by the Corporation to serve as trustee of the Trust.</w:t>
      </w:r>
    </w:p>
    <w:p>
      <w:pPr>
        <w:spacing w:after="0" w:line="17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Capital Stock.</w:t>
      </w:r>
    </w:p>
    <w:p>
      <w:pPr>
        <w:spacing w:after="0" w:line="233" w:lineRule="exact"/>
        <w:rPr>
          <w:sz w:val="20"/>
          <w:szCs w:val="20"/>
          <w:color w:val="auto"/>
        </w:rPr>
      </w:pPr>
    </w:p>
    <w:p>
      <w:pPr>
        <w:ind w:right="600" w:firstLine="648"/>
        <w:spacing w:after="0" w:line="276" w:lineRule="auto"/>
        <w:rPr>
          <w:sz w:val="20"/>
          <w:szCs w:val="20"/>
          <w:color w:val="auto"/>
        </w:rPr>
      </w:pPr>
      <w:r>
        <w:rPr>
          <w:rFonts w:ascii="Arial" w:cs="Arial" w:eastAsia="Arial" w:hAnsi="Arial"/>
          <w:sz w:val="22"/>
          <w:szCs w:val="22"/>
          <w:color w:val="auto"/>
        </w:rPr>
        <w:t xml:space="preserve">Section 8.2.1 </w:t>
      </w:r>
      <w:r>
        <w:rPr>
          <w:rFonts w:ascii="Arial" w:cs="Arial" w:eastAsia="Arial" w:hAnsi="Arial"/>
          <w:sz w:val="22"/>
          <w:szCs w:val="22"/>
          <w:u w:val="single" w:color="auto"/>
          <w:color w:val="auto"/>
        </w:rPr>
        <w:t>Ownership Limitations.</w:t>
      </w:r>
      <w:r>
        <w:rPr>
          <w:rFonts w:ascii="Arial" w:cs="Arial" w:eastAsia="Arial" w:hAnsi="Arial"/>
          <w:sz w:val="22"/>
          <w:szCs w:val="22"/>
          <w:color w:val="auto"/>
        </w:rPr>
        <w:t xml:space="preserve"> During the period commencing on the Initial Date and prior to the Restriction Termination Date:</w:t>
      </w:r>
    </w:p>
    <w:p>
      <w:pPr>
        <w:spacing w:after="0" w:line="161" w:lineRule="exact"/>
        <w:rPr>
          <w:sz w:val="20"/>
          <w:szCs w:val="20"/>
          <w:color w:val="auto"/>
        </w:rPr>
      </w:pPr>
    </w:p>
    <w:p>
      <w:pPr>
        <w:ind w:left="960" w:hanging="304"/>
        <w:spacing w:after="0"/>
        <w:tabs>
          <w:tab w:leader="none" w:pos="9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Basic Restrictions.</w:t>
      </w:r>
    </w:p>
    <w:p>
      <w:pPr>
        <w:spacing w:after="0" w:line="219" w:lineRule="exact"/>
        <w:rPr>
          <w:rFonts w:ascii="Arial" w:cs="Arial" w:eastAsia="Arial" w:hAnsi="Arial"/>
          <w:sz w:val="22"/>
          <w:szCs w:val="22"/>
          <w:color w:val="auto"/>
        </w:rPr>
      </w:pPr>
    </w:p>
    <w:p>
      <w:pPr>
        <w:ind w:right="220" w:firstLine="1305"/>
        <w:spacing w:after="0" w:line="250" w:lineRule="auto"/>
        <w:tabs>
          <w:tab w:leader="none" w:pos="1555" w:val="left"/>
        </w:tabs>
        <w:numPr>
          <w:ilvl w:val="1"/>
          <w:numId w:val="39"/>
        </w:numPr>
        <w:rPr>
          <w:rFonts w:ascii="Arial" w:cs="Arial" w:eastAsia="Arial" w:hAnsi="Arial"/>
          <w:sz w:val="22"/>
          <w:szCs w:val="22"/>
          <w:color w:val="auto"/>
        </w:rPr>
      </w:pPr>
      <w:r>
        <w:rPr>
          <w:rFonts w:ascii="Arial" w:cs="Arial" w:eastAsia="Arial" w:hAnsi="Arial"/>
          <w:sz w:val="22"/>
          <w:szCs w:val="22"/>
          <w:color w:val="auto"/>
        </w:rPr>
        <w:t>(1) No Person, other than an Excepted Holder, shall Beneficially Own or Constructively Own either shares of Capital Stock in excess of the Aggregate Stock Ownership Limit or shares of Common Stock in excess of the Common Stock Ownership Limit and (2) no Excepted Holder shall Beneficially Own or Constructively Own shares of Capital Stock in excess of the Excepted Holder Limit for such Excepted Holder.</w:t>
      </w:r>
    </w:p>
    <w:p>
      <w:pPr>
        <w:spacing w:after="0" w:line="188" w:lineRule="exact"/>
        <w:rPr>
          <w:rFonts w:ascii="Arial" w:cs="Arial" w:eastAsia="Arial" w:hAnsi="Arial"/>
          <w:sz w:val="22"/>
          <w:szCs w:val="22"/>
          <w:color w:val="auto"/>
        </w:rPr>
      </w:pPr>
    </w:p>
    <w:p>
      <w:pPr>
        <w:ind w:right="60" w:firstLine="1305"/>
        <w:spacing w:after="0" w:line="289" w:lineRule="auto"/>
        <w:tabs>
          <w:tab w:leader="none" w:pos="1615" w:val="left"/>
        </w:tabs>
        <w:numPr>
          <w:ilvl w:val="1"/>
          <w:numId w:val="39"/>
        </w:numPr>
        <w:rPr>
          <w:rFonts w:ascii="Arial" w:cs="Arial" w:eastAsia="Arial" w:hAnsi="Arial"/>
          <w:sz w:val="19"/>
          <w:szCs w:val="19"/>
          <w:color w:val="auto"/>
        </w:rPr>
      </w:pPr>
      <w:r>
        <w:rPr>
          <w:rFonts w:ascii="Arial" w:cs="Arial" w:eastAsia="Arial" w:hAnsi="Arial"/>
          <w:sz w:val="19"/>
          <w:szCs w:val="19"/>
          <w:color w:val="auto"/>
        </w:rPr>
        <w:t>No Person shall Beneficially or Constructively Own shares of Capital Stock to the extent that such Beneficial or Constructive Ownership of Capital Stock would result in the Corporation being “closely held” within the meaning of Section 856(h) of the Code (without regard to whether the ownership interest is held during the last half of a taxable year), or otherwise failing to qualify as a REIT (including, but not limited to, Beneficial or Constructive Ownership to the extent that such Beneficial or Constructive Ownership would result in the Corporation owning (actually or Constructively) a 9.9% interest in a tenant that is described in Section 856(d)(2)(B) of the Code (for this purpose, a tenant from whom the Corporation (or an entity owned or controlled by the Corporation) derives (and is expected to continue to derive) a sufficiently small amount of revenue such that, in the opinion of the Board of Directors of the Corporation, rent from such tenant would not adversely affect the Corporation’s ability to qualify as a REIT, shall not be treated as a tenant of the Corporation)).</w:t>
      </w:r>
    </w:p>
    <w:p>
      <w:pPr>
        <w:spacing w:after="0" w:line="157" w:lineRule="exact"/>
        <w:rPr>
          <w:rFonts w:ascii="Arial" w:cs="Arial" w:eastAsia="Arial" w:hAnsi="Arial"/>
          <w:sz w:val="19"/>
          <w:szCs w:val="19"/>
          <w:color w:val="auto"/>
        </w:rPr>
      </w:pPr>
    </w:p>
    <w:p>
      <w:pPr>
        <w:ind w:right="460" w:firstLine="1305"/>
        <w:spacing w:after="0" w:line="302" w:lineRule="auto"/>
        <w:tabs>
          <w:tab w:leader="none" w:pos="1675" w:val="left"/>
        </w:tabs>
        <w:numPr>
          <w:ilvl w:val="1"/>
          <w:numId w:val="39"/>
        </w:numPr>
        <w:rPr>
          <w:rFonts w:ascii="Arial" w:cs="Arial" w:eastAsia="Arial" w:hAnsi="Arial"/>
          <w:sz w:val="19"/>
          <w:szCs w:val="19"/>
          <w:color w:val="auto"/>
        </w:rPr>
      </w:pPr>
      <w:r>
        <w:rPr>
          <w:rFonts w:ascii="Arial" w:cs="Arial" w:eastAsia="Arial" w:hAnsi="Arial"/>
          <w:sz w:val="19"/>
          <w:szCs w:val="19"/>
          <w:color w:val="auto"/>
        </w:rPr>
        <w:t>Notwithstanding any other provisions contained herein, no Person shall Transfer of shares of Capital Stock (whether or not such Transfer is the result of a transaction entered into through the facilities of Nasdaq or any other national securities exchange or automated inter-dealer quotation system) that, if effective, would result in the Capital Stock being Beneficially Owned by less than 100 Persons (determined under the principles of Section 856(a)(5) of the Code).</w:t>
      </w:r>
    </w:p>
    <w:p>
      <w:pPr>
        <w:spacing w:after="0" w:line="142" w:lineRule="exact"/>
        <w:rPr>
          <w:rFonts w:ascii="Arial" w:cs="Arial" w:eastAsia="Arial" w:hAnsi="Arial"/>
          <w:sz w:val="19"/>
          <w:szCs w:val="19"/>
          <w:color w:val="auto"/>
        </w:rPr>
      </w:pPr>
    </w:p>
    <w:p>
      <w:pPr>
        <w:ind w:right="140" w:firstLine="656"/>
        <w:spacing w:after="0" w:line="250" w:lineRule="auto"/>
        <w:tabs>
          <w:tab w:leader="none" w:pos="95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Transfer in Trust.</w:t>
      </w:r>
      <w:r>
        <w:rPr>
          <w:rFonts w:ascii="Arial" w:cs="Arial" w:eastAsia="Arial" w:hAnsi="Arial"/>
          <w:sz w:val="22"/>
          <w:szCs w:val="22"/>
          <w:color w:val="auto"/>
        </w:rPr>
        <w:t xml:space="preserve"> If any Transfer of shares of Capital Stock (whether or not such Transfer is the result of a transaction entered into through the facilities of Nasdaq or any other national securities exchange or automated inter-dealer quotation system) occurs which, if effective, would result in any Person Beneficially Owning or Constructively Owning shares of Capital Stock in violation of Section 8.2.1(a),</w:t>
      </w:r>
    </w:p>
    <w:p>
      <w:pPr>
        <w:spacing w:after="0" w:line="188" w:lineRule="exact"/>
        <w:rPr>
          <w:rFonts w:ascii="Arial" w:cs="Arial" w:eastAsia="Arial" w:hAnsi="Arial"/>
          <w:sz w:val="22"/>
          <w:szCs w:val="22"/>
          <w:color w:val="auto"/>
        </w:rPr>
      </w:pPr>
    </w:p>
    <w:p>
      <w:pPr>
        <w:ind w:right="100" w:firstLine="1305"/>
        <w:spacing w:after="0" w:line="302" w:lineRule="auto"/>
        <w:tabs>
          <w:tab w:leader="none" w:pos="1555"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then that number of shares of Capital Stock the Beneficial or Constructive Ownership of which otherwise would cause such Person to violate Section 8.2.1(a) (rounded up to the nearest whole share) shall be automatically transferred to a Trust for the benefit of a Charitable Beneficiary, as described in Section 8.3, effective as of the close of business on the Business Day prior to the date of such Transfer (or other event), and such Person shall acquire no rights in such shares of Capital Stock; or</w:t>
      </w:r>
    </w:p>
    <w:p>
      <w:pPr>
        <w:spacing w:after="0" w:line="142" w:lineRule="exact"/>
        <w:rPr>
          <w:rFonts w:ascii="Arial" w:cs="Arial" w:eastAsia="Arial" w:hAnsi="Arial"/>
          <w:sz w:val="19"/>
          <w:szCs w:val="19"/>
          <w:color w:val="auto"/>
        </w:rPr>
      </w:pPr>
    </w:p>
    <w:p>
      <w:pPr>
        <w:ind w:firstLine="1305"/>
        <w:spacing w:after="0" w:line="263" w:lineRule="auto"/>
        <w:tabs>
          <w:tab w:leader="none" w:pos="1615"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the transfer to the Trust described in clause (i) of this sentence would not be effective for any reason to prevent the violation of Section 8.2.1(a), then the Transfer of that</w:t>
      </w:r>
    </w:p>
    <w:p>
      <w:pPr>
        <w:sectPr>
          <w:pgSz w:w="11900" w:h="16838" w:orient="portrait"/>
          <w:cols w:equalWidth="0" w:num="1">
            <w:col w:w="11380"/>
          </w:cols>
          <w:pgMar w:left="240" w:top="483" w:right="279" w:bottom="1440" w:gutter="0" w:footer="0" w:header="0"/>
        </w:sectPr>
      </w:pPr>
    </w:p>
    <w:bookmarkStart w:id="63" w:name="page64"/>
    <w:bookmarkEnd w:id="63"/>
    <w:p>
      <w:pPr>
        <w:ind w:right="80"/>
        <w:spacing w:after="0" w:line="263" w:lineRule="auto"/>
        <w:rPr>
          <w:sz w:val="20"/>
          <w:szCs w:val="20"/>
          <w:color w:val="auto"/>
        </w:rPr>
      </w:pPr>
      <w:r>
        <w:rPr>
          <w:rFonts w:ascii="Arial" w:cs="Arial" w:eastAsia="Arial" w:hAnsi="Arial"/>
          <w:sz w:val="22"/>
          <w:szCs w:val="22"/>
          <w:color w:val="auto"/>
        </w:rPr>
        <w:t>number of shares of Capital Stock that otherwise would cause any Person to violate Section 8.2.1(a) shall be void ab initio, and the intended transferee shall acquire no rights in such shares of Capital Stock.</w:t>
      </w:r>
    </w:p>
    <w:p>
      <w:pPr>
        <w:spacing w:after="0" w:line="175" w:lineRule="exact"/>
        <w:rPr>
          <w:sz w:val="20"/>
          <w:szCs w:val="20"/>
          <w:color w:val="auto"/>
        </w:rPr>
      </w:pPr>
    </w:p>
    <w:p>
      <w:pPr>
        <w:ind w:right="120" w:firstLine="1305"/>
        <w:spacing w:after="0" w:line="297" w:lineRule="auto"/>
        <w:tabs>
          <w:tab w:leader="none" w:pos="1675"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determining which shares of Capital Stock are to be transferred to a Trust in accordance with this Section 8.2.1(b) and Section 8.3 hereof, shares shall be so transferred to a Trust in such manner that minimizes the aggregate value of the shares that are transferred to the Trust (except to the extent that the Board of Directors determines that the shares transferred to the Trust shall be those directly or indirectly held or Beneficially Owned or Constructively Owned by a Person or Persons that caused or contributed to the application of this Section 8.2.1(b)), and to the extent not inconsistent therewith, on a pro rata basis.</w:t>
      </w:r>
    </w:p>
    <w:p>
      <w:pPr>
        <w:spacing w:after="0" w:line="147" w:lineRule="exact"/>
        <w:rPr>
          <w:rFonts w:ascii="Arial" w:cs="Arial" w:eastAsia="Arial" w:hAnsi="Arial"/>
          <w:sz w:val="19"/>
          <w:szCs w:val="19"/>
          <w:color w:val="auto"/>
        </w:rPr>
      </w:pPr>
    </w:p>
    <w:p>
      <w:pPr>
        <w:ind w:right="20" w:firstLine="1305"/>
        <w:spacing w:after="0" w:line="247" w:lineRule="auto"/>
        <w:tabs>
          <w:tab w:leader="none" w:pos="16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To the extent that, upon a transfer of shares of Capital Stock pursuant to this Section 8.2.1(b), a violation of Section 8.2.1(a) would nonetheless be continuing, (for example where the ownership of shares of Capital Stock by a single Trust would result in the Capital Stock being beneficially owned (determined under the principles of Section 856(a)(5) of the Code) by less than 100 persons), the shares of Capital Stock shall be transferred to that number of Trusts, each having a distinct Trustee and a Charitable Beneficiary or Beneficiaries that are distinct from those of each other Trust, such that there is no violation of Section 8.2.1(a).</w:t>
      </w:r>
    </w:p>
    <w:p>
      <w:pPr>
        <w:spacing w:after="0" w:line="194"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 xml:space="preserve">Section 8.2.2 </w:t>
      </w:r>
      <w:r>
        <w:rPr>
          <w:rFonts w:ascii="Arial" w:cs="Arial" w:eastAsia="Arial" w:hAnsi="Arial"/>
          <w:sz w:val="19"/>
          <w:szCs w:val="19"/>
          <w:u w:val="single" w:color="auto"/>
          <w:color w:val="auto"/>
        </w:rPr>
        <w:t>Remedies for Breach.</w:t>
      </w:r>
      <w:r>
        <w:rPr>
          <w:rFonts w:ascii="Arial" w:cs="Arial" w:eastAsia="Arial" w:hAnsi="Arial"/>
          <w:sz w:val="19"/>
          <w:szCs w:val="19"/>
          <w:color w:val="auto"/>
        </w:rPr>
        <w:t xml:space="preserve"> If the Board of Directors of the Corporation or any duly authorized committee thereof (or other designees if permitted by the General Corporation Law) shall at any time determine in good faith that a Transfer or other event has taken place that results in a violation of Section 8.2.1(a) or that a Person intends to acquire or has attempted to acquire Beneficial Ownership or Constructive Ownership of any shares of Capital Stock in violation of Section 8.2.1(a) (whether or not such violation is intended), the Board of Directors or a committee thereof (or other designees if permitted by the General Corporation Law)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provided, however, that any Transfer or attempted Transfer or other event in violation of Section 8.2.1(a) shall automatically result in the transfer to the Trust described above and, where applicable, such Transfer (or other event) shall be void ab initio as provided above irrespective of any action (or non-action) by the Board of Directors or a committee thereof.</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8.2.3 </w:t>
      </w:r>
      <w:r>
        <w:rPr>
          <w:rFonts w:ascii="Arial" w:cs="Arial" w:eastAsia="Arial" w:hAnsi="Arial"/>
          <w:sz w:val="19"/>
          <w:szCs w:val="19"/>
          <w:u w:val="single" w:color="auto"/>
          <w:color w:val="auto"/>
        </w:rPr>
        <w:t>Notice of Restricted Transfer.</w:t>
      </w:r>
      <w:r>
        <w:rPr>
          <w:rFonts w:ascii="Arial" w:cs="Arial" w:eastAsia="Arial" w:hAnsi="Arial"/>
          <w:sz w:val="19"/>
          <w:szCs w:val="19"/>
          <w:color w:val="auto"/>
        </w:rPr>
        <w:t xml:space="preserve"> Any Person who acquires or attempts or intends to acquire Beneficial Ownership or Constructive Ownership of shares of Capital Stock that will or may violate Section 8.2.1(a) or any Person who would have owned shares of Capital Stock that resulted in a transfer to the Trust pursuant to the provisions of Section 8.2.1(b)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qualification as a REIT.</w:t>
      </w:r>
    </w:p>
    <w:p>
      <w:pPr>
        <w:spacing w:after="0" w:line="1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8.2.4</w:t>
      </w:r>
      <w:r>
        <w:rPr>
          <w:sz w:val="20"/>
          <w:szCs w:val="20"/>
          <w:color w:val="auto"/>
        </w:rPr>
        <w:tab/>
      </w:r>
      <w:r>
        <w:rPr>
          <w:rFonts w:ascii="Arial" w:cs="Arial" w:eastAsia="Arial" w:hAnsi="Arial"/>
          <w:sz w:val="19"/>
          <w:szCs w:val="19"/>
          <w:u w:val="single" w:color="auto"/>
          <w:color w:val="auto"/>
        </w:rPr>
        <w:t>Owners Required to Provide Information</w:t>
      </w:r>
      <w:r>
        <w:rPr>
          <w:rFonts w:ascii="Arial" w:cs="Arial" w:eastAsia="Arial" w:hAnsi="Arial"/>
          <w:sz w:val="19"/>
          <w:szCs w:val="19"/>
          <w:color w:val="auto"/>
        </w:rPr>
        <w:t>. From the Initial Date and prior to the Restriction Termination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ind w:right="20" w:firstLine="656"/>
        <w:spacing w:after="0" w:line="297" w:lineRule="auto"/>
        <w:tabs>
          <w:tab w:leader="none" w:pos="942" w:val="left"/>
        </w:tabs>
        <w:numPr>
          <w:ilvl w:val="0"/>
          <w:numId w:val="41"/>
        </w:numPr>
        <w:rPr>
          <w:rFonts w:ascii="Arial" w:cs="Arial" w:eastAsia="Arial" w:hAnsi="Arial"/>
          <w:sz w:val="19"/>
          <w:szCs w:val="19"/>
          <w:color w:val="auto"/>
        </w:rPr>
      </w:pPr>
      <w:r>
        <w:rPr>
          <w:rFonts w:ascii="Arial" w:cs="Arial" w:eastAsia="Arial" w:hAnsi="Arial"/>
          <w:sz w:val="19"/>
          <w:szCs w:val="19"/>
          <w:color w:val="auto"/>
        </w:rPr>
        <w:t>every owner of more than five percent (or such lower percentage as required by the Code or the Treasury Regulations promulgated thereunder) in number or value of the outstanding shares of Capital Stock, within 30 days after the end of each taxable year, shall give written notice to the Corporation stating the name and address of such owner, the number of shares of Capital Stock and other shares of the Capital Stock Beneficially Owned and a description of the manner in which such shares are held. Each such owner shall provide to the Corporation such additional information as the Corporation</w:t>
      </w:r>
    </w:p>
    <w:p>
      <w:pPr>
        <w:sectPr>
          <w:pgSz w:w="11900" w:h="16838" w:orient="portrait"/>
          <w:cols w:equalWidth="0" w:num="1">
            <w:col w:w="11400"/>
          </w:cols>
          <w:pgMar w:left="240" w:top="483" w:right="259" w:bottom="1440" w:gutter="0" w:footer="0" w:header="0"/>
        </w:sectPr>
      </w:pPr>
    </w:p>
    <w:bookmarkStart w:id="64" w:name="page65"/>
    <w:bookmarkEnd w:id="64"/>
    <w:p>
      <w:pPr>
        <w:ind w:right="80"/>
        <w:spacing w:after="0" w:line="287" w:lineRule="auto"/>
        <w:rPr>
          <w:sz w:val="20"/>
          <w:szCs w:val="20"/>
          <w:color w:val="auto"/>
        </w:rPr>
      </w:pPr>
      <w:r>
        <w:rPr>
          <w:rFonts w:ascii="Arial" w:cs="Arial" w:eastAsia="Arial" w:hAnsi="Arial"/>
          <w:sz w:val="21"/>
          <w:szCs w:val="21"/>
          <w:color w:val="auto"/>
        </w:rPr>
        <w:t>may request in order to determine the effect, if any, of such Beneficial Ownership on the Corporation’s qualification as a REIT and to ensure compliance with the Aggregate Stock Ownership Limit and the Common Stock Ownership Limit; and</w:t>
      </w:r>
    </w:p>
    <w:p>
      <w:pPr>
        <w:spacing w:after="0" w:line="152" w:lineRule="exact"/>
        <w:rPr>
          <w:sz w:val="20"/>
          <w:szCs w:val="20"/>
          <w:color w:val="auto"/>
        </w:rPr>
      </w:pPr>
    </w:p>
    <w:p>
      <w:pPr>
        <w:ind w:right="40" w:firstLine="656"/>
        <w:spacing w:after="0" w:line="263" w:lineRule="auto"/>
        <w:tabs>
          <w:tab w:leader="none" w:pos="954" w:val="left"/>
        </w:tabs>
        <w:numPr>
          <w:ilvl w:val="0"/>
          <w:numId w:val="42"/>
        </w:numPr>
        <w:rPr>
          <w:rFonts w:ascii="Arial" w:cs="Arial" w:eastAsia="Arial" w:hAnsi="Arial"/>
          <w:sz w:val="21"/>
          <w:szCs w:val="21"/>
          <w:color w:val="auto"/>
        </w:rPr>
      </w:pPr>
      <w:r>
        <w:rPr>
          <w:rFonts w:ascii="Arial" w:cs="Arial" w:eastAsia="Arial" w:hAnsi="Arial"/>
          <w:sz w:val="21"/>
          <w:szCs w:val="21"/>
          <w:color w:val="auto"/>
        </w:rPr>
        <w:t>each Person who is a Beneficial or Constructive Owner of Capital Stock and each Person (including the stockholder of record) who is holding Capital Stock for a Beneficial or Constructive Owner shall provide to the Corporation such information as the Corporation may request, in good faith, in order to determine the Corporation’s qualification as a REIT and to comply with requirements of any taxing authority or governmental authority or to determine such compliance and to ensure compliance with the Aggregate Stock Ownership Limit and the Common Stock Ownership Limit.</w:t>
      </w:r>
    </w:p>
    <w:p>
      <w:pPr>
        <w:spacing w:after="0" w:line="176" w:lineRule="exact"/>
        <w:rPr>
          <w:sz w:val="20"/>
          <w:szCs w:val="20"/>
          <w:color w:val="auto"/>
        </w:rPr>
      </w:pPr>
    </w:p>
    <w:p>
      <w:pPr>
        <w:jc w:val="both"/>
        <w:ind w:right="160" w:firstLine="648"/>
        <w:spacing w:after="0" w:line="320" w:lineRule="auto"/>
        <w:rPr>
          <w:sz w:val="20"/>
          <w:szCs w:val="20"/>
          <w:color w:val="auto"/>
        </w:rPr>
      </w:pPr>
      <w:r>
        <w:rPr>
          <w:rFonts w:ascii="Arial" w:cs="Arial" w:eastAsia="Arial" w:hAnsi="Arial"/>
          <w:sz w:val="19"/>
          <w:szCs w:val="19"/>
          <w:color w:val="auto"/>
        </w:rPr>
        <w:t xml:space="preserve">Section 8.2.5 </w:t>
      </w:r>
      <w:r>
        <w:rPr>
          <w:rFonts w:ascii="Arial" w:cs="Arial" w:eastAsia="Arial" w:hAnsi="Arial"/>
          <w:sz w:val="19"/>
          <w:szCs w:val="19"/>
          <w:u w:val="single" w:color="auto"/>
          <w:color w:val="auto"/>
        </w:rPr>
        <w:t>Remedies Not Limited.</w:t>
      </w:r>
      <w:r>
        <w:rPr>
          <w:rFonts w:ascii="Arial" w:cs="Arial" w:eastAsia="Arial" w:hAnsi="Arial"/>
          <w:sz w:val="19"/>
          <w:szCs w:val="19"/>
          <w:color w:val="auto"/>
        </w:rPr>
        <w:t xml:space="preserve"> Subject to Section 5.6 of the Certificate of Incorporation, nothing contained in this Section 8.2 shall limit the authority of the Board of Directors of the Corporation to take such other action as it deems necessary or advisable to protect the Corporation and the interests of its stockholders in preserving the Corporation’s qualification as a REIT.</w:t>
      </w:r>
    </w:p>
    <w:p>
      <w:pPr>
        <w:spacing w:after="0" w:line="139"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8.2.6 </w:t>
      </w:r>
      <w:r>
        <w:rPr>
          <w:rFonts w:ascii="Arial" w:cs="Arial" w:eastAsia="Arial" w:hAnsi="Arial"/>
          <w:sz w:val="19"/>
          <w:szCs w:val="19"/>
          <w:u w:val="single" w:color="auto"/>
          <w:color w:val="auto"/>
        </w:rPr>
        <w:t>Ambiguity.</w:t>
      </w:r>
      <w:r>
        <w:rPr>
          <w:rFonts w:ascii="Arial" w:cs="Arial" w:eastAsia="Arial" w:hAnsi="Arial"/>
          <w:sz w:val="19"/>
          <w:szCs w:val="19"/>
          <w:color w:val="auto"/>
        </w:rPr>
        <w:t xml:space="preserve"> In the case of an ambiguity in the application of any of the provisions of this Section 8.2, Section 8.3 or any definition contained in Section 8.1, the Board of Directors of the Corporation shall have the power to determine the application of the provisions of this Section 8.2 or Section 8.3 or any such definition with respect to any situation based on the facts known to it. In the event Section 8.2 or Section 8.3 requires an action by the Board of Directors and the Certificate of Incorporation fails to provide specific guidance with respect to such action, the Board of Directors shall have the power to determine the action to be taken so long as such action is not contrary to the provisions of Sections 8.1, 8.2 or 8.3. Absent a decision to the contrary by the Board of Directors (which the Board of Directors may make in its sole and absolute discretion), if a Person would have (but for the remedies set forth in Section 8.2.1) acquired Beneficial Ownership or Constructive Ownership of Capital Stock in violation of Section 8.2.1, such remedies (as applicable) shall apply first to the shares of Capital Stock that, but for such remedies, would have been actually owned by such Person, and second to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16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8.2.7</w:t>
      </w:r>
      <w:r>
        <w:rPr>
          <w:sz w:val="20"/>
          <w:szCs w:val="20"/>
          <w:color w:val="auto"/>
        </w:rPr>
        <w:tab/>
      </w:r>
      <w:r>
        <w:rPr>
          <w:rFonts w:ascii="Arial" w:cs="Arial" w:eastAsia="Arial" w:hAnsi="Arial"/>
          <w:sz w:val="19"/>
          <w:szCs w:val="19"/>
          <w:u w:val="single" w:color="auto"/>
          <w:color w:val="auto"/>
        </w:rPr>
        <w:t>Exceptions.</w:t>
      </w:r>
    </w:p>
    <w:p>
      <w:pPr>
        <w:spacing w:after="0" w:line="233" w:lineRule="exact"/>
        <w:rPr>
          <w:sz w:val="20"/>
          <w:szCs w:val="20"/>
          <w:color w:val="auto"/>
        </w:rPr>
      </w:pPr>
    </w:p>
    <w:p>
      <w:pPr>
        <w:jc w:val="both"/>
        <w:ind w:right="160" w:firstLine="656"/>
        <w:spacing w:after="0" w:line="253" w:lineRule="auto"/>
        <w:tabs>
          <w:tab w:leader="none" w:pos="942" w:val="left"/>
        </w:tabs>
        <w:numPr>
          <w:ilvl w:val="0"/>
          <w:numId w:val="43"/>
        </w:numPr>
        <w:rPr>
          <w:rFonts w:ascii="Arial" w:cs="Arial" w:eastAsia="Arial" w:hAnsi="Arial"/>
          <w:sz w:val="22"/>
          <w:szCs w:val="22"/>
          <w:color w:val="auto"/>
        </w:rPr>
      </w:pPr>
      <w:r>
        <w:rPr>
          <w:rFonts w:ascii="Arial" w:cs="Arial" w:eastAsia="Arial" w:hAnsi="Arial"/>
          <w:sz w:val="22"/>
          <w:szCs w:val="22"/>
          <w:color w:val="auto"/>
        </w:rPr>
        <w:t>Subject to Section 8.2.1, the Board of Directors of the Corporation, in its sole discretion, may exempt (prospectively or retroactively) a Person from the Aggregate Stock Ownership Limit, the Common Stock Ownership Limit, or both such limits and may establish or increase an Excepted Holder Limit for such Person if:</w:t>
      </w:r>
    </w:p>
    <w:p>
      <w:pPr>
        <w:spacing w:after="0" w:line="185" w:lineRule="exact"/>
        <w:rPr>
          <w:rFonts w:ascii="Arial" w:cs="Arial" w:eastAsia="Arial" w:hAnsi="Arial"/>
          <w:sz w:val="22"/>
          <w:szCs w:val="22"/>
          <w:color w:val="auto"/>
        </w:rPr>
      </w:pPr>
    </w:p>
    <w:p>
      <w:pPr>
        <w:ind w:right="680" w:firstLine="1305"/>
        <w:spacing w:after="0" w:line="253" w:lineRule="auto"/>
        <w:tabs>
          <w:tab w:leader="none" w:pos="1555"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Board of Directors obtains such representations and undertakings from such Person as are reasonably necessary to ascertain that no individual’s Beneficial or Constructive Ownership of such shares of Capital Stock will violate Section 8.2.1(a)(ii);</w:t>
      </w:r>
    </w:p>
    <w:p>
      <w:pPr>
        <w:spacing w:after="0" w:line="199" w:lineRule="exact"/>
        <w:rPr>
          <w:rFonts w:ascii="Arial" w:cs="Arial" w:eastAsia="Arial" w:hAnsi="Arial"/>
          <w:sz w:val="22"/>
          <w:szCs w:val="22"/>
          <w:color w:val="auto"/>
        </w:rPr>
      </w:pPr>
    </w:p>
    <w:p>
      <w:pPr>
        <w:ind w:right="20" w:firstLine="1305"/>
        <w:spacing w:after="0" w:line="302" w:lineRule="auto"/>
        <w:tabs>
          <w:tab w:leader="none" w:pos="1615" w:val="left"/>
        </w:tabs>
        <w:numPr>
          <w:ilvl w:val="1"/>
          <w:numId w:val="43"/>
        </w:numPr>
        <w:rPr>
          <w:rFonts w:ascii="Arial" w:cs="Arial" w:eastAsia="Arial" w:hAnsi="Arial"/>
          <w:sz w:val="19"/>
          <w:szCs w:val="19"/>
          <w:color w:val="auto"/>
        </w:rPr>
      </w:pPr>
      <w:r>
        <w:rPr>
          <w:rFonts w:ascii="Arial" w:cs="Arial" w:eastAsia="Arial" w:hAnsi="Arial"/>
          <w:sz w:val="19"/>
          <w:szCs w:val="19"/>
          <w:color w:val="auto"/>
        </w:rPr>
        <w:t>such Person does not and represents that it will not own, actually or Constructively, an interest in a tenant of the Corporation (or a tenant of any entity owned or controlled by the Corporation) that would cause the Corporation to own, actually or Constructively, more than a 9.9% interest (as set forth in Section 856(d)(2)(B) of the Code) in such tenant and the Board of Directors obtains such representations and undertakings from such Person as are reasonably necessary to ascertain this fact; and</w:t>
      </w:r>
    </w:p>
    <w:p>
      <w:pPr>
        <w:spacing w:after="0" w:line="156" w:lineRule="exact"/>
        <w:rPr>
          <w:rFonts w:ascii="Arial" w:cs="Arial" w:eastAsia="Arial" w:hAnsi="Arial"/>
          <w:sz w:val="19"/>
          <w:szCs w:val="19"/>
          <w:color w:val="auto"/>
        </w:rPr>
      </w:pPr>
    </w:p>
    <w:p>
      <w:pPr>
        <w:ind w:right="280" w:firstLine="1305"/>
        <w:spacing w:after="0" w:line="263" w:lineRule="auto"/>
        <w:tabs>
          <w:tab w:leader="none" w:pos="1675" w:val="left"/>
        </w:tabs>
        <w:numPr>
          <w:ilvl w:val="1"/>
          <w:numId w:val="43"/>
        </w:numPr>
        <w:rPr>
          <w:rFonts w:ascii="Arial" w:cs="Arial" w:eastAsia="Arial" w:hAnsi="Arial"/>
          <w:sz w:val="22"/>
          <w:szCs w:val="22"/>
          <w:color w:val="auto"/>
        </w:rPr>
      </w:pPr>
      <w:r>
        <w:rPr>
          <w:rFonts w:ascii="Arial" w:cs="Arial" w:eastAsia="Arial" w:hAnsi="Arial"/>
          <w:sz w:val="22"/>
          <w:szCs w:val="22"/>
          <w:color w:val="auto"/>
        </w:rPr>
        <w:t>such Person agrees that any violation or attempted violation of such representations or undertakings (or other action which is contrary to the restrictions contained in Sections</w:t>
      </w:r>
    </w:p>
    <w:p>
      <w:pPr>
        <w:sectPr>
          <w:pgSz w:w="11900" w:h="16838" w:orient="portrait"/>
          <w:cols w:equalWidth="0" w:num="1">
            <w:col w:w="11400"/>
          </w:cols>
          <w:pgMar w:left="240" w:top="483" w:right="259" w:bottom="1440" w:gutter="0" w:footer="0" w:header="0"/>
        </w:sectPr>
      </w:pPr>
    </w:p>
    <w:bookmarkStart w:id="65" w:name="page66"/>
    <w:bookmarkEnd w:id="65"/>
    <w:p>
      <w:pPr>
        <w:ind w:right="740"/>
        <w:spacing w:after="0" w:line="263" w:lineRule="auto"/>
        <w:rPr>
          <w:sz w:val="20"/>
          <w:szCs w:val="20"/>
          <w:color w:val="auto"/>
        </w:rPr>
      </w:pPr>
      <w:r>
        <w:rPr>
          <w:rFonts w:ascii="Arial" w:cs="Arial" w:eastAsia="Arial" w:hAnsi="Arial"/>
          <w:sz w:val="22"/>
          <w:szCs w:val="22"/>
          <w:color w:val="auto"/>
        </w:rPr>
        <w:t>8.2.1 through 8.2.6) will result in such shares of Capital Stock being automatically transferred to a Trust in accordance with Sections 8.2.1(b) and 8.3.</w:t>
      </w:r>
    </w:p>
    <w:p>
      <w:pPr>
        <w:spacing w:after="0" w:line="175" w:lineRule="exact"/>
        <w:rPr>
          <w:sz w:val="20"/>
          <w:szCs w:val="20"/>
          <w:color w:val="auto"/>
        </w:rPr>
      </w:pPr>
    </w:p>
    <w:p>
      <w:pPr>
        <w:ind w:firstLine="656"/>
        <w:spacing w:after="0" w:line="263" w:lineRule="auto"/>
        <w:tabs>
          <w:tab w:leader="none" w:pos="954" w:val="left"/>
        </w:tabs>
        <w:numPr>
          <w:ilvl w:val="0"/>
          <w:numId w:val="44"/>
        </w:numPr>
        <w:rPr>
          <w:rFonts w:ascii="Arial" w:cs="Arial" w:eastAsia="Arial" w:hAnsi="Arial"/>
          <w:sz w:val="21"/>
          <w:szCs w:val="21"/>
          <w:color w:val="auto"/>
        </w:rPr>
      </w:pPr>
      <w:r>
        <w:rPr>
          <w:rFonts w:ascii="Arial" w:cs="Arial" w:eastAsia="Arial" w:hAnsi="Arial"/>
          <w:sz w:val="21"/>
          <w:szCs w:val="21"/>
          <w:color w:val="auto"/>
        </w:rPr>
        <w:t>Prior to granting any exception pursuant to Section 8.2.7(a), the Board of Directors of the Corporation may require a ruling from the Internal Revenue Service, or an opinion of counsel, in either case in form and substance satisfactory to the Board of Directors in its sole discretion, as it may deem necessary or advisable in order to determine or ensure the Corporation’s qualification as a REIT. Notwithstanding the receipt of any ruling or opinion, the Board of Directors may impose such conditions or restrictions as it deems appropriate in connection with granting such exception.</w:t>
      </w:r>
    </w:p>
    <w:p>
      <w:pPr>
        <w:spacing w:after="0" w:line="175" w:lineRule="exact"/>
        <w:rPr>
          <w:rFonts w:ascii="Arial" w:cs="Arial" w:eastAsia="Arial" w:hAnsi="Arial"/>
          <w:sz w:val="21"/>
          <w:szCs w:val="21"/>
          <w:color w:val="auto"/>
        </w:rPr>
      </w:pPr>
    </w:p>
    <w:p>
      <w:pPr>
        <w:ind w:right="340" w:firstLine="656"/>
        <w:spacing w:after="0" w:line="248" w:lineRule="auto"/>
        <w:tabs>
          <w:tab w:leader="none" w:pos="942"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Subject to Section 8.2.1(a)(ii), an underwriter or placement agent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or private placement.</w:t>
      </w:r>
    </w:p>
    <w:p>
      <w:pPr>
        <w:spacing w:after="0" w:line="192" w:lineRule="exact"/>
        <w:rPr>
          <w:rFonts w:ascii="Arial" w:cs="Arial" w:eastAsia="Arial" w:hAnsi="Arial"/>
          <w:sz w:val="22"/>
          <w:szCs w:val="22"/>
          <w:color w:val="auto"/>
        </w:rPr>
      </w:pPr>
    </w:p>
    <w:p>
      <w:pPr>
        <w:ind w:right="60" w:firstLine="656"/>
        <w:spacing w:after="0" w:line="248" w:lineRule="auto"/>
        <w:tabs>
          <w:tab w:leader="none" w:pos="954"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Board of Directors may only reduce the Excepted Holder Limit for an Excepted Holder: (i) with the written consent of such Excepted Holder at any time, or (ii)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Aggregate Stock Ownership Limit or the Common Stock Ownership Limit, as the case may be.</w:t>
      </w:r>
    </w:p>
    <w:p>
      <w:pPr>
        <w:spacing w:after="0" w:line="192"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8.2.8 </w:t>
      </w:r>
      <w:r>
        <w:rPr>
          <w:rFonts w:ascii="Arial" w:cs="Arial" w:eastAsia="Arial" w:hAnsi="Arial"/>
          <w:sz w:val="19"/>
          <w:szCs w:val="19"/>
          <w:u w:val="single" w:color="auto"/>
          <w:color w:val="auto"/>
        </w:rPr>
        <w:t>Change in Aggregate Stock Ownership Limit and Common Stock Ownership Limit.</w:t>
      </w:r>
      <w:r>
        <w:rPr>
          <w:rFonts w:ascii="Arial" w:cs="Arial" w:eastAsia="Arial" w:hAnsi="Arial"/>
          <w:sz w:val="19"/>
          <w:szCs w:val="19"/>
          <w:color w:val="auto"/>
        </w:rPr>
        <w:t xml:space="preserve"> The Board of Directors may from time to time increase or decrease the Aggregate Stock Ownership Limit and Common Stock Ownership Limit; provided, however, that a decreased Aggregate Stock Ownership Limit or Common Stock Ownership Limit will not be effective for any Person whose percentage ownership of Capital Stock or Common Stock, as the case may be, is in excess of such decreased Aggregate Stock Ownership Limit or Common Stock Ownership Limit until such time as such Person's percentage of Capital Stock or Common Stock, as the case may be, equals or falls below the decreased Aggregate Stock Ownership Limit or Common Stock Ownership, but until such time as such Person's percentage of Capital Stock or Common Stock, as the case may be, falls below such decreased Aggregate Stock Ownership Limit or Common Stock Ownership Limit, any further acquisition of Capital Stock or Common Stock will be in violation of the Aggregate Stock Ownership Limit or Common Stock Ownership Limit and, provided further, that the new Aggregate Stock Ownership Limit or Common Stock Ownership Limit would not allow five or fewer individuals (as defined in Section 542(a)(2) of the Code and taking into account all Excepted Holders) to Beneficially Own more than 49.9% in value of the outstanding Capital Stock. If the Board of Directors changes the Common Stock Ownership Limit and/or Aggregate Stock Ownership Limit, it will (i) notify each stockholder of record of any such change, and (ii) publicly announce any such change, in each case at least 30 days prior to the effective date of such change.</w:t>
      </w:r>
    </w:p>
    <w:p>
      <w:pPr>
        <w:spacing w:after="0" w:line="16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8.2.9</w:t>
      </w:r>
      <w:r>
        <w:rPr>
          <w:sz w:val="20"/>
          <w:szCs w:val="20"/>
          <w:color w:val="auto"/>
        </w:rPr>
        <w:tab/>
      </w:r>
      <w:r>
        <w:rPr>
          <w:rFonts w:ascii="Arial" w:cs="Arial" w:eastAsia="Arial" w:hAnsi="Arial"/>
          <w:sz w:val="19"/>
          <w:szCs w:val="19"/>
          <w:u w:val="single" w:color="auto"/>
          <w:color w:val="auto"/>
        </w:rPr>
        <w:t xml:space="preserve">Legend. </w:t>
      </w:r>
      <w:r>
        <w:rPr>
          <w:rFonts w:ascii="Arial" w:cs="Arial" w:eastAsia="Arial" w:hAnsi="Arial"/>
          <w:sz w:val="19"/>
          <w:szCs w:val="19"/>
          <w:color w:val="auto"/>
        </w:rPr>
        <w:t>Each certificate for shares of Capital Stock shall bear substantially the following legend:</w:t>
      </w:r>
    </w:p>
    <w:p>
      <w:pPr>
        <w:spacing w:after="0" w:line="233"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color w:val="auto"/>
        </w:rPr>
        <w:t>“The shares of any class or series of the Corporation’s stock (the “Capital Stock”) represented by this certificate are subject to restrictions on Beneficial Ownership, Constructive Ownership and Transfer (as each such capitalized term is defined in the Corporation’s Certificate of Incorporation, as the same may be amended from time to time (the "Certificate of Incorporation")) for the purpose of the Corporation's maintenance of its status as a real estate investment trust (a “REIT”) under the Internal Revenue Code of 1986, as amended (the “Code”). Subject to certain further restrictions and except as</w:t>
      </w:r>
    </w:p>
    <w:p>
      <w:pPr>
        <w:sectPr>
          <w:pgSz w:w="11900" w:h="16838" w:orient="portrait"/>
          <w:cols w:equalWidth="0" w:num="1">
            <w:col w:w="11420"/>
          </w:cols>
          <w:pgMar w:left="240" w:top="483" w:right="239" w:bottom="1440" w:gutter="0" w:footer="0" w:header="0"/>
        </w:sectPr>
      </w:pPr>
    </w:p>
    <w:bookmarkStart w:id="66" w:name="page67"/>
    <w:bookmarkEnd w:id="66"/>
    <w:p>
      <w:pPr>
        <w:ind w:right="20"/>
        <w:spacing w:after="0" w:line="284" w:lineRule="auto"/>
        <w:rPr>
          <w:sz w:val="20"/>
          <w:szCs w:val="20"/>
          <w:color w:val="auto"/>
        </w:rPr>
      </w:pPr>
      <w:r>
        <w:rPr>
          <w:rFonts w:ascii="Arial" w:cs="Arial" w:eastAsia="Arial" w:hAnsi="Arial"/>
          <w:sz w:val="19"/>
          <w:szCs w:val="19"/>
          <w:color w:val="auto"/>
        </w:rPr>
        <w:t>expressly provided in the Certificate of Incorporation, (i) no Person (as defined in the Certificate of Incorporation) may Beneficially Own or Constructively Own shares of the Corporation’s common stock, par value $0.01 per share (the “Common Stock”) in excess of 9.8% (in value or number of shares, whichever is more restrictive) of the total outstanding shares of Common Stock unless such Person is an Excepted Holder (as defined in the Certificate of Incorporation), in which case the Excepted Holder Limit (as defined in the Certificate of Incorporation) shall be applicable; (ii) no Person may Beneficially Own or Constructively Own shares of Capital Stock in excess of 9.8% (in value or number of shares, whichever is more restrictive) of the total outstanding shares of Capital Stock, unless such Person is an Excepted Holder, in which case the Excepted Holder Limit shall be applicable;</w:t>
      </w:r>
    </w:p>
    <w:p>
      <w:pPr>
        <w:spacing w:after="0" w:line="4" w:lineRule="exact"/>
        <w:rPr>
          <w:sz w:val="20"/>
          <w:szCs w:val="20"/>
          <w:color w:val="auto"/>
        </w:rPr>
      </w:pPr>
    </w:p>
    <w:p>
      <w:pPr>
        <w:ind w:right="80" w:firstLine="8"/>
        <w:spacing w:after="0" w:line="284" w:lineRule="auto"/>
        <w:tabs>
          <w:tab w:leader="none" w:pos="378"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 Person may Beneficially Own or Constructively Own shares of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above restrictions on Beneficial Ownership, Constructive Ownership or Transfer are violated, the shares of Capital Stock represented hereby will be automatically transferred to a Trust (as defined in the Certificate of Incorporation) for the benefit of one or more Charitable Beneficiaries (as defined in the Certificate of Incorporation). In addition, the Board of Directors shall take such action as it deems advisable to refuse to give effect to or to prevent such Transfer or other event, including, without limitation, causing the Corporation to redeem shares of Capital Stock; provided, however, that any Transfer or attempted Transfer or other event in violation of the above restrictions on Beneficial Ownership, Constructive Ownership and Transfer shall automatically result in the above transfer to the Trust and, where applicable, such Transfer (or other event) shall be void ab initio as provided above irrespective of any action (or non-action) by the Board of Directors. The Board of Directors may, pursuant to Section 8.2.8 of the Certificate of Incorporation, increase or decrease the percentage of Common Stock or Capital Stock that a person may Beneficially Own or Constructively Own.</w:t>
      </w:r>
    </w:p>
    <w:p>
      <w:pPr>
        <w:spacing w:after="0" w:line="200" w:lineRule="exact"/>
        <w:rPr>
          <w:sz w:val="20"/>
          <w:szCs w:val="20"/>
          <w:color w:val="auto"/>
        </w:rPr>
      </w:pPr>
    </w:p>
    <w:p>
      <w:pPr>
        <w:spacing w:after="0" w:line="226"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A copy of the Certificate of Incorporation, including the above restrictions on Beneficial Ownership, Constructive Ownership and Transfer, will be furnished to each holder of Capital Stock on request and without charge. Requests for such a copy may be directed to the Secretary of the Corporation at its principal office.”</w:t>
      </w:r>
    </w:p>
    <w:p>
      <w:pPr>
        <w:spacing w:after="0" w:line="186" w:lineRule="exact"/>
        <w:rPr>
          <w:sz w:val="20"/>
          <w:szCs w:val="20"/>
          <w:color w:val="auto"/>
        </w:rPr>
      </w:pPr>
    </w:p>
    <w:p>
      <w:pPr>
        <w:ind w:right="480" w:firstLine="1297"/>
        <w:spacing w:after="0" w:line="263" w:lineRule="auto"/>
        <w:rPr>
          <w:sz w:val="20"/>
          <w:szCs w:val="20"/>
          <w:color w:val="auto"/>
        </w:rPr>
      </w:pPr>
      <w:r>
        <w:rPr>
          <w:rFonts w:ascii="Arial" w:cs="Arial" w:eastAsia="Arial" w:hAnsi="Arial"/>
          <w:sz w:val="22"/>
          <w:szCs w:val="22"/>
          <w:color w:val="auto"/>
        </w:rPr>
        <w:t>Instead of the foregoing legend, the certificate may state that the Corporation will furnish a full statement about certain restrictions on transferability to a stockholder on request and without charge.</w:t>
      </w:r>
    </w:p>
    <w:p>
      <w:pPr>
        <w:spacing w:after="0" w:line="17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Transfer of Capital Stock in Trust.</w:t>
      </w:r>
    </w:p>
    <w:p>
      <w:pPr>
        <w:spacing w:after="0" w:line="233"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 xml:space="preserve">Section 8.3.1 </w:t>
      </w:r>
      <w:r>
        <w:rPr>
          <w:rFonts w:ascii="Arial" w:cs="Arial" w:eastAsia="Arial" w:hAnsi="Arial"/>
          <w:sz w:val="21"/>
          <w:szCs w:val="21"/>
          <w:u w:val="single" w:color="auto"/>
          <w:color w:val="auto"/>
        </w:rPr>
        <w:t>Ownership in Trust.</w:t>
      </w:r>
      <w:r>
        <w:rPr>
          <w:rFonts w:ascii="Arial" w:cs="Arial" w:eastAsia="Arial" w:hAnsi="Arial"/>
          <w:sz w:val="21"/>
          <w:szCs w:val="21"/>
          <w:color w:val="auto"/>
        </w:rPr>
        <w:t xml:space="preserve"> Upon any purported Transfer or other event described in Section 8.2.1(a)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8.2.1(b). The Trustee shall be appointed by the Corporation and shall be a Person unaffiliated with the Corporation and any Prohibited Owner. Each Charitable Beneficiary shall be designated by the Corporation as provided in Section 8.3.6.</w:t>
      </w:r>
    </w:p>
    <w:p>
      <w:pPr>
        <w:spacing w:after="0" w:line="180" w:lineRule="exact"/>
        <w:rPr>
          <w:sz w:val="20"/>
          <w:szCs w:val="20"/>
          <w:color w:val="auto"/>
        </w:rPr>
      </w:pPr>
    </w:p>
    <w:p>
      <w:pPr>
        <w:ind w:right="120" w:firstLine="648"/>
        <w:spacing w:after="0" w:line="254" w:lineRule="auto"/>
        <w:rPr>
          <w:sz w:val="20"/>
          <w:szCs w:val="20"/>
          <w:color w:val="auto"/>
        </w:rPr>
      </w:pPr>
      <w:r>
        <w:rPr>
          <w:rFonts w:ascii="Arial" w:cs="Arial" w:eastAsia="Arial" w:hAnsi="Arial"/>
          <w:sz w:val="22"/>
          <w:szCs w:val="22"/>
          <w:color w:val="auto"/>
        </w:rPr>
        <w:t xml:space="preserve">Section 8.3.2 </w:t>
      </w:r>
      <w:r>
        <w:rPr>
          <w:rFonts w:ascii="Arial" w:cs="Arial" w:eastAsia="Arial" w:hAnsi="Arial"/>
          <w:sz w:val="22"/>
          <w:szCs w:val="22"/>
          <w:u w:val="single" w:color="auto"/>
          <w:color w:val="auto"/>
        </w:rPr>
        <w:t>Status of Shares Held by the Trustee.</w:t>
      </w:r>
      <w:r>
        <w:rPr>
          <w:rFonts w:ascii="Arial" w:cs="Arial" w:eastAsia="Arial" w:hAnsi="Arial"/>
          <w:sz w:val="22"/>
          <w:szCs w:val="22"/>
          <w:color w:val="auto"/>
        </w:rPr>
        <w:t xml:space="preserve"> Shares of Capital Stock held by the Trustee shall continue to be issued and outstanding shares of Capital Stock of the Corporation. The Prohibited Owner shall have no rights in the shares of Capital Stock held by the Trustee. The Prohibited Owner shall not benefit economically from ownership of any shares held in trust by the Trustee, shall have</w:t>
      </w:r>
    </w:p>
    <w:p>
      <w:pPr>
        <w:sectPr>
          <w:pgSz w:w="11900" w:h="16838" w:orient="portrait"/>
          <w:cols w:equalWidth="0" w:num="1">
            <w:col w:w="11420"/>
          </w:cols>
          <w:pgMar w:left="240" w:top="483" w:right="239" w:bottom="1440" w:gutter="0" w:footer="0" w:header="0"/>
        </w:sectPr>
      </w:pPr>
    </w:p>
    <w:bookmarkStart w:id="67" w:name="page68"/>
    <w:bookmarkEnd w:id="67"/>
    <w:p>
      <w:pPr>
        <w:ind w:right="120"/>
        <w:spacing w:after="0" w:line="263" w:lineRule="auto"/>
        <w:rPr>
          <w:sz w:val="20"/>
          <w:szCs w:val="20"/>
          <w:color w:val="auto"/>
        </w:rPr>
      </w:pPr>
      <w:r>
        <w:rPr>
          <w:rFonts w:ascii="Arial" w:cs="Arial" w:eastAsia="Arial" w:hAnsi="Arial"/>
          <w:sz w:val="22"/>
          <w:szCs w:val="22"/>
          <w:color w:val="auto"/>
        </w:rPr>
        <w:t>no rights to dividends or other distributions and shall not possess any rights to vote or other rights attributable to the shares held in the Trust.</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8.3.3 </w:t>
      </w:r>
      <w:r>
        <w:rPr>
          <w:rFonts w:ascii="Arial" w:cs="Arial" w:eastAsia="Arial" w:hAnsi="Arial"/>
          <w:sz w:val="19"/>
          <w:szCs w:val="19"/>
          <w:u w:val="single" w:color="auto"/>
          <w:color w:val="auto"/>
        </w:rPr>
        <w:t>Dividend and Voting Rights.</w:t>
      </w:r>
      <w:r>
        <w:rPr>
          <w:rFonts w:ascii="Arial" w:cs="Arial" w:eastAsia="Arial" w:hAnsi="Arial"/>
          <w:sz w:val="19"/>
          <w:szCs w:val="19"/>
          <w:color w:val="auto"/>
        </w:rPr>
        <w:t xml:space="preserve"> The Trustee shall have all voting rights and rights to dividends or other distributions with respect to shares of Capital Stock held in the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with respect to such shares of Capital Stock by the Prohibited Owner to the Trustee upon demand and any dividend or other distribution authorized but unpaid shall be paid when due to the Trustee. Any dividend or distribution so paid to the Trustee shall be held in trust for the Charitable Beneficiary. The Prohibited Owner shall have no voting rights with respect to shares held in the Trust and, subject to the General Corporation Law, effective as of the date that the shares of Capital Stock have been transferred to the Trustee, the Trustee shall have the authority (at the Trustee’s sole discretion) (i) to rescind as void any vote cast by a Prohibited Owner prior to the discovery by the Corporation that the shares of Capital Stock have been transferred to the Trustee and (ii) to recast such vote in accordance with the desires of the Trustee acting for the benefit of the Charitable Beneficiary; provided, however, that if the Corporation has already taken irreversible corporate action, then the Trustee shall not have the authority to rescind and recast such vote. Notwithstanding the provisions of this Article VIII, until the Corporation has received notification that shares of Capital Stock have been transferred into a Trust, the Corporation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200" w:lineRule="exact"/>
        <w:rPr>
          <w:sz w:val="20"/>
          <w:szCs w:val="20"/>
          <w:color w:val="auto"/>
        </w:rPr>
      </w:pPr>
    </w:p>
    <w:p>
      <w:pPr>
        <w:spacing w:after="0" w:line="216" w:lineRule="exact"/>
        <w:rPr>
          <w:sz w:val="20"/>
          <w:szCs w:val="20"/>
          <w:color w:val="auto"/>
        </w:rPr>
      </w:pPr>
    </w:p>
    <w:p>
      <w:pPr>
        <w:ind w:right="40" w:firstLine="1297"/>
        <w:spacing w:after="0" w:line="286" w:lineRule="auto"/>
        <w:rPr>
          <w:sz w:val="20"/>
          <w:szCs w:val="20"/>
          <w:color w:val="auto"/>
        </w:rPr>
      </w:pPr>
      <w:r>
        <w:rPr>
          <w:rFonts w:ascii="Arial" w:cs="Arial" w:eastAsia="Arial" w:hAnsi="Arial"/>
          <w:sz w:val="19"/>
          <w:szCs w:val="19"/>
          <w:color w:val="auto"/>
        </w:rPr>
        <w:t xml:space="preserve">Section 8.3.4 </w:t>
      </w:r>
      <w:r>
        <w:rPr>
          <w:rFonts w:ascii="Arial" w:cs="Arial" w:eastAsia="Arial" w:hAnsi="Arial"/>
          <w:sz w:val="19"/>
          <w:szCs w:val="19"/>
          <w:u w:val="single" w:color="auto"/>
          <w:color w:val="auto"/>
        </w:rPr>
        <w:t>Sale of Shares by Trustee.</w:t>
      </w:r>
      <w:r>
        <w:rPr>
          <w:rFonts w:ascii="Arial" w:cs="Arial" w:eastAsia="Arial" w:hAnsi="Arial"/>
          <w:sz w:val="19"/>
          <w:szCs w:val="19"/>
          <w:color w:val="auto"/>
        </w:rPr>
        <w:t xml:space="preserv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8.2.1(a). Upon such sale, the interest of the Charitable Beneficiary in the shares sold shall terminate and the Trustee shall distribute the net proceeds of the sale to the Prohibited Owner and to the Charitable Beneficiary as provided in this Section 8.3.4. The Prohibited Owner shall receive the lesser of (i) the price paid by the Prohibited Owner for the shares or, if the Prohibited Owner did not give value for the shares in connection with the event causing the shares to be held in the Trust (e.g., in the case of a gift, devise or other such transaction), the Market Price of the shares on the day of the event causing the shares to be held in the Trust and (ii) the price per share received by the Trustee (net of any commissions and other expenses of sale) from the sale or other disposition of the shares held in the Trust. The Trustee may reduce the amount payable to the Prohibited Owner by the amount of dividends and distributions paid to the Prohibited Owner and owned by the Prohibited Owner to the Trustee pursuant to Section 8.3.3 of this Article VIII.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(a) such shares shall be deemed to have been sold on behalf of the Trust and (b) to the extent that the Prohibited Owner received an amount for such shares that exceeds the amount that such Prohibited Owner was entitled to receive pursuant to this Section 8.3.4, such excess shall be paid to the Trustee upon demand.</w:t>
      </w:r>
    </w:p>
    <w:p>
      <w:pPr>
        <w:spacing w:after="0" w:line="169"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color w:val="auto"/>
        </w:rPr>
        <w:t xml:space="preserve">Section 8.3.5 </w:t>
      </w:r>
      <w:r>
        <w:rPr>
          <w:rFonts w:ascii="Arial" w:cs="Arial" w:eastAsia="Arial" w:hAnsi="Arial"/>
          <w:sz w:val="21"/>
          <w:szCs w:val="21"/>
          <w:u w:val="single" w:color="auto"/>
          <w:color w:val="auto"/>
        </w:rPr>
        <w:t>Purchase Right in Stock Transferred to the Trustee.</w:t>
      </w:r>
      <w:r>
        <w:rPr>
          <w:rFonts w:ascii="Arial" w:cs="Arial" w:eastAsia="Arial" w:hAnsi="Arial"/>
          <w:sz w:val="21"/>
          <w:szCs w:val="21"/>
          <w:color w:val="auto"/>
        </w:rPr>
        <w:t xml:space="preserve"> 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 (ii) the Market Price on the date the Corporation, or its designee, accepts such offer. The Corporation may reduce the amount payable to the Prohibited Owner by the amount of dividends and distributions paid to the Prohibited Owner and owed by the Prohibited Owner to the Trustee pursuant to</w:t>
      </w:r>
    </w:p>
    <w:p>
      <w:pPr>
        <w:sectPr>
          <w:pgSz w:w="11900" w:h="16838" w:orient="portrait"/>
          <w:cols w:equalWidth="0" w:num="1">
            <w:col w:w="11400"/>
          </w:cols>
          <w:pgMar w:left="240" w:top="483" w:right="259" w:bottom="1440" w:gutter="0" w:footer="0" w:header="0"/>
        </w:sectPr>
      </w:pPr>
    </w:p>
    <w:bookmarkStart w:id="68" w:name="page69"/>
    <w:bookmarkEnd w:id="68"/>
    <w:p>
      <w:pPr>
        <w:ind w:right="360"/>
        <w:spacing w:after="0" w:line="297" w:lineRule="auto"/>
        <w:rPr>
          <w:sz w:val="20"/>
          <w:szCs w:val="20"/>
          <w:color w:val="auto"/>
        </w:rPr>
      </w:pPr>
      <w:r>
        <w:rPr>
          <w:rFonts w:ascii="Arial" w:cs="Arial" w:eastAsia="Arial" w:hAnsi="Arial"/>
          <w:sz w:val="19"/>
          <w:szCs w:val="19"/>
          <w:color w:val="auto"/>
        </w:rPr>
        <w:t>Section 8.3.3 of this Article VIII. The Corporation may pay the amount of such reduction to the Trustee for the benefit of the Charitable Beneficiary. The Corporation shall have the right to accept such offer until the Trustee has sold the shares held in the Trust pursuant to Section 8.3.4. Upon such a sale to the Corporation, the interest of the Charitable Beneficiary in the shares sold shall terminate and the Trustee shall distribute the net proceeds of the sale to the Prohibited Owner and any dividends or other distributions held by the Trustee shall be paid to the Charitable Beneficiary.</w:t>
      </w:r>
    </w:p>
    <w:p>
      <w:pPr>
        <w:spacing w:after="0" w:line="147"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 xml:space="preserve">Section 8.3.6 </w:t>
      </w:r>
      <w:r>
        <w:rPr>
          <w:rFonts w:ascii="Arial" w:cs="Arial" w:eastAsia="Arial" w:hAnsi="Arial"/>
          <w:sz w:val="19"/>
          <w:szCs w:val="19"/>
          <w:u w:val="single" w:color="auto"/>
          <w:color w:val="auto"/>
        </w:rPr>
        <w:t>Designation of Charitable Beneficiaries.</w:t>
      </w:r>
      <w:r>
        <w:rPr>
          <w:rFonts w:ascii="Arial" w:cs="Arial" w:eastAsia="Arial" w:hAnsi="Arial"/>
          <w:sz w:val="19"/>
          <w:szCs w:val="19"/>
          <w:color w:val="auto"/>
        </w:rPr>
        <w:t xml:space="preserve"> By written notice to the Trustee, the Corporation shall designate one or more nonprofit organizations to be the Charitable Beneficiary of the interest in the Trust such that (i) the shares of Capital Stock held in the Trust would not violate the restrictions set forth in Section 8.2.1(a)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147" w:lineRule="exact"/>
        <w:rPr>
          <w:sz w:val="20"/>
          <w:szCs w:val="20"/>
          <w:color w:val="auto"/>
        </w:rPr>
      </w:pPr>
    </w:p>
    <w:p>
      <w:pPr>
        <w:ind w:right="180" w:firstLine="1297"/>
        <w:spacing w:after="0" w:line="307"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Nasdaq Transactions.</w:t>
      </w:r>
      <w:r>
        <w:rPr>
          <w:rFonts w:ascii="Arial" w:cs="Arial" w:eastAsia="Arial" w:hAnsi="Arial"/>
          <w:sz w:val="19"/>
          <w:szCs w:val="19"/>
          <w:color w:val="auto"/>
        </w:rPr>
        <w:t xml:space="preserve"> Nothing in this Article VIII shall preclude the settlement of any transaction entered into through the facilities of Nasdaq or any other national securities exchange or automated inter-dealer quotation system. The fact that the settlement of any transaction occurs shall not negate the effect of any other provision of this Article VIII and any transferee in such a transaction shall be subject to all of the provisions and limitations set forth in this Article VIII.</w:t>
      </w:r>
    </w:p>
    <w:p>
      <w:pPr>
        <w:spacing w:after="0" w:line="138" w:lineRule="exact"/>
        <w:rPr>
          <w:sz w:val="20"/>
          <w:szCs w:val="20"/>
          <w:color w:val="auto"/>
        </w:rPr>
      </w:pPr>
    </w:p>
    <w:p>
      <w:pPr>
        <w:ind w:right="240" w:firstLine="1297"/>
        <w:spacing w:after="0" w:line="276"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Corporation is authorized specifically to seek equitable relief, including injunctive relief, to enforce the provisions of this Article VIII.</w:t>
      </w:r>
    </w:p>
    <w:p>
      <w:pPr>
        <w:spacing w:after="0" w:line="161" w:lineRule="exact"/>
        <w:rPr>
          <w:sz w:val="20"/>
          <w:szCs w:val="20"/>
          <w:color w:val="auto"/>
        </w:rPr>
      </w:pPr>
    </w:p>
    <w:p>
      <w:pPr>
        <w:jc w:val="both"/>
        <w:ind w:right="140" w:firstLine="1297"/>
        <w:spacing w:after="0" w:line="260" w:lineRule="auto"/>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Non-Waiver.</w:t>
      </w:r>
      <w:r>
        <w:rPr>
          <w:rFonts w:ascii="Arial" w:cs="Arial" w:eastAsia="Arial" w:hAnsi="Arial"/>
          <w:sz w:val="22"/>
          <w:szCs w:val="22"/>
          <w:color w:val="auto"/>
        </w:rPr>
        <w:t xml:space="preserve">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177" w:lineRule="exact"/>
        <w:rPr>
          <w:sz w:val="20"/>
          <w:szCs w:val="20"/>
          <w:color w:val="auto"/>
        </w:rPr>
      </w:pPr>
    </w:p>
    <w:p>
      <w:pPr>
        <w:ind w:firstLine="1297"/>
        <w:spacing w:after="0" w:line="254" w:lineRule="auto"/>
        <w:rPr>
          <w:sz w:val="20"/>
          <w:szCs w:val="20"/>
          <w:color w:val="auto"/>
        </w:rPr>
      </w:pPr>
      <w:r>
        <w:rPr>
          <w:rFonts w:ascii="Arial" w:cs="Arial" w:eastAsia="Arial" w:hAnsi="Arial"/>
          <w:sz w:val="22"/>
          <w:szCs w:val="22"/>
          <w:color w:val="auto"/>
        </w:rPr>
        <w:t xml:space="preserve">Section 8.7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of this Article VIII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LIMITATION ON LIABILITY OF DIRECTORS</w:t>
      </w:r>
    </w:p>
    <w:p>
      <w:pPr>
        <w:spacing w:after="0" w:line="328" w:lineRule="exact"/>
        <w:rPr>
          <w:sz w:val="20"/>
          <w:szCs w:val="20"/>
          <w:color w:val="auto"/>
        </w:rPr>
      </w:pPr>
    </w:p>
    <w:p>
      <w:pPr>
        <w:ind w:right="160" w:firstLine="1297"/>
        <w:spacing w:after="0" w:line="248" w:lineRule="auto"/>
        <w:rPr>
          <w:sz w:val="20"/>
          <w:szCs w:val="20"/>
          <w:color w:val="auto"/>
        </w:rPr>
      </w:pPr>
      <w:r>
        <w:rPr>
          <w:rFonts w:ascii="Arial" w:cs="Arial" w:eastAsia="Arial" w:hAnsi="Arial"/>
          <w:sz w:val="22"/>
          <w:szCs w:val="22"/>
          <w:color w:val="auto"/>
        </w:rPr>
        <w:t>A director of the Corporation shall, to the maximum extent now or hereafter permitted by Section 102(b)(7) of the General Corporation Law (or any successor provision or provisions), have no personal liability to the Corporation or its stockholders for monetary damages for breach of fiduciary duty as a director, except to the extent such director has committed willful misfeasance, bad faith, gross negligence or reckless disregard of such director's duties involved in the conduct of the office of director.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COMPROMISE</w:t>
      </w:r>
    </w:p>
    <w:p>
      <w:pPr>
        <w:spacing w:after="0" w:line="328" w:lineRule="exact"/>
        <w:rPr>
          <w:sz w:val="20"/>
          <w:szCs w:val="20"/>
          <w:color w:val="auto"/>
        </w:rPr>
      </w:pPr>
    </w:p>
    <w:p>
      <w:pPr>
        <w:ind w:right="80" w:firstLine="1297"/>
        <w:spacing w:after="0" w:line="248" w:lineRule="auto"/>
        <w:rPr>
          <w:sz w:val="20"/>
          <w:szCs w:val="20"/>
          <w:color w:val="auto"/>
        </w:rPr>
      </w:pPr>
      <w:r>
        <w:rPr>
          <w:rFonts w:ascii="Arial" w:cs="Arial" w:eastAsia="Arial" w:hAnsi="Arial"/>
          <w:sz w:val="22"/>
          <w:szCs w:val="22"/>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General Corporation</w:t>
      </w:r>
    </w:p>
    <w:p>
      <w:pPr>
        <w:sectPr>
          <w:pgSz w:w="11900" w:h="16838" w:orient="portrait"/>
          <w:cols w:equalWidth="0" w:num="1">
            <w:col w:w="11420"/>
          </w:cols>
          <w:pgMar w:left="240" w:top="483" w:right="239" w:bottom="1440" w:gutter="0" w:footer="0" w:header="0"/>
        </w:sectPr>
      </w:pPr>
    </w:p>
    <w:bookmarkStart w:id="69" w:name="page70"/>
    <w:bookmarkEnd w:id="69"/>
    <w:p>
      <w:pPr>
        <w:spacing w:after="0" w:line="290" w:lineRule="auto"/>
        <w:rPr>
          <w:sz w:val="20"/>
          <w:szCs w:val="20"/>
          <w:color w:val="auto"/>
        </w:rPr>
      </w:pPr>
      <w:r>
        <w:rPr>
          <w:rFonts w:ascii="Arial" w:cs="Arial" w:eastAsia="Arial" w:hAnsi="Arial"/>
          <w:sz w:val="19"/>
          <w:szCs w:val="19"/>
          <w:color w:val="auto"/>
        </w:rPr>
        <w:t>Law, trustees in dissolution or of any receiver or receivers appointed for this Corporation under the provisions of Section 279 of the General Corporation Law,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XI</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AMENDMENT OF BY-LAWS</w:t>
      </w:r>
    </w:p>
    <w:p>
      <w:pPr>
        <w:spacing w:after="0" w:line="328" w:lineRule="exact"/>
        <w:rPr>
          <w:sz w:val="20"/>
          <w:szCs w:val="20"/>
          <w:color w:val="auto"/>
        </w:rPr>
      </w:pPr>
    </w:p>
    <w:p>
      <w:pPr>
        <w:ind w:right="140" w:firstLine="1297"/>
        <w:spacing w:after="0" w:line="261" w:lineRule="auto"/>
        <w:rPr>
          <w:sz w:val="20"/>
          <w:szCs w:val="20"/>
          <w:color w:val="auto"/>
        </w:rPr>
      </w:pPr>
      <w:r>
        <w:rPr>
          <w:rFonts w:ascii="Arial" w:cs="Arial" w:eastAsia="Arial" w:hAnsi="Arial"/>
          <w:sz w:val="21"/>
          <w:szCs w:val="21"/>
          <w:color w:val="auto"/>
        </w:rPr>
        <w:t>The Board of Directors shall have power to adopt, amend, alter, change and repeal any By-laws by a vote of the majority of the Board of Directors then in office. In addition to any requirements of the General Corporation Law (and notwithstanding the fact that a lesser percentage may be specified by the General Corporation Law), any adoption, amendment, alteration, change or repeal of any By-laws by the stockholders of the Corporation shall require the affirmative vote of the holders of at least sixty-six percent (66%) of the combined voting power of all of the shares of all classes of capital stock of the Corporation then entitled to vote generally in the election of directors.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XII</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AMENDMENT OF CERTIFICATE OF INCORPORATION</w:t>
      </w:r>
    </w:p>
    <w:p>
      <w:pPr>
        <w:spacing w:after="0" w:line="328" w:lineRule="exact"/>
        <w:rPr>
          <w:sz w:val="20"/>
          <w:szCs w:val="20"/>
          <w:color w:val="auto"/>
        </w:rPr>
      </w:pPr>
    </w:p>
    <w:p>
      <w:pPr>
        <w:ind w:right="120" w:firstLine="1297"/>
        <w:spacing w:after="0" w:line="261" w:lineRule="auto"/>
        <w:rPr>
          <w:sz w:val="20"/>
          <w:szCs w:val="20"/>
          <w:color w:val="auto"/>
        </w:rPr>
      </w:pPr>
      <w:r>
        <w:rPr>
          <w:rFonts w:ascii="Arial" w:cs="Arial" w:eastAsia="Arial" w:hAnsi="Arial"/>
          <w:sz w:val="21"/>
          <w:szCs w:val="21"/>
          <w:color w:val="auto"/>
        </w:rPr>
        <w:t>The Corporation hereby reserves the right to amend, alter, change or repeal any provision contained in this Certificate of Incorporation. Except as may be provided in a resolution or resolutions providing for any class of Preferred Stock pursuant to Article IV hereof and which relate to such class of Preferred Stock and except as provided in Article IV hereof, any such amendment, alteration, change or repeal shall require the affirmative vote of both (a) a majority of the members of the Board of Directors then in office and (b) a majority of the combined voting power of all of the shares of all classes of capital stock of the Corporation then entitled to vote generally in the election of directors.</w:t>
      </w:r>
    </w:p>
    <w:p>
      <w:pPr>
        <w:spacing w:after="0" w:line="180" w:lineRule="exact"/>
        <w:rPr>
          <w:sz w:val="20"/>
          <w:szCs w:val="20"/>
          <w:color w:val="auto"/>
        </w:rPr>
      </w:pPr>
    </w:p>
    <w:p>
      <w:pPr>
        <w:ind w:right="220" w:firstLine="1297"/>
        <w:spacing w:after="0" w:line="250" w:lineRule="auto"/>
        <w:rPr>
          <w:sz w:val="20"/>
          <w:szCs w:val="20"/>
          <w:color w:val="auto"/>
        </w:rPr>
      </w:pPr>
      <w:r>
        <w:rPr>
          <w:rFonts w:ascii="Arial" w:cs="Arial" w:eastAsia="Arial" w:hAnsi="Arial"/>
          <w:sz w:val="22"/>
          <w:szCs w:val="22"/>
          <w:color w:val="auto"/>
        </w:rPr>
        <w:t>By a vote of the majority of the Board of Directors then in office, the Board of Directors may adopt a resolution providing that at any time prior to the filing of the amendment with the Secretary of State, notwithstanding authorization of the proposed amendment by the stockholders, the Board of Directors may abandon such proposed amendment without further action by the stockholders.</w:t>
      </w:r>
    </w:p>
    <w:p>
      <w:pPr>
        <w:spacing w:after="0" w:line="188" w:lineRule="exact"/>
        <w:rPr>
          <w:sz w:val="20"/>
          <w:szCs w:val="20"/>
          <w:color w:val="auto"/>
        </w:rPr>
      </w:pPr>
    </w:p>
    <w:p>
      <w:pPr>
        <w:ind w:right="260" w:firstLine="1297"/>
        <w:spacing w:after="0" w:line="312" w:lineRule="auto"/>
        <w:rPr>
          <w:sz w:val="20"/>
          <w:szCs w:val="20"/>
          <w:color w:val="auto"/>
        </w:rPr>
      </w:pPr>
      <w:r>
        <w:rPr>
          <w:rFonts w:ascii="Arial" w:cs="Arial" w:eastAsia="Arial" w:hAnsi="Arial"/>
          <w:sz w:val="19"/>
          <w:szCs w:val="19"/>
          <w:color w:val="auto"/>
        </w:rPr>
        <w:t>Notwithstanding anything contained in this Certificate of Incorporation to the contrary, the affirmative vote of the holders of at least sixty-six percent (66%) of the combined voting power of all of the shares of all classes of capital stock of the Corporation then entitled to vote shall be required to amend, repeal or adopt any provision inconsistent with Article V herein.</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XIII</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MISCELLANEOUS</w:t>
      </w:r>
    </w:p>
    <w:p>
      <w:pPr>
        <w:spacing w:after="0" w:line="328" w:lineRule="exact"/>
        <w:rPr>
          <w:sz w:val="20"/>
          <w:szCs w:val="20"/>
          <w:color w:val="auto"/>
        </w:rPr>
      </w:pPr>
    </w:p>
    <w:p>
      <w:pPr>
        <w:ind w:right="40" w:firstLine="1297"/>
        <w:spacing w:after="0" w:line="276" w:lineRule="auto"/>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u w:val="single" w:color="auto"/>
          <w:color w:val="auto"/>
        </w:rPr>
        <w:t>Books and Records.</w:t>
      </w:r>
      <w:r>
        <w:rPr>
          <w:rFonts w:ascii="Arial" w:cs="Arial" w:eastAsia="Arial" w:hAnsi="Arial"/>
          <w:sz w:val="22"/>
          <w:szCs w:val="22"/>
          <w:color w:val="auto"/>
        </w:rPr>
        <w:t xml:space="preserve"> The books of the Corporation may be kept (subject to any provision contained in the General Corporation Law) outside the State of Delaware at such place or</w:t>
      </w:r>
    </w:p>
    <w:p>
      <w:pPr>
        <w:sectPr>
          <w:pgSz w:w="11900" w:h="16838" w:orient="portrait"/>
          <w:cols w:equalWidth="0" w:num="1">
            <w:col w:w="11380"/>
          </w:cols>
          <w:pgMar w:left="240" w:top="483" w:right="27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places as may be designated from time to time by the Board of Directors or in the By-laws of the Corporation.</w:t>
      </w:r>
    </w:p>
    <w:p>
      <w:pPr>
        <w:spacing w:after="0" w:line="220"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 xml:space="preserve">Section 13.2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The Corporation expressly elects not to be governed by Section 203 of the General Corporation Law.</w:t>
      </w:r>
    </w:p>
    <w:p>
      <w:pPr>
        <w:sectPr>
          <w:pgSz w:w="11900" w:h="16838" w:orient="portrait"/>
          <w:cols w:equalWidth="0" w:num="1">
            <w:col w:w="10860"/>
          </w:cols>
          <w:pgMar w:left="240" w:top="483" w:right="799" w:bottom="1440" w:gutter="0" w:footer="0" w:header="0"/>
        </w:sectPr>
      </w:pPr>
    </w:p>
    <w:bookmarkStart w:id="71" w:name="page72"/>
    <w:bookmarkEnd w:id="71"/>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Kain, certify that:</w:t>
      </w:r>
    </w:p>
    <w:p>
      <w:pPr>
        <w:spacing w:after="0" w:line="158" w:lineRule="exact"/>
        <w:rPr>
          <w:sz w:val="20"/>
          <w:szCs w:val="20"/>
          <w:color w:val="auto"/>
        </w:rPr>
      </w:pPr>
    </w:p>
    <w:p>
      <w:pPr>
        <w:ind w:left="860" w:hanging="467"/>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2016</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President and Chief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Officer</w:t>
      </w:r>
    </w:p>
    <w:p>
      <w:pPr>
        <w:sectPr>
          <w:pgSz w:w="11900" w:h="16838" w:orient="portrait"/>
          <w:cols w:equalWidth="0" w:num="1">
            <w:col w:w="11400"/>
          </w:cols>
          <w:pgMar w:left="260" w:top="580" w:right="239" w:bottom="1440" w:gutter="0" w:footer="0" w:header="0"/>
        </w:sectPr>
      </w:pPr>
    </w:p>
    <w:bookmarkStart w:id="72" w:name="page73"/>
    <w:bookmarkEnd w:id="72"/>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2016</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R. E</w:t>
      </w:r>
      <w:r>
        <w:rPr>
          <w:rFonts w:ascii="Arial" w:cs="Arial" w:eastAsia="Arial" w:hAnsi="Arial"/>
          <w:sz w:val="13"/>
          <w:szCs w:val="13"/>
          <w:color w:val="auto"/>
        </w:rPr>
        <w:t>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Gary Kain, Chief Executive Officer and Chair of the Board of Directors, and John R. Erickson, Executive Vice President and Chief Financial Officer of American Capital Agency Corp. (the “Company”), certify pursuant to Section 906 of the Sarbanes-Oxley Act of 2002, 18 U.S.C. Section 1350 that:</w:t>
      </w:r>
    </w:p>
    <w:p>
      <w:pPr>
        <w:spacing w:after="0" w:line="70" w:lineRule="exact"/>
        <w:rPr>
          <w:sz w:val="20"/>
          <w:szCs w:val="20"/>
          <w:color w:val="auto"/>
        </w:rPr>
      </w:pPr>
    </w:p>
    <w:p>
      <w:pPr>
        <w:ind w:left="660" w:right="18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year ended March 31, 2016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President and Chief Investment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5, 2016</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May 5, 2016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lowerRoman"/>
      <w:start w:val="3"/>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32"/>
    </w:lvl>
  </w:abstractNum>
  <w:abstractNum w:abstractNumId="32">
    <w:nsid w:val="580BD78F"/>
    <w:multiLevelType w:val="hybridMultilevel"/>
    <w:lvl w:ilvl="0">
      <w:lvlJc w:val="left"/>
      <w:lvlText w:val="**"/>
      <w:numFmt w:val="bullet"/>
      <w:start w:val="1"/>
    </w:lvl>
    <w:lvl w:ilvl="1">
      <w:lvlJc w:val="left"/>
      <w:lvlText w:val="(%2)"/>
      <w:numFmt w:val="lowerLetter"/>
      <w:start w:val="2"/>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4"/>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lvl w:ilvl="1">
      <w:lvlJc w:val="left"/>
      <w:lvlText w:val="(%2)"/>
      <w:numFmt w:val="lowerRoman"/>
      <w:start w:val="1"/>
    </w:lvl>
  </w:abstractNum>
  <w:abstractNum w:abstractNumId="39">
    <w:nsid w:val="725A06FB"/>
    <w:multiLevelType w:val="hybridMultilevel"/>
    <w:lvl w:ilvl="0">
      <w:lvlJc w:val="left"/>
      <w:lvlText w:val="(%1)"/>
      <w:numFmt w:val="lowerRoman"/>
      <w:start w:val="3"/>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lowerLetter"/>
      <w:start w:val="1"/>
    </w:lvl>
    <w:lvl w:ilvl="1">
      <w:lvlJc w:val="left"/>
      <w:lvlText w:val="(%2)"/>
      <w:numFmt w:val="lowerRoman"/>
      <w:start w:val="1"/>
    </w:lvl>
  </w:abstractNum>
  <w:abstractNum w:abstractNumId="43">
    <w:nsid w:val="4B588F54"/>
    <w:multiLevelType w:val="hybridMultilevel"/>
    <w:lvl w:ilvl="0">
      <w:lvlJc w:val="left"/>
      <w:lvlText w:val="(%1)"/>
      <w:numFmt w:val="lowerLetter"/>
      <w:start w:val="2"/>
    </w:lvl>
  </w:abstractNum>
  <w:abstractNum w:abstractNumId="44">
    <w:nsid w:val="542289EC"/>
    <w:multiLevelType w:val="hybridMultilevel"/>
    <w:lvl w:ilvl="0">
      <w:lvlJc w:val="left"/>
      <w:lvlText w:val="(%1)"/>
      <w:numFmt w:val="lowerRoman"/>
      <w:start w:val="3"/>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2019-12-29T12:55:39Z</dcterms:created>
  <dcterms:modified xsi:type="dcterms:W3CDTF">2019-12-29T12:55:39Z</dcterms:modified>
</cp:coreProperties>
</file>