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June 30, 2018</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65" w:lineRule="exact"/>
        <w:rPr>
          <w:sz w:val="24"/>
          <w:szCs w:val="24"/>
          <w:color w:val="auto"/>
        </w:rPr>
      </w:pPr>
    </w:p>
    <w:p>
      <w:pPr>
        <w:ind w:left="780" w:hanging="745"/>
        <w:spacing w:after="0"/>
        <w:tabs>
          <w:tab w:leader="none" w:pos="7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Arial" w:cs="Arial" w:eastAsia="Arial" w:hAnsi="Arial"/>
          <w:sz w:val="21"/>
          <w:szCs w:val="21"/>
          <w:color w:val="auto"/>
        </w:rPr>
      </w:pPr>
    </w:p>
    <w:p>
      <w:pPr>
        <w:ind w:left="5840"/>
        <w:spacing w:after="0"/>
        <w:rPr>
          <w:rFonts w:ascii="Arial" w:cs="Arial" w:eastAsia="Arial" w:hAnsi="Arial"/>
          <w:sz w:val="21"/>
          <w:szCs w:val="21"/>
          <w:color w:val="auto"/>
        </w:rPr>
      </w:pPr>
      <w:r>
        <w:rPr>
          <w:rFonts w:ascii="Arial" w:cs="Arial" w:eastAsia="Arial" w:hAnsi="Arial"/>
          <w:sz w:val="22"/>
          <w:szCs w:val="22"/>
          <w:b w:val="1"/>
          <w:bCs w:val="1"/>
          <w:color w:val="auto"/>
        </w:rPr>
        <w:t>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001-34057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122555</wp:posOffset>
            </wp:positionV>
            <wp:extent cx="245237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AGNC INVESTMENT CORP.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4"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503" w:right="239" w:bottom="1440" w:gutter="0" w:footer="0" w:header="0"/>
        </w:sectPr>
      </w:pPr>
    </w:p>
    <w:p>
      <w:pPr>
        <w:spacing w:after="0" w:line="152"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26-1701984</w:t>
      </w:r>
    </w:p>
    <w:p>
      <w:pPr>
        <w:spacing w:after="0" w:line="82" w:lineRule="exact"/>
        <w:rPr>
          <w:sz w:val="24"/>
          <w:szCs w:val="24"/>
          <w:color w:val="auto"/>
        </w:rPr>
      </w:pPr>
    </w:p>
    <w:p>
      <w:pPr>
        <w:sectPr>
          <w:pgSz w:w="11900" w:h="16838" w:orient="portrait"/>
          <w:cols w:equalWidth="0" w:num="2">
            <w:col w:w="7640" w:space="720"/>
            <w:col w:w="3060"/>
          </w:cols>
          <w:pgMar w:left="240" w:top="503" w:right="23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77" w:lineRule="exact"/>
        <w:rPr>
          <w:sz w:val="24"/>
          <w:szCs w:val="24"/>
          <w:color w:val="auto"/>
        </w:rPr>
      </w:pPr>
    </w:p>
    <w:p>
      <w:pPr>
        <w:sectPr>
          <w:pgSz w:w="11900" w:h="16838" w:orient="portrait"/>
          <w:cols w:equalWidth="0" w:num="2">
            <w:col w:w="7520" w:space="720"/>
            <w:col w:w="3180"/>
          </w:cols>
          <w:pgMar w:left="240" w:top="503"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 Bethesda Metro Center, 12th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Bethesda, Maryland 20814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(301) 968-9315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__________________________________________________</w:t>
      </w:r>
    </w:p>
    <w:p>
      <w:pPr>
        <w:sectPr>
          <w:pgSz w:w="11900" w:h="16838" w:orient="portrait"/>
          <w:cols w:equalWidth="0" w:num="1">
            <w:col w:w="11420"/>
          </w:cols>
          <w:pgMar w:left="240" w:top="503" w:right="239" w:bottom="1440" w:gutter="0" w:footer="0" w:header="0"/>
          <w:type w:val="continuous"/>
        </w:sectPr>
      </w:pPr>
    </w:p>
    <w:p>
      <w:pPr>
        <w:spacing w:after="0" w:line="175" w:lineRule="exact"/>
        <w:rPr>
          <w:sz w:val="24"/>
          <w:szCs w:val="24"/>
          <w:color w:val="auto"/>
        </w:rPr>
      </w:pPr>
    </w:p>
    <w:p>
      <w:pPr>
        <w:ind w:right="180" w:firstLine="324"/>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24"/>
        <w:spacing w:after="0" w:line="209"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660" w:firstLine="324"/>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720"/>
              <w:spacing w:after="0"/>
              <w:rPr>
                <w:sz w:val="20"/>
                <w:szCs w:val="20"/>
                <w:color w:val="auto"/>
              </w:rPr>
            </w:pPr>
            <w:r>
              <w:rPr>
                <w:rFonts w:ascii="Arial" w:cs="Arial" w:eastAsia="Arial" w:hAnsi="Arial"/>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4620" w:type="dxa"/>
            <w:vAlign w:val="bottom"/>
          </w:tcPr>
          <w:p>
            <w:pPr>
              <w:ind w:left="4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320" w:type="dxa"/>
            <w:vAlign w:val="bottom"/>
          </w:tcPr>
          <w:p>
            <w:pPr>
              <w:ind w:left="72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47" w:lineRule="exact"/>
        <w:rPr>
          <w:sz w:val="24"/>
          <w:szCs w:val="24"/>
          <w:color w:val="auto"/>
        </w:rPr>
      </w:pPr>
    </w:p>
    <w:p>
      <w:pPr>
        <w:ind w:right="100" w:firstLine="324"/>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40"/>
        <w:spacing w:after="0" w:line="196" w:lineRule="exact"/>
        <w:tabs>
          <w:tab w:leader="none" w:pos="8240" w:val="left"/>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30"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shares of the issuer's common stock, $0.01 par value, outstanding as of August 3, 2018 was 477,831,997.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187325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101600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7660" w:type="dxa"/>
            <w:vAlign w:val="bottom"/>
            <w:gridSpan w:val="1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100" w:type="dxa"/>
            <w:vAlign w:val="bottom"/>
            <w:tcBorders>
              <w:top w:val="single" w:sz="8" w:color="0000EE"/>
            </w:tcBorders>
          </w:tcPr>
          <w:p>
            <w:pPr>
              <w:spacing w:after="0"/>
              <w:rPr>
                <w:sz w:val="22"/>
                <w:szCs w:val="22"/>
                <w:color w:val="auto"/>
              </w:rPr>
            </w:pPr>
          </w:p>
        </w:tc>
        <w:tc>
          <w:tcPr>
            <w:tcW w:w="480" w:type="dxa"/>
            <w:vAlign w:val="bottom"/>
            <w:gridSpan w:val="3"/>
          </w:tcPr>
          <w:p>
            <w:pPr>
              <w:spacing w:after="0"/>
              <w:rPr>
                <w:sz w:val="22"/>
                <w:szCs w:val="22"/>
                <w:color w:val="auto"/>
              </w:rPr>
            </w:pPr>
          </w:p>
        </w:tc>
        <w:tc>
          <w:tcPr>
            <w:tcW w:w="2140" w:type="dxa"/>
            <w:vAlign w:val="bottom"/>
            <w:tcBorders>
              <w:top w:val="single" w:sz="8" w:color="0000EE"/>
            </w:tcBorders>
            <w:gridSpan w:val="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2"/>
                <w:szCs w:val="22"/>
                <w:color w:val="auto"/>
              </w:rPr>
            </w:pPr>
          </w:p>
        </w:tc>
        <w:tc>
          <w:tcPr>
            <w:tcW w:w="1980" w:type="dxa"/>
            <w:vAlign w:val="bottom"/>
            <w:gridSpan w:val="2"/>
          </w:tcPr>
          <w:p>
            <w:pPr>
              <w:jc w:val="center"/>
              <w:ind w:left="1814"/>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22"/>
                <w:szCs w:val="22"/>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27">
              <w:r>
                <w:rPr>
                  <w:rFonts w:ascii="Arial" w:cs="Arial" w:eastAsia="Arial" w:hAnsi="Arial"/>
                  <w:sz w:val="16"/>
                  <w:szCs w:val="16"/>
                  <w:color w:val="0000EE"/>
                  <w:w w:val="85"/>
                </w:rPr>
                <w:t>Item 2.</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7">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5">
              <w:r>
                <w:rPr>
                  <w:rFonts w:ascii="Arial" w:cs="Arial" w:eastAsia="Arial" w:hAnsi="Arial"/>
                  <w:sz w:val="16"/>
                  <w:szCs w:val="16"/>
                  <w:color w:val="0000EE"/>
                  <w:w w:val="85"/>
                </w:rPr>
                <w:t>Item 3.</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Quantitative and Qualitative Disclosures About Market Risk</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8">
              <w:r>
                <w:rPr>
                  <w:rFonts w:ascii="Arial" w:cs="Arial" w:eastAsia="Arial" w:hAnsi="Arial"/>
                  <w:sz w:val="16"/>
                  <w:szCs w:val="16"/>
                  <w:color w:val="0000EE"/>
                  <w:w w:val="85"/>
                </w:rPr>
                <w:t>Item 4.</w:t>
              </w:r>
            </w:hyperlink>
          </w:p>
        </w:tc>
        <w:tc>
          <w:tcPr>
            <w:tcW w:w="580" w:type="dxa"/>
            <w:vAlign w:val="bottom"/>
            <w:gridSpan w:val="4"/>
          </w:tcPr>
          <w:p>
            <w:pPr>
              <w:spacing w:after="0"/>
              <w:rPr>
                <w:sz w:val="21"/>
                <w:szCs w:val="21"/>
                <w:color w:val="auto"/>
              </w:rPr>
            </w:pPr>
          </w:p>
        </w:tc>
        <w:tc>
          <w:tcPr>
            <w:tcW w:w="3920" w:type="dxa"/>
            <w:vAlign w:val="bottom"/>
            <w:gridSpan w:val="10"/>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Controls and Procedures</w:t>
              </w:r>
            </w:hyperlink>
          </w:p>
        </w:tc>
        <w:tc>
          <w:tcPr>
            <w:tcW w:w="3740" w:type="dxa"/>
            <w:vAlign w:val="bottom"/>
            <w:gridSpan w:val="2"/>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534"/>
        </w:trPr>
        <w:tc>
          <w:tcPr>
            <w:tcW w:w="1040" w:type="dxa"/>
            <w:vAlign w:val="bottom"/>
            <w:gridSpan w:val="5"/>
          </w:tcPr>
          <w:p>
            <w:pPr>
              <w:spacing w:after="0"/>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PART II.</w:t>
              </w:r>
            </w:hyperlink>
          </w:p>
        </w:tc>
        <w:tc>
          <w:tcPr>
            <w:tcW w:w="7660" w:type="dxa"/>
            <w:vAlign w:val="bottom"/>
            <w:gridSpan w:val="12"/>
          </w:tcPr>
          <w:p>
            <w:pPr>
              <w:spacing w:after="0"/>
              <w:rPr>
                <w:rFonts w:ascii="Arial" w:cs="Arial" w:eastAsia="Arial" w:hAnsi="Arial"/>
                <w:sz w:val="16"/>
                <w:szCs w:val="16"/>
                <w:b w:val="1"/>
                <w:bCs w:val="1"/>
                <w:color w:val="0000EE"/>
              </w:rPr>
            </w:pPr>
            <w:hyperlink w:anchor="page49">
              <w:r>
                <w:rPr>
                  <w:rFonts w:ascii="Arial" w:cs="Arial" w:eastAsia="Arial" w:hAnsi="Arial"/>
                  <w:sz w:val="16"/>
                  <w:szCs w:val="16"/>
                  <w:b w:val="1"/>
                  <w:bCs w:val="1"/>
                  <w:color w:val="0000EE"/>
                </w:rPr>
                <w:t>OTHER INFORMATION</w:t>
              </w:r>
            </w:hyperlink>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Item 1.</w:t>
              </w:r>
            </w:hyperlink>
          </w:p>
        </w:tc>
        <w:tc>
          <w:tcPr>
            <w:tcW w:w="220" w:type="dxa"/>
            <w:vAlign w:val="bottom"/>
            <w:tcBorders>
              <w:top w:val="single" w:sz="8" w:color="0000EE"/>
            </w:tcBorders>
            <w:gridSpan w:val="3"/>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Borders>
              <w:top w:val="single" w:sz="8" w:color="0000EE"/>
            </w:tcBorders>
            <w:gridSpan w:val="4"/>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Legal Proceedings</w:t>
              </w:r>
            </w:hyperlink>
          </w:p>
        </w:tc>
        <w:tc>
          <w:tcPr>
            <w:tcW w:w="640" w:type="dxa"/>
            <w:vAlign w:val="bottom"/>
            <w:tcBorders>
              <w:top w:val="single" w:sz="8" w:color="0000EE"/>
            </w:tcBorders>
            <w:gridSpan w:val="3"/>
          </w:tcPr>
          <w:p>
            <w:pPr>
              <w:spacing w:after="0"/>
              <w:rPr>
                <w:sz w:val="22"/>
                <w:szCs w:val="22"/>
                <w:color w:val="auto"/>
              </w:rPr>
            </w:pPr>
          </w:p>
        </w:tc>
        <w:tc>
          <w:tcPr>
            <w:tcW w:w="5840" w:type="dxa"/>
            <w:vAlign w:val="bottom"/>
            <w:gridSpan w:val="5"/>
          </w:tcPr>
          <w:p>
            <w:pPr>
              <w:spacing w:after="0"/>
              <w:rPr>
                <w:sz w:val="22"/>
                <w:szCs w:val="22"/>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6"/>
                <w:szCs w:val="16"/>
                <w:color w:val="0000EE"/>
                <w:w w:val="93"/>
              </w:rPr>
            </w:pPr>
            <w:hyperlink w:anchor="page49">
              <w:r>
                <w:rPr>
                  <w:rFonts w:ascii="Arial" w:cs="Arial" w:eastAsia="Arial" w:hAnsi="Arial"/>
                  <w:sz w:val="16"/>
                  <w:szCs w:val="16"/>
                  <w:color w:val="0000EE"/>
                  <w:w w:val="93"/>
                </w:rPr>
                <w:t>Item 1A.</w:t>
              </w:r>
            </w:hyperlink>
          </w:p>
        </w:tc>
        <w:tc>
          <w:tcPr>
            <w:tcW w:w="460" w:type="dxa"/>
            <w:vAlign w:val="bottom"/>
            <w:gridSpan w:val="2"/>
          </w:tcPr>
          <w:p>
            <w:pPr>
              <w:spacing w:after="0"/>
              <w:rPr>
                <w:sz w:val="21"/>
                <w:szCs w:val="21"/>
                <w:color w:val="auto"/>
              </w:rPr>
            </w:pPr>
          </w:p>
        </w:tc>
        <w:tc>
          <w:tcPr>
            <w:tcW w:w="7660" w:type="dxa"/>
            <w:vAlign w:val="bottom"/>
            <w:gridSpan w:val="12"/>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Risk Factors</w:t>
              </w:r>
            </w:hyperlink>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Item 2.</w:t>
              </w:r>
            </w:hyperlink>
          </w:p>
        </w:tc>
        <w:tc>
          <w:tcPr>
            <w:tcW w:w="120" w:type="dxa"/>
            <w:vAlign w:val="bottom"/>
            <w:tcBorders>
              <w:top w:val="single" w:sz="8" w:color="0000EE"/>
            </w:tcBorders>
            <w:gridSpan w:val="2"/>
          </w:tcPr>
          <w:p>
            <w:pPr>
              <w:spacing w:after="0"/>
              <w:rPr>
                <w:sz w:val="20"/>
                <w:szCs w:val="20"/>
                <w:color w:val="auto"/>
              </w:rPr>
            </w:pPr>
          </w:p>
        </w:tc>
        <w:tc>
          <w:tcPr>
            <w:tcW w:w="460" w:type="dxa"/>
            <w:vAlign w:val="bottom"/>
            <w:gridSpan w:val="2"/>
          </w:tcPr>
          <w:p>
            <w:pPr>
              <w:spacing w:after="0"/>
              <w:rPr>
                <w:sz w:val="20"/>
                <w:szCs w:val="20"/>
                <w:color w:val="auto"/>
              </w:rPr>
            </w:pPr>
          </w:p>
        </w:tc>
        <w:tc>
          <w:tcPr>
            <w:tcW w:w="660" w:type="dxa"/>
            <w:vAlign w:val="bottom"/>
            <w:tcBorders>
              <w:top w:val="single" w:sz="8" w:color="0000EE"/>
            </w:tcBorders>
            <w:gridSpan w:val="2"/>
          </w:tcPr>
          <w:p>
            <w:pPr>
              <w:spacing w:after="0"/>
              <w:rPr>
                <w:rFonts w:ascii="Arial" w:cs="Arial" w:eastAsia="Arial" w:hAnsi="Arial"/>
                <w:sz w:val="16"/>
                <w:szCs w:val="16"/>
                <w:color w:val="0000EE"/>
                <w:w w:val="87"/>
              </w:rPr>
            </w:pPr>
            <w:hyperlink w:anchor="page49">
              <w:r>
                <w:rPr>
                  <w:rFonts w:ascii="Arial" w:cs="Arial" w:eastAsia="Arial" w:hAnsi="Arial"/>
                  <w:sz w:val="16"/>
                  <w:szCs w:val="16"/>
                  <w:color w:val="0000EE"/>
                  <w:w w:val="87"/>
                </w:rPr>
                <w:t>Properties</w:t>
              </w:r>
            </w:hyperlink>
          </w:p>
        </w:tc>
        <w:tc>
          <w:tcPr>
            <w:tcW w:w="140" w:type="dxa"/>
            <w:vAlign w:val="bottom"/>
            <w:tcBorders>
              <w:top w:val="single" w:sz="8" w:color="0000EE"/>
            </w:tcBorders>
          </w:tcPr>
          <w:p>
            <w:pPr>
              <w:spacing w:after="0"/>
              <w:rPr>
                <w:sz w:val="20"/>
                <w:szCs w:val="20"/>
                <w:color w:val="auto"/>
              </w:rPr>
            </w:pPr>
          </w:p>
        </w:tc>
        <w:tc>
          <w:tcPr>
            <w:tcW w:w="6860" w:type="dxa"/>
            <w:vAlign w:val="bottom"/>
            <w:gridSpan w:val="9"/>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top w:val="single" w:sz="8" w:color="0000EE"/>
            </w:tcBorders>
            <w:gridSpan w:val="2"/>
          </w:tcPr>
          <w:p>
            <w:pPr>
              <w:jc w:val="center"/>
              <w:ind w:right="20"/>
              <w:spacing w:after="0"/>
              <w:rPr>
                <w:rFonts w:ascii="Arial" w:cs="Arial" w:eastAsia="Arial" w:hAnsi="Arial"/>
                <w:sz w:val="15"/>
                <w:szCs w:val="15"/>
                <w:color w:val="0000EE"/>
                <w:w w:val="71"/>
              </w:rPr>
            </w:pPr>
            <w:hyperlink w:anchor="page49">
              <w:r>
                <w:rPr>
                  <w:rFonts w:ascii="Arial" w:cs="Arial" w:eastAsia="Arial" w:hAnsi="Arial"/>
                  <w:sz w:val="15"/>
                  <w:szCs w:val="15"/>
                  <w:color w:val="0000EE"/>
                  <w:w w:val="71"/>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Item 3.</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w w:val="91"/>
              </w:rPr>
            </w:pPr>
            <w:hyperlink w:anchor="page49">
              <w:r>
                <w:rPr>
                  <w:rFonts w:ascii="Arial" w:cs="Arial" w:eastAsia="Arial" w:hAnsi="Arial"/>
                  <w:sz w:val="16"/>
                  <w:szCs w:val="16"/>
                  <w:color w:val="0000EE"/>
                  <w:w w:val="91"/>
                </w:rPr>
                <w:t>Defaults upon Senior Securities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Item 4.</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Mine Safety Disclosures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5.</w:t>
            </w:r>
          </w:p>
        </w:tc>
        <w:tc>
          <w:tcPr>
            <w:tcW w:w="580" w:type="dxa"/>
            <w:vAlign w:val="bottom"/>
            <w:gridSpan w:val="4"/>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49">
              <w:r>
                <w:rPr>
                  <w:rFonts w:ascii="Arial" w:cs="Arial" w:eastAsia="Arial" w:hAnsi="Arial"/>
                  <w:sz w:val="16"/>
                  <w:szCs w:val="16"/>
                  <w:color w:val="0000EE"/>
                  <w:w w:val="91"/>
                </w:rPr>
                <w:t>Other Information</w:t>
              </w:r>
            </w:hyperlink>
          </w:p>
        </w:tc>
        <w:tc>
          <w:tcPr>
            <w:tcW w:w="400" w:type="dxa"/>
            <w:vAlign w:val="bottom"/>
            <w:gridSpan w:val="2"/>
          </w:tcPr>
          <w:p>
            <w:pPr>
              <w:spacing w:after="0"/>
              <w:rPr>
                <w:sz w:val="20"/>
                <w:szCs w:val="20"/>
                <w:color w:val="auto"/>
              </w:rPr>
            </w:pPr>
          </w:p>
        </w:tc>
        <w:tc>
          <w:tcPr>
            <w:tcW w:w="6080" w:type="dxa"/>
            <w:vAlign w:val="bottom"/>
            <w:gridSpan w:val="6"/>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480" w:type="dxa"/>
            <w:vAlign w:val="bottom"/>
            <w:gridSpan w:val="8"/>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33">
              <w:r>
                <w:rPr>
                  <w:rFonts w:ascii="Arial" w:cs="Arial" w:eastAsia="Arial" w:hAnsi="Arial"/>
                  <w:sz w:val="16"/>
                  <w:szCs w:val="16"/>
                  <w:color w:val="0000EE"/>
                  <w:w w:val="85"/>
                </w:rPr>
                <w:t>Item 6.</w:t>
              </w:r>
            </w:hyperlink>
          </w:p>
        </w:tc>
        <w:tc>
          <w:tcPr>
            <w:tcW w:w="580" w:type="dxa"/>
            <w:vAlign w:val="bottom"/>
            <w:gridSpan w:val="4"/>
          </w:tcPr>
          <w:p>
            <w:pPr>
              <w:spacing w:after="0"/>
              <w:rPr>
                <w:sz w:val="20"/>
                <w:szCs w:val="20"/>
                <w:color w:val="auto"/>
              </w:rPr>
            </w:pPr>
          </w:p>
        </w:tc>
        <w:tc>
          <w:tcPr>
            <w:tcW w:w="540" w:type="dxa"/>
            <w:vAlign w:val="bottom"/>
          </w:tcPr>
          <w:p>
            <w:pPr>
              <w:spacing w:after="0"/>
              <w:rPr>
                <w:rFonts w:ascii="Arial" w:cs="Arial" w:eastAsia="Arial" w:hAnsi="Arial"/>
                <w:sz w:val="16"/>
                <w:szCs w:val="16"/>
                <w:color w:val="0000EE"/>
                <w:w w:val="92"/>
              </w:rPr>
            </w:pPr>
            <w:hyperlink w:anchor="page50">
              <w:r>
                <w:rPr>
                  <w:rFonts w:ascii="Arial" w:cs="Arial" w:eastAsia="Arial" w:hAnsi="Arial"/>
                  <w:sz w:val="16"/>
                  <w:szCs w:val="16"/>
                  <w:color w:val="0000EE"/>
                  <w:w w:val="92"/>
                </w:rPr>
                <w:t>Exhibits</w:t>
              </w:r>
            </w:hyperlink>
          </w:p>
        </w:tc>
        <w:tc>
          <w:tcPr>
            <w:tcW w:w="640" w:type="dxa"/>
            <w:vAlign w:val="bottom"/>
            <w:gridSpan w:val="3"/>
          </w:tcPr>
          <w:p>
            <w:pPr>
              <w:spacing w:after="0"/>
              <w:rPr>
                <w:sz w:val="20"/>
                <w:szCs w:val="20"/>
                <w:color w:val="auto"/>
              </w:rPr>
            </w:pPr>
          </w:p>
        </w:tc>
        <w:tc>
          <w:tcPr>
            <w:tcW w:w="6480" w:type="dxa"/>
            <w:vAlign w:val="bottom"/>
            <w:gridSpan w:val="8"/>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61"/>
        </w:trPr>
        <w:tc>
          <w:tcPr>
            <w:tcW w:w="680" w:type="dxa"/>
            <w:vAlign w:val="bottom"/>
            <w:gridSpan w:val="4"/>
          </w:tcPr>
          <w:p>
            <w:pPr>
              <w:spacing w:after="0"/>
              <w:rPr>
                <w:sz w:val="20"/>
                <w:szCs w:val="20"/>
                <w:color w:val="auto"/>
              </w:rPr>
            </w:pPr>
            <w:r>
              <w:rPr>
                <w:rFonts w:ascii="Arial" w:cs="Arial" w:eastAsia="Arial" w:hAnsi="Arial"/>
                <w:sz w:val="16"/>
                <w:szCs w:val="16"/>
                <w:color w:val="0000EE"/>
                <w:w w:val="83"/>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51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80" w:top="580"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2017</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$51,356 and $53,055, respectively)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55,524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55,506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REIT equity securities, at fair value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assets,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Receivable for investment securities sold (pledged securities)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Goodwill and other intangible assets, net</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551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84"/>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73,138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70,376</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Repurchase agreements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48,839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50,296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Payable for investment securities purchased</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liabilities,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Dividends payable</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10,467</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299</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61,622</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7.750% Series B Cumulative Redeemable Preferred Stock (aggregate liquidation preference of $175)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20"/>
        </w:trPr>
        <w:tc>
          <w:tcPr>
            <w:tcW w:w="8120" w:type="dxa"/>
            <w:vAlign w:val="bottom"/>
          </w:tcPr>
          <w:p>
            <w:pPr>
              <w:ind w:left="280"/>
              <w:spacing w:after="0"/>
              <w:rPr>
                <w:sz w:val="20"/>
                <w:szCs w:val="20"/>
                <w:color w:val="auto"/>
              </w:rPr>
            </w:pPr>
            <w:r>
              <w:rPr>
                <w:rFonts w:ascii="Arial" w:cs="Arial" w:eastAsia="Arial" w:hAnsi="Arial"/>
                <w:sz w:val="16"/>
                <w:szCs w:val="16"/>
                <w:color w:val="auto"/>
                <w:w w:val="93"/>
              </w:rPr>
              <w:t>7.000% Series C Fixed-to-Floating Rate Cumulative Redeemable Preferred Stock (aggregate liquidation preference of</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6"/>
        </w:trPr>
        <w:tc>
          <w:tcPr>
            <w:tcW w:w="8120" w:type="dxa"/>
            <w:vAlign w:val="bottom"/>
          </w:tcPr>
          <w:p>
            <w:pPr>
              <w:ind w:left="280"/>
              <w:spacing w:after="0"/>
              <w:rPr>
                <w:sz w:val="20"/>
                <w:szCs w:val="20"/>
                <w:color w:val="auto"/>
              </w:rPr>
            </w:pPr>
            <w:r>
              <w:rPr>
                <w:rFonts w:ascii="Arial" w:cs="Arial" w:eastAsia="Arial" w:hAnsi="Arial"/>
                <w:sz w:val="16"/>
                <w:szCs w:val="16"/>
                <w:color w:val="auto"/>
              </w:rPr>
              <w:t>$325)</w:t>
            </w:r>
          </w:p>
        </w:tc>
        <w:tc>
          <w:tcPr>
            <w:tcW w:w="24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Common stock - $0.01 par value; 900 and 600 shares authorized, respectively; 434.1 and 391.3 shares issued and</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outstanding,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11,173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Retained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(2,562)</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8,754</w:t>
            </w:r>
          </w:p>
        </w:tc>
      </w:tr>
      <w:tr>
        <w:trPr>
          <w:trHeight w:val="244"/>
        </w:trPr>
        <w:tc>
          <w:tcPr>
            <w:tcW w:w="8120" w:type="dxa"/>
            <w:vAlign w:val="bottom"/>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73,138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70,376</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060" w:type="dxa"/>
            <w:vAlign w:val="bottom"/>
            <w:gridSpan w:val="7"/>
          </w:tcPr>
          <w:p>
            <w:pPr>
              <w:ind w:left="60"/>
              <w:spacing w:after="0"/>
              <w:rPr>
                <w:sz w:val="20"/>
                <w:szCs w:val="20"/>
                <w:color w:val="auto"/>
              </w:rPr>
            </w:pPr>
            <w:r>
              <w:rPr>
                <w:rFonts w:ascii="Arial" w:cs="Arial" w:eastAsia="Arial" w:hAnsi="Arial"/>
                <w:sz w:val="16"/>
                <w:szCs w:val="16"/>
                <w:b w:val="1"/>
                <w:bCs w:val="1"/>
                <w:color w:val="auto"/>
                <w:w w:val="98"/>
              </w:rPr>
              <w:t>Three Months Ended June</w:t>
            </w:r>
          </w:p>
        </w:tc>
        <w:tc>
          <w:tcPr>
            <w:tcW w:w="140" w:type="dxa"/>
            <w:vAlign w:val="bottom"/>
          </w:tcPr>
          <w:p>
            <w:pPr>
              <w:spacing w:after="0"/>
              <w:rPr>
                <w:sz w:val="17"/>
                <w:szCs w:val="17"/>
                <w:color w:val="auto"/>
              </w:rPr>
            </w:pPr>
          </w:p>
        </w:tc>
        <w:tc>
          <w:tcPr>
            <w:tcW w:w="1780" w:type="dxa"/>
            <w:vAlign w:val="bottom"/>
            <w:gridSpan w:val="5"/>
          </w:tcPr>
          <w:p>
            <w:pPr>
              <w:jc w:val="right"/>
              <w:ind w:right="30"/>
              <w:spacing w:after="0"/>
              <w:rPr>
                <w:sz w:val="20"/>
                <w:szCs w:val="20"/>
                <w:color w:val="auto"/>
              </w:rPr>
            </w:pPr>
            <w:r>
              <w:rPr>
                <w:rFonts w:ascii="Arial" w:cs="Arial" w:eastAsia="Arial" w:hAnsi="Arial"/>
                <w:sz w:val="16"/>
                <w:szCs w:val="16"/>
                <w:b w:val="1"/>
                <w:bCs w:val="1"/>
                <w:color w:val="auto"/>
                <w:w w:val="90"/>
              </w:rPr>
              <w:t>Six Months Ended June</w:t>
            </w: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w w:val="80"/>
              </w:rPr>
              <w:t>30,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w w:val="89"/>
              </w:rPr>
              <w:t>30,</w:t>
            </w:r>
          </w:p>
        </w:tc>
        <w:tc>
          <w:tcPr>
            <w:tcW w:w="70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5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414</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589</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(loss) on sale of investment securities, net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Unrealized gain (loss) on investment securities measured at fair value through net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 income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other gain (loss), net:</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Compensation and benefits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available to common stockholders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r>
      <w:tr>
        <w:trPr>
          <w:trHeight w:val="311"/>
        </w:trPr>
        <w:tc>
          <w:tcPr>
            <w:tcW w:w="7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338.8</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338.9</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per common share - 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 -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0.54</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0"/>
        </w:trPr>
        <w:tc>
          <w:tcPr>
            <w:tcW w:w="7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7.000% Series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8.000% Series</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7.750% Series</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 Fixed-to-</w:t>
            </w:r>
          </w:p>
        </w:tc>
        <w:tc>
          <w:tcPr>
            <w:tcW w:w="15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Floating Rate</w:t>
            </w:r>
          </w:p>
        </w:tc>
        <w:tc>
          <w:tcPr>
            <w:tcW w:w="1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1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 Cumulative</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B Cumulative</w:t>
            </w: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Cumulative</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7,356</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gain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rPr>
              <w:t>Issuance of common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w w:val="98"/>
              </w:rPr>
              <w:t>Common dividends declared</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2017</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7,745</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8,754</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loss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rPr>
              <w:t>Issuance of common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w w:val="98"/>
              </w:rPr>
              <w:t>Common dividends declared</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9,042</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may not total due to rounding.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00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Six Months Ended June 30,</w:t>
            </w:r>
          </w:p>
        </w:tc>
      </w:tr>
      <w:tr>
        <w:trPr>
          <w:trHeight w:val="33"/>
        </w:trPr>
        <w:tc>
          <w:tcPr>
            <w:tcW w:w="8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8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r>
      <w:tr>
        <w:trPr>
          <w:trHeight w:val="33"/>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 on sale of investment securities, net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Unrealized (gain) loss on investment securities measured at fair value through net income, net</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loss on derivative instruments and other securities, net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(Increase) decrease in other assets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Increase in accounts payable and other 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17"/>
        </w:trPr>
        <w:tc>
          <w:tcPr>
            <w:tcW w:w="85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679</w:t>
            </w:r>
          </w:p>
        </w:tc>
      </w:tr>
      <w:tr>
        <w:trPr>
          <w:trHeight w:val="33"/>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Purchases of Agency mortgage-backed securities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(9,065)</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Purchases of credit risk transfer and non-Agency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Proceeds from sale of Agency mortgage-backed securities</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7,636</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Principal collections on Agency mortgage-backed securities</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3,262</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Payments on U.S. Treasury securities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(7,320)</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6,873</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Net proceeds from (payments on) reverse repurchase agreements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227</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proceeds from (payments on)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Purchases of REIT equity securities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1,188</w:t>
            </w:r>
          </w:p>
        </w:tc>
      </w:tr>
      <w:tr>
        <w:trPr>
          <w:trHeight w:val="231"/>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repurchase arrangements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164,896</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Payments on repurchase agreements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(703,752)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(163,696)</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Payments on Federal Home Loan Bank advances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Payments on debt of consolidated variable interest entities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proceeds from common stock issuances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20" w:type="dxa"/>
            <w:vAlign w:val="bottom"/>
          </w:tcPr>
          <w:p>
            <w:pPr>
              <w:ind w:left="360"/>
              <w:spacing w:after="0"/>
              <w:rPr>
                <w:sz w:val="20"/>
                <w:szCs w:val="20"/>
                <w:color w:val="auto"/>
              </w:rPr>
            </w:pPr>
            <w:r>
              <w:rPr>
                <w:rFonts w:ascii="Arial" w:cs="Arial" w:eastAsia="Arial" w:hAnsi="Arial"/>
                <w:sz w:val="16"/>
                <w:szCs w:val="16"/>
                <w:color w:val="auto"/>
              </w:rPr>
              <w:t>Cash dividends paid</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33"/>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(2,269)</w:t>
            </w:r>
          </w:p>
        </w:tc>
      </w:tr>
      <w:tr>
        <w:trPr>
          <w:trHeight w:val="217"/>
        </w:trPr>
        <w:tc>
          <w:tcPr>
            <w:tcW w:w="852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(402)</w:t>
            </w:r>
          </w:p>
        </w:tc>
      </w:tr>
      <w:tr>
        <w:trPr>
          <w:trHeight w:val="33"/>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w:t>
            </w:r>
          </w:p>
        </w:tc>
      </w:tr>
      <w:tr>
        <w:trPr>
          <w:trHeight w:val="231"/>
        </w:trPr>
        <w:tc>
          <w:tcPr>
            <w:tcW w:w="85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12700</wp:posOffset>
            </wp:positionV>
            <wp:extent cx="1269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-130175</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700" w:top="580" w:right="6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unaudited interim consolidated financial statements include the accounts of all of our wholly-owned subsidiaries and variable interest entities for which we are the primary beneficiary. Significant intercompany accounts and transactions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As of January 1, 2018, we adopted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ASU 2016-18</w:t>
      </w:r>
      <w:r>
        <w:rPr>
          <w:rFonts w:ascii="Arial" w:cs="Arial" w:eastAsia="Arial" w:hAnsi="Arial"/>
          <w:sz w:val="18"/>
          <w:szCs w:val="18"/>
          <w:i w:val="1"/>
          <w:iCs w:val="1"/>
          <w:color w:val="auto"/>
        </w:rPr>
        <w:t>, Statement of Cash Flows (Topic 230) - Restricted Cash.</w:t>
      </w:r>
      <w:r>
        <w:rPr>
          <w:rFonts w:ascii="Arial" w:cs="Arial" w:eastAsia="Arial" w:hAnsi="Arial"/>
          <w:sz w:val="18"/>
          <w:szCs w:val="18"/>
          <w:color w:val="auto"/>
        </w:rPr>
        <w:t xml:space="preserve"> The adoption of ASU 2014-09 resulted in reclassification of expense reimbursements from MTGE Investment Corp. ("MTGE") from an other operating expense offset to management fee income on the consolidated statements of comprehensive income. Net income was not impacted. The adoption of ASU 2016-18 resulted in the presentation of restricted cash with cash and cash equivalents on the consolidated statements of cash flows when reconciling the total beginning and ending amounts. Our prior period results have been revised to conform to the current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So long as we continue to qualify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earn income primarily from investing in Agency residential mortgage-backed securities ("Agency RMBS") for which the principal and interest payments are guaranteed by a U.S. Government-sponsored enterprise ("GSE") or a U.S. Government agency.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We fund our investments primarily through borrowings structured as repurchase agreements.</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Mortgage-related securities may also include investments in the common stock of other publicly traded mortgage REITs, including MTGE, that primarily invest in Agency securities, non-Agency securities, other mortgage related instruments and/or real estate on a leveraged basis. As of June 30, 2018, our investments in REIT equity securities consisted solely of MTGE common stock.</w:t>
      </w:r>
    </w:p>
    <w:p>
      <w:pPr>
        <w:spacing w:after="0" w:line="12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Accounting Standards Codification ("ASC") Topic 320, </w:t>
      </w:r>
      <w:r>
        <w:rPr>
          <w:rFonts w:ascii="Arial" w:cs="Arial" w:eastAsia="Arial" w:hAnsi="Arial"/>
          <w:sz w:val="17"/>
          <w:szCs w:val="17"/>
          <w:i w:val="1"/>
          <w:iCs w:val="1"/>
          <w:color w:val="auto"/>
        </w:rPr>
        <w:t>Investments—Debt and Equity Securities</w:t>
      </w:r>
      <w:r>
        <w:rPr>
          <w:rFonts w:ascii="Arial" w:cs="Arial" w:eastAsia="Arial" w:hAnsi="Arial"/>
          <w:sz w:val="17"/>
          <w:szCs w:val="17"/>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such securities pursuant to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All of our securities are reported at fair value as they have either been designated as available-for-sale or trading or we have elected the fair value option of accounting. Unrealized gains and losses on securities classified as available-for-sale are reported in accumulated other comprehensive income ("OCI"). Unrealized gains and losses on securities classified as trading or for which we elected the fair value option are reported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Prior to fiscal year 2017, we primarily designated our investment securities as available-for-sale. On January 1, 2017, we began electing the fair value option of accounting for all investment securities acquired after fiscal year 2016. In our view, this election simplifies the accounting for investment securities and more appropriately reflects the results of our operations for a particular reporting period, as the fair value changes for these assets are presented in a manner consistent with the presentation and timing of the fair value changes of our hedging instruments. We are not permitted to change the designation of securities acquired prior to January 1, 2017; accordingly, such securities will continue to be classified as available-for-sale securities until we receive full repayment of principal or we dispose of the security.</w:t>
      </w:r>
    </w:p>
    <w:p>
      <w:pPr>
        <w:spacing w:after="0" w:line="13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the fair value of our investment securities based on prices provided by multiple third-party pricing services and non-binding dealer quotes (collectively "pricing sources"). These pricing sources use various valuation approaches, including market and income approaches, using "Level 2" inputs. The pricing sources primarily utilize a matrix pricing technique that interpolates the estimated fair value of our Agency RMBS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The pricing sources may also utilize discounted cash flow model-derived pricing techniques to estimate the fair value of investment securities. Such models incorporate market-based discount rate assumptions based on observable inputs such as recent trading activity, credit data, volatility statistics, benchmark interest rate curves and other market data that are current as of the measurement date and may include certain unobservable inputs, such as assumptions of future levels of prepayment, defaults and loss severities. We review the pricing estimates obtained from the pricing sources and perform procedures to validate their reasonableness. Refer to Note 8 for further discussion of fair value measurements.</w:t>
      </w:r>
    </w:p>
    <w:p>
      <w:pPr>
        <w:spacing w:after="0" w:line="11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jc w:val="both"/>
        <w:ind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Receivables—Nonrefundable Fees and Other Costs</w:t>
      </w:r>
      <w:r>
        <w:rPr>
          <w:rFonts w:ascii="Arial" w:cs="Arial" w:eastAsia="Arial" w:hAnsi="Arial"/>
          <w:sz w:val="18"/>
          <w:szCs w:val="18"/>
          <w:color w:val="auto"/>
        </w:rPr>
        <w:t>.</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estimate long-term prepayment speeds of our mortgage securities using a third-party service and market data. The third-party service provider estimates prepayment speeds using models that incorporate the forward yield curve, current mortgage rates,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third-party estimates. We review our actual and anticipated prepayment experience on at least a quarterly basis and effective yields are recalculated when differences arise between (i) our previously estimated future prepayments and (ii) actual prepayments to date and our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2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one or three-month LIBOR plus or minus a fixed spread. The fair value of our repurchase agreements is assumed to equal cost as the interest rates are considered to be at market.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borrow securities to cover short sales of U.S. Treasury securities through reverse repurchase transactions under our master repurchase agreements (see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typically have maturities of 30 days or less. The fair value of our reverse repurchase agreements is assumed to equal cost as the interest rates are considered to be at market.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as well as to periodically reduce our exposure to Agency RMBS.</w:t>
      </w:r>
    </w:p>
    <w:p>
      <w:pPr>
        <w:spacing w:after="0" w:line="13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We account for derivative instruments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ASC 815 requires an entity to recognize all derivatives as either assets or liabilities in our accompanying consolidated balance sheets and to measure those instruments at fair value.</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major financial institutions with acceptable credit ratings, monitoring positions with individual counterparties and adjusting posted collateral as required.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use interest rate swaps to hedge the variable cash flows associated with our borrowings made under repurchase agreements. Under our interest rate swap agreements, we typically pay a fixed rate and receive a floating rate based on one or three-month LIBOR ("payer swaps") with terms up to 20 years. The majority of our interest rate swaps are centrally cleared through a registered commodities exchange. We value centrally cleared interest rate swaps using the daily settlement price, or fair value, determined by the clearing exchange based on a pricing model that references observable market inputs, including LIBOR, swap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value non-centrally cleared swaps using a combination of third-party valuations obtained from pricing services and the swap counterparty. The third-party valuations are model-driven using observable inputs, including LIBOR,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Gains, losses and dollar roll income associated with our TBA contracts are recognized in gain (loss) on derivative instruments and other securities, net in our consolidated statements of comprehensive income. We estimate the fair value of TBA securities based on similar methods used to value our Agency RMBS securities.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MTGE Management Agreement</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May 2, 2018, MTGE announced its proposed acquisition by Annaly Capital Management, Inc. Coincident with the announcement, we entered into an amendment to our management agreement with MTGE. Pursuant to the amendment, we will continue to manage MTGE through the closing of the proposed merger and for a short transitional period following the merger. In addition to regular monthly management fees payable for ongoing service through the transition period, under the amendment we will be paid a termination fee of $41.7 million. The transaction is expected to close in 2018, subject to closing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We evaluate the existence of any pending or threatened litigation or other potential claims against the Company in accordance with ASC Topic 450,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which requires that we assess the likelihood and range of potential outcomes of any such matters. We are the defendant in three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lawsuits alleging that certain of our current and former directors and officers breached fiduciary duties and wasted corporate assets relating to past renewals of the management agreement with our former external manager and the internalization of our management, which occurred on July 1, 2016. Although the outcomes of these cases cannot be predicted with certainty, we do not believe that these cases have merit or will result in a material liability, and, as of June 30, 2018, we did not accrue a loss contingency related to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ASU 2016-13 changes the impairment model for most financial assets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June 30, 2018 and December 31, 2017, our investment portfolio consisted of $57.1 billion and $57.1 billion of investment securities, at fair value, respectively, and $20.0 billion and $15.7 billion of TBA securities, at fair value, respectively. Our TBA position is reported at its net carrying value of $105 million and $3 million as of June 30, 2018 and December 31, 2017,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2018 and December 31, 2017, our investment securities had a net unamortized premium balance of $2.6 billion and $2.7 billion, respectively, including interest and principal-only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6"/>
          <w:szCs w:val="16"/>
          <w:color w:val="auto"/>
        </w:rPr>
        <w:t>The following tables summarize our investment securities as of June 30, 2018 and December 31, 2017, excluding TBA securities, (dollars in millions).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TBA securities as of each of the respective dates are included in Note 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June 30, 2018</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1"/>
              </w:rPr>
              <w:t>December 31, 2017</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6"/>
          </w:tcPr>
          <w:p>
            <w:pPr>
              <w:jc w:val="right"/>
              <w:ind w:right="50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w w:val="93"/>
              </w:rPr>
              <w:t>56,918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55"/>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55,477</w:t>
            </w:r>
          </w:p>
        </w:tc>
        <w:tc>
          <w:tcPr>
            <w:tcW w:w="38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55,026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 Agency RMBS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w w:val="93"/>
              </w:rPr>
              <w:t>57,915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56,111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56,597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56,168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 securities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901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 investment securities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color w:val="auto"/>
                <w:w w:val="93"/>
              </w:rPr>
              <w:t>58,875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57,107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55"/>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57,466</w:t>
            </w:r>
          </w:p>
        </w:tc>
        <w:tc>
          <w:tcPr>
            <w:tcW w:w="38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57,080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June 30, 2018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Agency RMBS</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color w:val="auto"/>
              </w:rPr>
              <w:t>Non-Agency</w:t>
            </w:r>
          </w:p>
        </w:tc>
        <w:tc>
          <w:tcPr>
            <w:tcW w:w="120" w:type="dxa"/>
            <w:vAlign w:val="bottom"/>
            <w:gridSpan w:val="2"/>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3"/>
            <w:vMerge w:val="restart"/>
          </w:tcPr>
          <w:p>
            <w:pPr>
              <w:jc w:val="right"/>
              <w:ind w:right="15"/>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140"/>
              <w:spacing w:after="0" w:line="153" w:lineRule="exact"/>
              <w:rPr>
                <w:sz w:val="20"/>
                <w:szCs w:val="20"/>
                <w:color w:val="auto"/>
              </w:rPr>
            </w:pPr>
            <w:r>
              <w:rPr>
                <w:rFonts w:ascii="Arial" w:cs="Arial" w:eastAsia="Arial" w:hAnsi="Arial"/>
                <w:sz w:val="14"/>
                <w:szCs w:val="14"/>
                <w:b w:val="1"/>
                <w:bCs w:val="1"/>
                <w:color w:val="auto"/>
              </w:rPr>
              <w:t>Ginnie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900" w:type="dxa"/>
            <w:vAlign w:val="bottom"/>
            <w:gridSpan w:val="3"/>
            <w:vMerge w:val="restart"/>
          </w:tcPr>
          <w:p>
            <w:pPr>
              <w:jc w:val="right"/>
              <w:ind w:right="257"/>
              <w:spacing w:after="0"/>
              <w:rPr>
                <w:sz w:val="20"/>
                <w:szCs w:val="20"/>
                <w:color w:val="auto"/>
              </w:rPr>
            </w:pPr>
            <w:r>
              <w:rPr>
                <w:rFonts w:ascii="Arial" w:cs="Arial" w:eastAsia="Arial" w:hAnsi="Arial"/>
                <w:sz w:val="14"/>
                <w:szCs w:val="14"/>
                <w:b w:val="1"/>
                <w:bCs w:val="1"/>
                <w:color w:val="auto"/>
              </w:rPr>
              <w:t>CRT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Mae</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20,785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6,890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27,712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1,413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21,777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7,285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29,099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20,968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6,982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27,988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16,598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11,097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858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28,608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gridSpan w:val="2"/>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17,300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11,523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29,776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2"/>
                <w:szCs w:val="22"/>
                <w:color w:val="auto"/>
              </w:rPr>
            </w:pPr>
          </w:p>
        </w:tc>
        <w:tc>
          <w:tcPr>
            <w:tcW w:w="380" w:type="dxa"/>
            <w:vAlign w:val="bottom"/>
            <w:gridSpan w:val="2"/>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(713)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16,877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11,253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28</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936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29,119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37,845</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18,235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31</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369"/>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77"/>
              <w:spacing w:after="0"/>
              <w:rPr>
                <w:sz w:val="20"/>
                <w:szCs w:val="20"/>
                <w:color w:val="auto"/>
              </w:rPr>
            </w:pPr>
            <w:r>
              <w:rPr>
                <w:rFonts w:ascii="Arial" w:cs="Arial" w:eastAsia="Arial" w:hAnsi="Arial"/>
                <w:sz w:val="13"/>
                <w:szCs w:val="13"/>
                <w:color w:val="auto"/>
              </w:rPr>
              <w:t>936</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57,107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June 30, 2018</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6"/>
              </w:rPr>
              <w:t>5.81%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June 30, 2018 </w:t>
            </w:r>
            <w:r>
              <w:rPr>
                <w:rFonts w:ascii="Arial" w:cs="Arial" w:eastAsia="Arial" w:hAnsi="Arial"/>
                <w:sz w:val="8"/>
                <w:szCs w:val="8"/>
                <w:color w:val="auto"/>
              </w:rPr>
              <w:t>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86"/>
              </w:rPr>
              <w:t>5.53%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4180" w:type="dxa"/>
            <w:vAlign w:val="bottom"/>
          </w:tcPr>
          <w:p>
            <w:pPr>
              <w:ind w:left="40"/>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7.1% based on forward rates as of June 30,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CRT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24,200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32,460</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1,566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25,294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8,663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33,998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25,067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33,653</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13,558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22,344</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14,235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8,371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23,468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14,191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8,331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23,427</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39,258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16,875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35</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876</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57,080</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2017</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2017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8.4% based on forward rates as of December 31, 2017.</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2018 and December 31, 2017, our investments in CRT and non-Agency securities had the following credit ratings: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66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15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June 30, 2018, our CRT securities had floating and fixed rate coupons ranging from 3.7% to 9.0%, referenced to loans originated between 2011 and 2018 with weighted average coupons ranging from 3.6% to 4.4%. As of December 31, 2017, our CRT securities had floating rate coupons ranging from 3.9% to 8.5%, referenced to loans originated between 2012 and 2017 with weighted average coupons ranging from 3.6% to 4.4%.</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June 30, 2018 and December 31, 2017, the weighted average expected constant prepayment rate ("CPR") over the remaining life of our aggregate investment portfolio was 7.1% and 8.4%, respectively. Our estimates can differ materially for different securities and thus our individual holdings have a wide range of projected CPRs. The following table summarizes our investments as of June 30, 2018 and December 31, 2017 according to their estimated weighted average life classification (dollars in millions):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June 30, 2018</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3.90%</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2.67%</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5,104</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3.13%</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7,499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7,518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42,591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2.95%</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9,081</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3.72%</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3.40%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4.87%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4.74%</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58,875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June 30, 2018 and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7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2018</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27,044</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2017</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3,582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20,577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24,159</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We did not recognize OTTI charges on our investment securities during any of the periods presented herein. As of the end of each respective reporting period, a decision had not been made to sell securities in an unrealized loss position and we did not believe it was more likely than not that we would be required to sell such securities before recovery of their amortized cost basis. The unrealized losses on our securities were not due to credit losses given the GSE or U.S. Government agency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is a summary of our net gain (loss) from the sale of investment securities for the three and six months ended June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by investment classification of accounting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w w:val="96"/>
              </w:rPr>
              <w:t>Three Months Ended June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143"/>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10"/>
              <w:spacing w:after="0" w:line="144" w:lineRule="exact"/>
              <w:rPr>
                <w:sz w:val="20"/>
                <w:szCs w:val="20"/>
                <w:color w:val="auto"/>
              </w:rPr>
            </w:pPr>
            <w:r>
              <w:rPr>
                <w:rFonts w:ascii="Arial" w:cs="Arial" w:eastAsia="Arial" w:hAnsi="Arial"/>
                <w:sz w:val="13"/>
                <w:szCs w:val="13"/>
                <w:b w:val="1"/>
                <w:bCs w:val="1"/>
                <w:color w:val="auto"/>
                <w:w w:val="85"/>
              </w:rPr>
              <w:t>Available-for-Sale</w:t>
            </w:r>
          </w:p>
        </w:tc>
        <w:tc>
          <w:tcPr>
            <w:tcW w:w="11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2"/>
              </w:rPr>
              <w:t>Available-for-Sale</w:t>
            </w: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Securities </w:t>
            </w:r>
            <w:r>
              <w:rPr>
                <w:rFonts w:ascii="Arial" w:cs="Arial" w:eastAsia="Arial" w:hAnsi="Arial"/>
                <w:sz w:val="8"/>
                <w:szCs w:val="8"/>
                <w:b w:val="1"/>
                <w:bCs w:val="1"/>
                <w:color w:val="auto"/>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r>
      <w:tr>
        <w:trPr>
          <w:trHeight w:val="251"/>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(1,449)</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(1,975)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(3,424)</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(586)</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(2,401)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(2,987)</w:t>
            </w: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1,429</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1,921</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3,350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582</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2,420</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3,002</w:t>
            </w:r>
          </w:p>
        </w:tc>
      </w:tr>
      <w:tr>
        <w:trPr>
          <w:trHeight w:val="283"/>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w:t>
            </w: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22</w:t>
            </w: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w w:val="97"/>
              </w:rPr>
              <w:t>Six Months Ended June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10"/>
              <w:spacing w:after="0" w:line="144" w:lineRule="exact"/>
              <w:rPr>
                <w:sz w:val="20"/>
                <w:szCs w:val="20"/>
                <w:color w:val="auto"/>
              </w:rPr>
            </w:pPr>
            <w:r>
              <w:rPr>
                <w:rFonts w:ascii="Arial" w:cs="Arial" w:eastAsia="Arial" w:hAnsi="Arial"/>
                <w:sz w:val="13"/>
                <w:szCs w:val="13"/>
                <w:b w:val="1"/>
                <w:bCs w:val="1"/>
                <w:color w:val="auto"/>
                <w:w w:val="85"/>
              </w:rPr>
              <w:t>Available-for-Sale</w:t>
            </w:r>
          </w:p>
        </w:tc>
        <w:tc>
          <w:tcPr>
            <w:tcW w:w="11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2"/>
              </w:rPr>
              <w:t>Available-for-Sale</w:t>
            </w: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Securities </w:t>
            </w:r>
            <w:r>
              <w:rPr>
                <w:rFonts w:ascii="Arial" w:cs="Arial" w:eastAsia="Arial" w:hAnsi="Arial"/>
                <w:sz w:val="8"/>
                <w:szCs w:val="8"/>
                <w:b w:val="1"/>
                <w:bCs w:val="1"/>
                <w:color w:val="auto"/>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1"/>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(1,836)</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(2,978)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(4,814)</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(5,735)</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(2,620)</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(8,355)</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1,817</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2,921</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4,738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5,647</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2,639</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8,286</w:t>
            </w:r>
          </w:p>
        </w:tc>
        <w:tc>
          <w:tcPr>
            <w:tcW w:w="0" w:type="dxa"/>
            <w:vAlign w:val="bottom"/>
          </w:tcPr>
          <w:p>
            <w:pPr>
              <w:spacing w:after="0"/>
              <w:rPr>
                <w:sz w:val="1"/>
                <w:szCs w:val="1"/>
                <w:color w:val="auto"/>
              </w:rPr>
            </w:pPr>
          </w:p>
        </w:tc>
      </w:tr>
      <w:tr>
        <w:trPr>
          <w:trHeight w:val="283"/>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6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June 30, 2018 and December 31, 2017, we held investments in CMO trusts, which are VIEs. We have consolidated certain of these CMO trusts in our consolidated financial statements where we have determined we are the primary beneficiary of the trusts. Our CMO securities are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and approximate unpaid principal balance of $0.6 billion and $0.7 billion as of June 30, 2018 and December 31, 2017, respectively, and debt with a total fair value and approximate unpaid principal balance of $0.3 billion and $0.4 billion, respectively, in our accompanying consolidated balance sheets. We re-measure our consolidated debt at fair value through earnings in gain (loss) on derivative instruments and other securities, net in our consolidated statements of comprehensive income.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12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June 30, 2018 and December 31, 2017, the fair value of our CMO securities and interest and principal-only securities was $0.7 billion and $0.9 billion, respectively, excluding the consolidated CMO trusts discussed above, or $1.0 billion and $1.2 billion, respectively, including the net asset value of our consolidated CMO trusts. Our maximum exposure to loss related to our CMO securities and interest and principal-only securities, including our consolidated CMO trusts, was $74 million and $124 million as of June 30, 2018 and December 31,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Secured Borrowings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pledge our securities as collateral under our borrowing agreements with financial institutions.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2018, we had met all margin call requirements. For additional information regarding our pledged assets, please refer to Note 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June 30, 2018 and December 31, 2017, we had $48.8 billion and $50.3 billion, respectively, of repurchase agreements outstanding. The terms and conditions of our repurchase agreements are typically negotiated on a transaction-by-transaction basis. Our repurchase agreements with original maturities greater than one year have floating interest rates based on an index plus or minus a fixed spread. The following table summarizes our borrowings under repurchase agreements by their remaining maturities as of June 30, 2018 and December 31, 2017 (dollars in millions):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2018</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25,920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19,771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10,072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113</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7,287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7,979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305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921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44"/>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Total Agency repo</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48,839</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101</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50,296</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June 30, 2018 and December 31, 2017, $9.2 billion and $5.3 billion, respectively, of our Agency repurchase agreements matured overnight and none of our repurchase agreements were due on demand. As of June 30, 2018 and December 31, 2017, 43% and 33%, respectively, of our repurchase agreement funding was sourced through our wholly-owned captive broker-dealer subsidiary, Bethesda Securities, LLC ("BES"). Amounts sourced through BES include repo funding from the General Collateral Finance Repo service offered by the Fixed Income Clearing Corporation ("FICC"), which totaled 40% and 30% of our repurchase agreement funding outstanding as of June 30, 2018 and December 31, 2017, respectively, and is presented gross of $3.1 billion and $2.7 billion, respectively, of reverse repurchase agreements to the FICC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hedge a portion of our interest rate risk by entering into interest rate swaps, interest rate swaptions and U.S. Treasury securities and U.S. Treasury futures contracts, primarily through short sales. We may also utilize TBA securities, options and other types of derivative instruments to hedge a portion of our risk. For additional information regarding our derivative instruments and our overall risk management strategy, please refer to the discussion of derivative and other hedging instruments in Note 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summarizes fair value information about our derivative and other hedging instrument assets/(liabilities) as of June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2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8"/>
              </w:rPr>
              <w:t>June 30, 2018</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r>
      <w:tr>
        <w:trPr>
          <w:trHeight w:val="223"/>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repurchase agreements, at fair value</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(10,467)</w:t>
            </w: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(10,467)</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68"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June 30, 2018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2017 (dollars in millions):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June 30, 2018</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20,600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21,025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8,975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1.91%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6,825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1.82%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1.43%</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10,450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6,650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2.10%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1.42%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9.1</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3,075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3,425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12.9</w:t>
            </w:r>
          </w:p>
        </w:tc>
        <w:tc>
          <w:tcPr>
            <w:tcW w:w="0" w:type="dxa"/>
            <w:vAlign w:val="bottom"/>
          </w:tcPr>
          <w:p>
            <w:pPr>
              <w:spacing w:after="0"/>
              <w:rPr>
                <w:sz w:val="1"/>
                <w:szCs w:val="1"/>
                <w:color w:val="auto"/>
              </w:rPr>
            </w:pPr>
          </w:p>
        </w:tc>
      </w:tr>
      <w:tr>
        <w:trPr>
          <w:trHeight w:val="231"/>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47,875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1.93%</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4.6</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43,700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1.74%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1.44%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12700</wp:posOffset>
            </wp:positionV>
            <wp:extent cx="576326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3260" cy="2603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June 30, 2018 and December 31, 2017, notional amount includes forward starting swaps of $4.4 billion and $4.6 billion, respectively, with an average forward start date of 0.4 and 0.3 years, respectively.</w:t>
      </w:r>
    </w:p>
    <w:p>
      <w:pPr>
        <w:ind w:left="66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1.83% and 1.68% as of June 30, 2018 and December 31, 2017, respectively.</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Fixed</w:t>
            </w: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Current Option</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Date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4,700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2.82%</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7.7</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8.6</w:t>
            </w: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5,600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2.83%</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8"/>
              </w:rPr>
              <w:t>3M</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7.8</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2.71%</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8.7</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&gt; 2 year ≤ 3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6,650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2.72%</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June 30, 2018 and December 31, 2017, ≤ 1 year notional amount includes $700 million of Bermudan swaptions where the options may be exercised on predetermined dates up to their final exercise date, which is six months prior to the underlying swaps' maturity date.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December 31, 2017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tcPr>
          <w:p>
            <w:pPr>
              <w:jc w:val="right"/>
              <w:ind w:right="117"/>
              <w:spacing w:after="0" w:line="153" w:lineRule="exact"/>
              <w:rPr>
                <w:sz w:val="20"/>
                <w:szCs w:val="20"/>
                <w:color w:val="auto"/>
              </w:rPr>
            </w:pPr>
            <w:r>
              <w:rPr>
                <w:rFonts w:ascii="Arial" w:cs="Arial" w:eastAsia="Arial" w:hAnsi="Arial"/>
                <w:sz w:val="14"/>
                <w:szCs w:val="14"/>
                <w:b w:val="1"/>
                <w:bCs w:val="1"/>
                <w:color w:val="auto"/>
              </w:rPr>
              <w:t>Face 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4"/>
            <w:vMerge w:val="restart"/>
          </w:tcPr>
          <w:p>
            <w:pPr>
              <w:jc w:val="right"/>
              <w:ind w:right="246"/>
              <w:spacing w:after="0"/>
              <w:rPr>
                <w:sz w:val="20"/>
                <w:szCs w:val="20"/>
                <w:color w:val="auto"/>
              </w:rPr>
            </w:pPr>
            <w:r>
              <w:rPr>
                <w:rFonts w:ascii="Arial" w:cs="Arial" w:eastAsia="Arial" w:hAnsi="Arial"/>
                <w:sz w:val="14"/>
                <w:szCs w:val="14"/>
                <w:b w:val="1"/>
                <w:bCs w:val="1"/>
                <w:color w:val="auto"/>
                <w:w w:val="88"/>
              </w:rPr>
              <w:t>Cost Basis</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left="6"/>
              <w:spacing w:after="0" w:line="153" w:lineRule="exact"/>
              <w:rPr>
                <w:sz w:val="20"/>
                <w:szCs w:val="20"/>
                <w:color w:val="auto"/>
              </w:rPr>
            </w:pPr>
            <w:r>
              <w:rPr>
                <w:rFonts w:ascii="Arial" w:cs="Arial" w:eastAsia="Arial" w:hAnsi="Arial"/>
                <w:sz w:val="14"/>
                <w:szCs w:val="14"/>
                <w:b w:val="1"/>
                <w:bCs w:val="1"/>
                <w:color w:val="auto"/>
                <w:w w:val="94"/>
              </w:rPr>
              <w:t>Face 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rPr>
              <w:t>Cost Basis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3"/>
            <w:vMerge w:val="restart"/>
          </w:tcPr>
          <w:p>
            <w:pPr>
              <w:jc w:val="right"/>
              <w:ind w:right="22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(Short)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left="6"/>
              <w:spacing w:after="0"/>
              <w:rPr>
                <w:sz w:val="20"/>
                <w:szCs w:val="20"/>
                <w:color w:val="auto"/>
              </w:rPr>
            </w:pPr>
            <w:r>
              <w:rPr>
                <w:rFonts w:ascii="Arial" w:cs="Arial" w:eastAsia="Arial" w:hAnsi="Arial"/>
                <w:sz w:val="14"/>
                <w:szCs w:val="14"/>
                <w:b w:val="1"/>
                <w:bCs w:val="1"/>
                <w:color w:val="auto"/>
                <w:w w:val="95"/>
              </w:rPr>
              <w:t>(Short)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466"/>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4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(286)</w:t>
            </w:r>
          </w:p>
        </w:tc>
        <w:tc>
          <w:tcPr>
            <w:tcW w:w="3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(8,092)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(8,058)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(7,853)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(6,131)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(6,106)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(6,029)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(4,230)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(4,155)</w:t>
            </w:r>
          </w:p>
        </w:tc>
        <w:tc>
          <w:tcPr>
            <w:tcW w:w="0" w:type="dxa"/>
            <w:vAlign w:val="bottom"/>
          </w:tcPr>
          <w:p>
            <w:pPr>
              <w:spacing w:after="0"/>
              <w:rPr>
                <w:sz w:val="1"/>
                <w:szCs w:val="1"/>
                <w:color w:val="auto"/>
              </w:rPr>
            </w:pPr>
          </w:p>
        </w:tc>
      </w:tr>
      <w:tr>
        <w:trPr>
          <w:trHeight w:val="244"/>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w:t>
            </w:r>
          </w:p>
        </w:tc>
        <w:tc>
          <w:tcPr>
            <w:tcW w:w="1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64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0"/>
              </w:rPr>
              <w:t>(13,394)</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105"/>
              <w:spacing w:after="0"/>
              <w:rPr>
                <w:sz w:val="20"/>
                <w:szCs w:val="20"/>
                <w:color w:val="auto"/>
              </w:rPr>
            </w:pPr>
            <w:r>
              <w:rPr>
                <w:rFonts w:ascii="Arial" w:cs="Arial" w:eastAsia="Arial" w:hAnsi="Arial"/>
                <w:sz w:val="16"/>
                <w:szCs w:val="16"/>
                <w:color w:val="auto"/>
                <w:w w:val="89"/>
              </w:rPr>
              <w:t>$</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(13,300)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(12,898)</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(10,699)</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(10,622)</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(10,467)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90"/>
              </w:rPr>
              <w:t>June 30,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w w:val="96"/>
              </w:rPr>
              <w:t>December 31, 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center"/>
              <w:ind w:right="46"/>
              <w:spacing w:after="0" w:line="144" w:lineRule="exact"/>
              <w:rPr>
                <w:sz w:val="20"/>
                <w:szCs w:val="20"/>
                <w:color w:val="auto"/>
              </w:rPr>
            </w:pPr>
            <w:r>
              <w:rPr>
                <w:rFonts w:ascii="Arial" w:cs="Arial" w:eastAsia="Arial" w:hAnsi="Arial"/>
                <w:sz w:val="13"/>
                <w:szCs w:val="13"/>
                <w:b w:val="1"/>
                <w:bCs w:val="1"/>
                <w:color w:val="auto"/>
                <w:w w:val="88"/>
              </w:rPr>
              <w:t>Notional</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6"/>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tcPr>
          <w:p>
            <w:pPr>
              <w:ind w:left="340"/>
              <w:spacing w:after="0" w:line="135" w:lineRule="exact"/>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240"/>
              <w:spacing w:after="0" w:line="135" w:lineRule="exact"/>
              <w:rPr>
                <w:sz w:val="20"/>
                <w:szCs w:val="20"/>
                <w:color w:val="auto"/>
              </w:rPr>
            </w:pPr>
            <w:r>
              <w:rPr>
                <w:rFonts w:ascii="Arial" w:cs="Arial" w:eastAsia="Arial" w:hAnsi="Arial"/>
                <w:sz w:val="13"/>
                <w:szCs w:val="13"/>
                <w:b w:val="1"/>
                <w:bCs w:val="1"/>
                <w:color w:val="auto"/>
                <w:w w:val="89"/>
              </w:rPr>
              <w:t>Net Carrying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4"/>
          </w:tcPr>
          <w:p>
            <w:pPr>
              <w:jc w:val="right"/>
              <w:ind w:right="239"/>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900" w:type="dxa"/>
            <w:vAlign w:val="bottom"/>
            <w:gridSpan w:val="2"/>
          </w:tcPr>
          <w:p>
            <w:pPr>
              <w:jc w:val="right"/>
              <w:ind w:right="5"/>
              <w:spacing w:after="0" w:line="135"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06"/>
              <w:spacing w:after="0"/>
              <w:rPr>
                <w:sz w:val="20"/>
                <w:szCs w:val="20"/>
                <w:color w:val="auto"/>
              </w:rPr>
            </w:pPr>
            <w:r>
              <w:rPr>
                <w:rFonts w:ascii="Arial" w:cs="Arial" w:eastAsia="Arial" w:hAnsi="Arial"/>
                <w:sz w:val="13"/>
                <w:szCs w:val="13"/>
                <w:b w:val="1"/>
                <w:bCs w:val="1"/>
                <w:color w:val="auto"/>
                <w:w w:val="89"/>
              </w:rPr>
              <w:t>(Short)</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rPr>
              <w:t>Basis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Value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6"/>
              <w:spacing w:after="0"/>
              <w:rPr>
                <w:sz w:val="20"/>
                <w:szCs w:val="20"/>
                <w:color w:val="auto"/>
              </w:rPr>
            </w:pPr>
            <w:r>
              <w:rPr>
                <w:rFonts w:ascii="Arial" w:cs="Arial" w:eastAsia="Arial" w:hAnsi="Arial"/>
                <w:sz w:val="13"/>
                <w:szCs w:val="13"/>
                <w:b w:val="1"/>
                <w:bCs w:val="1"/>
                <w:color w:val="auto"/>
                <w:w w:val="93"/>
              </w:rPr>
              <w:t>(Short)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237"/>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(848)</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(1,650)</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(1,980)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(1,983)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(2,718)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(2,703)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U.S. Treasury futures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580" w:type="dxa"/>
            <w:vAlign w:val="bottom"/>
            <w:gridSpan w:val="3"/>
            <w:shd w:val="clear" w:color="auto" w:fill="CCEEFF"/>
          </w:tcPr>
          <w:p>
            <w:pPr>
              <w:jc w:val="right"/>
              <w:ind w:right="237"/>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4"/>
              </w:rPr>
              <w:t>(1,980)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(1,983)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(3,551)</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7" w:name="page18"/>
    <w:bookmarkEnd w:id="17"/>
    <w:p>
      <w:pPr>
        <w:ind w:left="660" w:hanging="328"/>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Fair</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4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1"/>
                <w:szCs w:val="11"/>
                <w:color w:val="auto"/>
              </w:rPr>
            </w:pPr>
          </w:p>
        </w:tc>
        <w:tc>
          <w:tcPr>
            <w:tcW w:w="88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88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9"/>
              </w:rPr>
              <w:t>(Short)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(Short)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2,282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2,301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2,308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4,655</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4,643</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4,664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4,948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5,025</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5,015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2,962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2,843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2,867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4,317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5,594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5,662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5,697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2,338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2,449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4,755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4,929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4,946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15,150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15,255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15,339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10,526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10,714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10,727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19,805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19,898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300" w:type="dxa"/>
            <w:vAlign w:val="bottom"/>
            <w:vMerge w:val="restart"/>
          </w:tcPr>
          <w:p>
            <w:pPr>
              <w:jc w:val="right"/>
              <w:ind w:right="490"/>
              <w:spacing w:after="0"/>
              <w:rPr>
                <w:sz w:val="20"/>
                <w:szCs w:val="20"/>
                <w:color w:val="auto"/>
              </w:rPr>
            </w:pPr>
            <w:r>
              <w:rPr>
                <w:rFonts w:ascii="Arial" w:cs="Arial" w:eastAsia="Arial" w:hAnsi="Arial"/>
                <w:sz w:val="11"/>
                <w:szCs w:val="11"/>
                <w:color w:val="auto"/>
                <w:w w:val="87"/>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and six months ended June 30, 2018 and 2017 (in millions):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13,636</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64,406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(58,237)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19,805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6,750</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14,170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56,306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(53,609)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16,867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3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Six months ended June 30, 2018:</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7,650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(3,475)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47,875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(10,699)</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(6,291)</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3,596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(13,394)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(4,559)</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5,819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Six months ended June 30, 2017:</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92,402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16,867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37,175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7,025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(4,200)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(8,061)</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(6,490)</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7,193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(7,358)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(5,520)</w:t>
            </w:r>
          </w:p>
        </w:tc>
        <w:tc>
          <w:tcPr>
            <w:tcW w:w="1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4,420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right="20" w:hanging="328"/>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above exclude other miscellaneous gains and losses recognized in gain (loss) on derivative instruments and other securities, net in our consolidated statements of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w:t>
      </w:r>
    </w:p>
    <w:p>
      <w:pPr>
        <w:sectPr>
          <w:pgSz w:w="11900" w:h="16838" w:orient="portrait"/>
          <w:cols w:equalWidth="0" w:num="1">
            <w:col w:w="11420"/>
          </w:cols>
          <w:pgMar w:left="240" w:top="800"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800" w:right="239" w:bottom="1440" w:gutter="0" w:footer="0" w:header="0"/>
          <w:type w:val="continuous"/>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and TBA contracts, and subsequently post or receive variation margin based on daily fluctuations in fair value. Our prime brokerage agreements, pursuant to which we receive custody and settlement services,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1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clearinghouse guarantee funds and other resources that are available in the event of a clearing member default.</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International Swaps and Derivatives Association ("ISDA") Master Agreements contain a cross default provision under which a default under the terms of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June 30, 2018,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2018, our maximum amount at risk with any counterparty related to our repurchase agreements, excluding the FICC, was less than 5% of our tangible stockholders' equity. As of June 30, 2018, 6% of our tangible stockholder's equity was at risk with the FICC. The following table summarizes repurchase agreements outstanding with the FICC as of June 30, 2018 (dollars in millions):</w:t>
      </w:r>
    </w:p>
    <w:p>
      <w:pPr>
        <w:spacing w:after="0" w:line="267"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June 30, 2018</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 of Tangible</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Net Counterparty</w:t>
            </w:r>
          </w:p>
        </w:tc>
        <w:tc>
          <w:tcPr>
            <w:tcW w:w="13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Months to</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 xml:space="preserve">Exposure </w:t>
            </w:r>
            <w:r>
              <w:rPr>
                <w:rFonts w:ascii="Arial" w:cs="Arial" w:eastAsia="Arial" w:hAnsi="Arial"/>
                <w:sz w:val="8"/>
                <w:szCs w:val="8"/>
                <w:b w:val="1"/>
                <w:bCs w:val="1"/>
                <w:color w:val="auto"/>
                <w:w w:val="91"/>
              </w:rPr>
              <w: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43"/>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FICC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-93980</wp:posOffset>
            </wp:positionV>
            <wp:extent cx="3095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660" w:hanging="328"/>
        <w:spacing w:after="0" w:line="25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net carrying value of securities pledged under repurchase agreements, including accrued interest plus any cash or assets on deposit to secure the repurchase obligation, less the amount of the repurchase liability, including accrued interest.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June 30, 2018 and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2"/>
              </w:rPr>
              <w:t>June 30, 2018</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Debt of Consolidated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3"/>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VIEs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50,912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52,142</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color w:val="auto"/>
              </w:rPr>
              <w:t>3</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51,302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52,975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368"/>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Debt of Consolidated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3"/>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VIEs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52,497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53,899</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color w:val="auto"/>
              </w:rPr>
              <w:t>3</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52,798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54,559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$168 million and $182 million of retained interests in our consolidated VIEs pledged as collateral under repurchase agreements as of June 30, 2018 and December 31, 2017, respectively.</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repledged securities received as collateral from counterparties.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Securities transferred to our consolidated VIEs can only be used to settle the obligations of each respective VIE. However, we may pledge our retained interests in our consolidated VIEs as collateral under our repurchase agreements and derivative contracts. Please refer to Note 4 for additional information regarding our consolidated VIEs.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June 30, 2018 and December 31, 2017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Pledged 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RMBS:</w:t>
            </w:r>
            <w:r>
              <w:rPr>
                <w:rFonts w:ascii="Arial" w:cs="Arial" w:eastAsia="Arial" w:hAnsi="Arial"/>
                <w:sz w:val="8"/>
                <w:szCs w:val="8"/>
                <w:color w:val="auto"/>
              </w:rPr>
              <w:t>1,2</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 30 days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26,699</w:t>
            </w:r>
          </w:p>
        </w:tc>
        <w:tc>
          <w:tcPr>
            <w:tcW w:w="12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27,565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20,162</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20,313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30 and ≤ 60 days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&gt; 60 and ≤ 90 days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5,349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5,505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4,000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90 days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13,700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15,385</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200"/>
              <w:spacing w:after="0"/>
              <w:rPr>
                <w:sz w:val="20"/>
                <w:szCs w:val="20"/>
                <w:color w:val="auto"/>
              </w:rPr>
            </w:pPr>
            <w:r>
              <w:rPr>
                <w:rFonts w:ascii="Arial" w:cs="Arial" w:eastAsia="Arial" w:hAnsi="Arial"/>
                <w:sz w:val="14"/>
                <w:szCs w:val="14"/>
                <w:color w:val="auto"/>
              </w:rPr>
              <w:t>Total RMBS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50,912</w:t>
            </w:r>
          </w:p>
        </w:tc>
        <w:tc>
          <w:tcPr>
            <w:tcW w:w="12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52,603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52,497</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52,899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right="320" w:hanging="328"/>
        <w:spacing w:after="0" w:line="250"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$168 million and $182 million of retained interests in our consolidated VIEs pledged as collateral under repurchase agreements as of June 30, 2018 and December 31, 2017, respectively.</w:t>
      </w: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June 30, 2018 amounts exclude $172 million of repledged U.S. Treasury securities received as collateral from counterparties.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June 30, 2018 and December 31, 2017, we had assets pledged to us from counterparties as collateral under our reverse repurchase and derivative agreements summarized in the tables below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Reverse</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Reverse</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Agreements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10,853</w:t>
            </w: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Cash</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ind w:left="82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13,247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13,537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10,853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10,935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for which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2018 and December 31, 2017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 xml:space="preserve">Received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13,306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13,306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9"/>
          </w:tcPr>
          <w:p>
            <w:pPr>
              <w:ind w:left="920"/>
              <w:spacing w:after="0"/>
              <w:rPr>
                <w:sz w:val="20"/>
                <w:szCs w:val="20"/>
                <w:color w:val="auto"/>
              </w:rPr>
            </w:pPr>
            <w:r>
              <w:rPr>
                <w:rFonts w:ascii="Arial" w:cs="Arial" w:eastAsia="Arial" w:hAnsi="Arial"/>
                <w:sz w:val="14"/>
                <w:szCs w:val="14"/>
                <w:b w:val="1"/>
                <w:bCs w:val="1"/>
                <w:color w:val="auto"/>
                <w:w w:val="95"/>
              </w:rPr>
              <w:t>Offsetting of Financial and Derivative Liabilities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center"/>
              <w:ind w:left="768"/>
              <w:spacing w:after="0" w:line="149" w:lineRule="exact"/>
              <w:rPr>
                <w:sz w:val="20"/>
                <w:szCs w:val="20"/>
                <w:color w:val="auto"/>
              </w:rPr>
            </w:pPr>
            <w:r>
              <w:rPr>
                <w:rFonts w:ascii="Arial" w:cs="Arial" w:eastAsia="Arial" w:hAnsi="Arial"/>
                <w:sz w:val="14"/>
                <w:szCs w:val="14"/>
                <w:b w:val="1"/>
                <w:bCs w:val="1"/>
                <w:color w:val="auto"/>
                <w:w w:val="90"/>
              </w:rPr>
              <w:t>in the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20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 xml:space="preserve">Pledged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48,839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48,839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48,842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48,842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determine the fair value of our financial instruments based on our estimate of the price that would be received to sell the asset or paid to transfer the liability in an orderly transaction between market participants at the measurement date. We typically obtain price estimates from multiple third-party pricing services and dealers or, if applicable, the clearing exchange (see Note 3 for further details.) We utilize a three-level valuation hierarchy for disclosure of fair value measurements.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left="60" w:firstLine="432"/>
        <w:spacing w:after="0" w:line="259" w:lineRule="auto"/>
        <w:rPr>
          <w:sz w:val="20"/>
          <w:szCs w:val="20"/>
          <w:color w:val="auto"/>
        </w:rPr>
      </w:pPr>
      <w:r>
        <w:rPr>
          <w:rFonts w:ascii="Arial" w:cs="Arial" w:eastAsia="Arial" w:hAnsi="Arial"/>
          <w:sz w:val="18"/>
          <w:szCs w:val="18"/>
          <w:color w:val="auto"/>
        </w:rPr>
        <w:t>The availability of observable inputs can vary by instrument and is affected by a wide variety of factors, including the type of instrument, whether the instrument is new and not yet established in the marketplace and other characteristics particular to the instrument. Third-party pricing sources may also use certain unobservable inputs, such as assumptions of future levels of prepayment, defaults and loss severities, especially when estimating fair values for securities with lower levels of recent trading activity.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make inquiries of third-party pricing sources to understand the significant inputs and assumptions they used to determine their prices.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categorization. The following table provides a summary of our assets and liabilities that are measured at fair value on a recurring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87"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basis as of June 30, 2018 and December 31, 2017 based on their categorization within the valuation hierarchy (in millions). There were no transfers between valuation hierarchy levels during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55,524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55,506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57,565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57,266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163"/>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12,898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12,898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which are presented in our consolidated financial statements at cost. The cost basis of these instruments is determined to approximate fair value due to their short duration or, in the case of longer-term repo, due to floating rates of interest based on an index plus or minus a fixed spread which is consistent with fixed spreads demanded in the market. We estimate the fair value of these instruments using "Level 1" or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Net Income Per Common Share</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Basic net income per common share includes no dilution and is computed by dividing net income applicable to common stock by the weighted-average number of common shares outstanding for the respective period. Diluted earnings per common share includes the impact of dilutive potential common shares outstanding during the period using the treasury stock method. Dilutive potential common shares outstanding include unvested restricted stock units and performance share units granted under our long-term incentive program to employees and non-employee Board of Directors. The following table presents the computations of basic and diluted net income per common share for the periods indicated (shares and dollars in millions):</w:t>
      </w:r>
    </w:p>
    <w:p>
      <w:pPr>
        <w:spacing w:after="0" w:line="244"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86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65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w:t>
            </w:r>
          </w:p>
        </w:tc>
      </w:tr>
      <w:tr>
        <w:trPr>
          <w:trHeight w:val="264"/>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Unvested restricted stock units and performance share units</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43"/>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338.9</w:t>
            </w: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w:t>
            </w:r>
          </w:p>
        </w:tc>
      </w:tr>
      <w:tr>
        <w:trPr>
          <w:trHeight w:val="21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 -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0.25</w:t>
            </w: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4"/>
                <w:szCs w:val="14"/>
                <w:color w:val="auto"/>
              </w:rPr>
              <w:t>Net income per common share -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0.25</w:t>
            </w: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Pursuant to our amended and restated certificate of incorporation, we are authorized to designate and issue up to 10.0 million shares of preferred stock in one or more classes or series. As of December 31, 2017 and June 30, 2018, 8,050 shares were designated as 7.750% Series B Cumulative Redeemable Preferred Stock ("Series B Preferred Stock") and 13,800 shares were designated as 7.00% Series C Fixed-to-Floating Rate Cumulative Redeemable Preferred Stock ("Series C Preferred Stock"). Shares of Series B and Series C Preferred Stock are represented by depositary shares equal to 1/1000 interest in each share of Series B and Series C Preferred Stock, respectively. As of December 31, 2017 and June 30, 2018, we had 7,000 shares of Series B Preferred Stock and 13,000 shares of Series C Preferred Stock outstanding (represented by 7.0 million Series B depositary shares and 13.0 million Series C depositary shares outstanding, respectively) and 9,980,000 of authorized but unissued shares of preferred stock.</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Holders of depository shares underlying our Series B Preferred Stock are entitled to receive cumulative cash dividends at a rate of 7.750% per annum of their $25.00 per depositary share liquidation preference. Holders of depositary shares underlying our Series C Preferred Stock are entitled to receive cumulative cash dividends at a rate of 7.00% per annum up to, and including, October 14, 2022 and thereafter at a floating rate equal to three-month LIBOR plus a spread of 5.111% per annum of their $25.00 per depositary share liquidation preference. Dividends are payable quarterly in arrears on the 15th day of each January, April, July and October. As of June 30, 2018, we had declared all required quarterly dividends on our preferred stock.</w:t>
      </w:r>
    </w:p>
    <w:p>
      <w:pPr>
        <w:spacing w:after="0" w:line="1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ranks on parity with each other. Under certain circumstances upon a change of control, our preferred stock is convertible to shares of our common stock. Holders of our preferred stock and depository shares underlying our preferred stock have no voting rights, except under limited conditions. Beginning on May 8, 2019 and October 15, 2022, depository shares underlying our Series B and Series C Preferred Stock, respectively, will be redeemable at $25.00 per depositary share, plus accumulated and unpaid dividends (whether or not declared) exclusively at our option. We may redeem shares of our preferred stock prior to our optional redemption date under certain circumstances intended to preserve our qualification as a REIT for Federal income tax purposes.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May 2018, we completed a public offering in which 34.5 million shares of our common stock were sold to the underwriters for proceeds of $633 million, or $18.35 per common share, net of offering costs. In May 2017, we completed a public offering in which 24.5 million shares of our common stock were sold to the underwriters for proceeds of $503 million, or $20.51 per common share, net of offering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have entered into agreements with sales agents to publicly offer and sell shares of our common stock in privately negotiated and/or at-the-market transactions from time-to-time up to a maximum aggregate offering price of our common stock. On June 14, 2018, our existing sales agreement terminated and we entered into new sales agreements for shares of our common stock having an aggregate offering price of up to $1 billion. During the three and six months ended June 30, 2018, we sold 8.3 million shares of our common stock under sales agreements for proceeds of $155 million, or $18.73 per common share, net of offering costs. During the three and six months ended June 30, 2017, we did not sell shares of our common stock under the sales agreements. As of June 30, 2018, shares of our common stock with an aggregate offering price of $881 million remained available for issuance under this program.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changes to accumulated OCI for the three and six months ended June 30, 2018 and 2017 (in millions):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7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1"/>
              </w:rPr>
              <w:t>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Beginning Balance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(966)</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6"/>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57"/>
        </w:trPr>
        <w:tc>
          <w:tcPr>
            <w:tcW w:w="576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(Gain) loss amounts for available-for-sale securities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reclassified from accumulated OCI to realized gain (loss) on sale of investment securities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July 12, 2018, our Board of Directors declared a monthly dividend of $0.18 per common share, payable on August 8, 2018 to common stockholders of record as of July 31, 2018.</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August 3, 2018, we completed a follow-on public offering of 43.7 million shares of our common stock for proceeds of $817 million, or $18.68 per common share, net of estimated offering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2018.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an internally managed Real Estate Investment Trust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a REIT, we are required to distribute annually 90% of our taxable income. So long as we continue to qualify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earn income primarily from investing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types of mortgage and mortgage-related residential and commercial mortgage-backed securities where repayment of principal and interest is not guaranteed by a GSE or U.S. Government agency.</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first quarter, the 10-year U.S. Treasury rate increased 33 basis points, while shorter maturity Treasury and swap rates increased 40 to 50 basis points. Consistent with the increase in rates and wider credit spreads more broadly, spreads on Agency RMBS relative to swap and Treasury benchmarks widened close to 10 basis points and drove our negative economic return of -2.6% for the first quarter, comprised of a ($1.06) per common share decline in tangible net book value and $0.54 per common share of dividends declared for the quarter.</w:t>
      </w:r>
    </w:p>
    <w:p>
      <w:pPr>
        <w:spacing w:after="0" w:line="10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After a somewhat turbulent first quarter, financial market volatility returned to more normal levels in the second quarter of 2018. During the second quarter, the 10-year U.S. Treasury rate increased 11 basis points to 2.85% as of June 30, 2018, and the yield curve continued its flattening trend. Agency RMBS and credit spreads were largely unchanged for the quarter. We earned a positive economic return for the second quarter of 1.7%, consisting of a ($0.22) per common share decline in tangible net book value and $0.54 per common share of dividends declared.</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Given our expectation that interest rates would likely move higher, we chose to operate with greater interest rate risk protection during the first half of 2018. Our interest rate hedge position totaled 103% of our funding liabilities as of March 31, 2018 and 99% as of June 30, 2018. Our hedge portfolio also included a larger relative portion of interest rate swaptions, which provided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 xml:space="preserve">us with greater protection against large interest rate increases and higher interest rate volatility. Consistent with the size and composition of our hedge portfolio, and despite the increase in interest rates, our estimated net "duration gap," which is a measure of risk from mismatches between the interest rate sensitivity of our assets and liabilities, remained well contained at 0.5 years as of March 31, 2018 and 0.8 years as of June 30, 2018. Our hedge portfolio limited the impact of the increase in interest rates in the first half of the year on our tangible net book value and, we believe, will continue to mitigate, but not fully offset, our exposure to further rate increases. (For further information regarding our interest rate and spread sensitivity refer to Item 3.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of this Form 10-Q.)</w:t>
      </w:r>
    </w:p>
    <w:p>
      <w:pPr>
        <w:spacing w:after="0" w:line="11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Consistent with the Federal Reserve’s 50 basis points increase of the federal funds rate through the first two quarters of 2018, our average repo funding cost increased 56 basis points to 1.99% for the second quarter of 2018 from 1.43% for the fourth quarter of 2017. Our average total cost of funds, which includes the cost of our repurchase agreements, the implied funding costs of our TBA securities and interest rate swap hedges, increased 15 basis points to 1.67% for the second quarter of 2018 from 1.52% for the fourth quarter of 2017. Our funding cost during the first half of 2018 benefited from the favorable spread differential between the rate that we paid on our repo funding and the three-month LIBOR rate that we received on our pay fixed interest rate swaps. This positive funding dynamic moderated somewhat during the second quarter but remained favorable relative to historical levels.</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average asset yield, including the implied yield on our TBA assets and excluding “catch-up” premium amortization associated with changes in our CPR forecast, increased 14 basis points to 3.02% for the second quarter of 2018 from 2.88% for the fourth quarter of 2017. Our net interest spread, which represents the differential between our asset yield and our cost of funds, was 1.35% for the second quarter of 2018, compared to 1.36% for the fourth quarter of 2017.</w:t>
      </w:r>
    </w:p>
    <w:p>
      <w:pPr>
        <w:spacing w:after="0" w:line="10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Our investment portfolio increased to $77.1 billion, inclusive of TBA securities, as of June 30, 2018 from $72.8 billion as of December 31, 2017, consistent with the deployment of $788 million of new equity capital raised during the second quarter. As of June 30, 2018, our "at risk" leverage ratio was 8.3x our tangible equity, marginally up from 8.1x as of December 31, 2017. Our holdings of 30-year fixed rate Agency RMBS increased to 81% of our investment portfolio as of June 30, 2018 from 77% as of December 31, 2017.</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Looking ahead, we continue to believe levered investments in Agency RMBS provide attractive risk adjusted returns, particularly relative to other credit sensitive products.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June 30,</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 30,</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 31,</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 31,</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 2018</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149"/>
        </w:trPr>
        <w:tc>
          <w:tcPr>
            <w:tcW w:w="25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76"/>
              </w:rPr>
              <w:t>vs</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 31, 2018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 31, 2017</w:t>
            </w:r>
          </w:p>
        </w:tc>
        <w:tc>
          <w:tcPr>
            <w:tcW w:w="0" w:type="dxa"/>
            <w:vAlign w:val="bottom"/>
          </w:tcPr>
          <w:p>
            <w:pPr>
              <w:spacing w:after="0"/>
              <w:rPr>
                <w:sz w:val="1"/>
                <w:szCs w:val="1"/>
                <w:color w:val="auto"/>
              </w:rPr>
            </w:pPr>
          </w:p>
        </w:tc>
      </w:tr>
      <w:tr>
        <w:trPr>
          <w:trHeight w:val="27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1.22%</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1.23%</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1.56%</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1.88%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2.09%</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+0.21</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+0.53</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+0.65</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6-Month</w:t>
            </w: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1.45%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1.51%</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1.84%</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2.45%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2.50%</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+0.05</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+0.66</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2-Year U.S. Treasury</w:t>
            </w: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1.38%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1.48%</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1.89%</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2.27%</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2.53%</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+0.26</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+0.64</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U.S. Treasury</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+0.64</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1.89%</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1.93%</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2.21%</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2.57%</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+0.16</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+0.52</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+0.44</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2.84%</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2.86%</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2.74%</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2.97%</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2.98%</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+0.01</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+0.24</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1.61%</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1.73%</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2.08%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2.79%</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+0.21</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+0.71</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Swap</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1.84%</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+0.68</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5-Year Swap</w:t>
            </w: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1.95%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2.00%</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2.24%</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2.71%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2.88%</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+0.64</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Swap</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2.28%</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+0.53</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30-Year Swap</w:t>
            </w: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2.52%</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5"/>
              </w:rPr>
              <w:t>2.53%</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2.82%</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2.93%</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+0.11</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+0.40</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$99.88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$100.33</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$100.02</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$97.52</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$96.86</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-$0.66</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-$3.16</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$102.70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$102.70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$100.20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$99.52</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-$0.68</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-$3.18</w:t>
            </w: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$105.12</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$105.27</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$104.59</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$102.61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$101.96</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-$0.65</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-$2.63</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$107.27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$107.33</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$106.40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$104.70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$104.13</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-$0.57</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-$2.27</w:t>
            </w:r>
          </w:p>
        </w:tc>
        <w:tc>
          <w:tcPr>
            <w:tcW w:w="0" w:type="dxa"/>
            <w:vAlign w:val="bottom"/>
          </w:tcPr>
          <w:p>
            <w:pPr>
              <w:spacing w:after="0"/>
              <w:rPr>
                <w:sz w:val="1"/>
                <w:szCs w:val="1"/>
                <w:color w:val="auto"/>
              </w:rPr>
            </w:pPr>
          </w:p>
        </w:tc>
      </w:tr>
      <w:tr>
        <w:trPr>
          <w:trHeight w:val="264"/>
        </w:trPr>
        <w:tc>
          <w:tcPr>
            <w:tcW w:w="266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$100.53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$100.69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$99.88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$97.98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$97.22</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-$0.76</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-$2.66</w:t>
            </w: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$102.64</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$102.75</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$101.88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$99.88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$99.41</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-$0.47</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-$2.47</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$104.06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$104.14</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$103.23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$101.16</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-$0.78</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-$2.07</w:t>
            </w:r>
          </w:p>
        </w:tc>
        <w:tc>
          <w:tcPr>
            <w:tcW w:w="0" w:type="dxa"/>
            <w:vAlign w:val="bottom"/>
          </w:tcPr>
          <w:p>
            <w:pPr>
              <w:spacing w:after="0"/>
              <w:rPr>
                <w:sz w:val="1"/>
                <w:szCs w:val="1"/>
                <w:color w:val="auto"/>
              </w:rPr>
            </w:pPr>
          </w:p>
        </w:tc>
      </w:tr>
      <w:tr>
        <w:trPr>
          <w:trHeight w:val="258"/>
        </w:trPr>
        <w:tc>
          <w:tcPr>
            <w:tcW w:w="254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$103.44</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$103.13</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$102.72</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$102.63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$102.58</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-$0.05</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-$0.14</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hanging="328"/>
        <w:spacing w:after="0" w:line="27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2018 and December 31, 2017, our investment portfolio consisted of $57.1 billion and $57.1 billion of investment securities, at fair value, respectively, and $20.0 billion and $15.7 billion of TBA securities, at fair value, respectively. The following table is a summary of our investment portfolio as of June 30, 2018 and December 31, 2017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2"/>
              </w:rPr>
              <w:t>June 30, 2018</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2017</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Investment Portfolio (Includes TBAs) </w:t>
            </w:r>
            <w:r>
              <w:rPr>
                <w:rFonts w:ascii="Arial" w:cs="Arial" w:eastAsia="Arial" w:hAnsi="Arial"/>
                <w:sz w:val="8"/>
                <w:szCs w:val="8"/>
                <w:b w:val="1"/>
                <w:bCs w:val="1"/>
                <w:color w:val="auto"/>
              </w:rPr>
              <w:t>1</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8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5,015</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3660" w:type="dxa"/>
            <w:vAlign w:val="bottom"/>
            <w:gridSpan w:val="2"/>
          </w:tcPr>
          <w:p>
            <w:pPr>
              <w:ind w:left="12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48,659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47,008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45,853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45,406</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15,255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15,339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10,714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10,727</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63,914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56,567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56,133</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76,815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75,122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71,216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70,768</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 Agency RMBS: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77,813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76,114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72,336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71,910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78,773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77,110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73,205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72,822</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For further details of our TBA securities refer to Note 6 of the accompanying consolidated financial statements.</w:t>
      </w:r>
    </w:p>
    <w:p>
      <w:pPr>
        <w:spacing w:after="0" w:line="1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June 30, 2018 and December 31, 2017, our TBA positions had a net carrying value of $105 million and $3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2018 and December 31, 2017, the weighted average yield on our investment securities (excluding TBA securities) was 3.03% and 2.89%,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ind w:left="44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June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June 30, 2018</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4,551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1,855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24%</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102.6%</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6.59%</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12,108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11,988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83%</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100%</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102.3%</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5,894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24,060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23,166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25,238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26,472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25,868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7,233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107.1%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122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110.5%</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140</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61,572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63,914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62,347</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50%</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104.8%</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74,285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76,815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75,122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$100,000 and $109,000 for 15-year and 30-year securities, respectively, as of June 30, 2018.</w:t>
      </w:r>
    </w:p>
    <w:p>
      <w:pPr>
        <w:ind w:left="660" w:hanging="328"/>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 ≥ 80%. Our HARP securities had a weighted average LTV of 115% and 136% for 15-year and 30-year securities, respectively, as of June 30, 2018.</w:t>
      </w: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June 30, 2018.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3.49%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17%</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4.02%</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7,583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7,592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22,348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22,166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107.4%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6.18%</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135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56,133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52%</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4.23%</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80" w:hanging="648"/>
        <w:spacing w:after="0" w:line="250"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$109,000 for 15-year and 30-year securities, respectively, as of December 31, 2017.</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LTVs ≥ 80%. Our HARP securities had a weighted average LTV of 114% and 136% for 15-year and 30-year securities, respectively, as of December 31, 2017.</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2017.</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2018 and December 31, 2017,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ind w:left="66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66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and Fitch credit ratings, stated in terms of the S&amp;P equivalent rating as of each date.</w:t>
      </w:r>
    </w:p>
    <w:p>
      <w:pPr>
        <w:spacing w:after="0" w:line="15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 As of June 30, 2018, our CRT securities had floating and fixed rate coupons ranging from 3.7% to 9.0%, referenced to loans originated between 2011 and 2018 with weighted average coupons ranging from 3.6% to 4.4%. As of December 31, December 31, 2017, our CRT securities had floating rate coupons ranging from 3.9% to 8.5%, referenced to loans originated between 2012 and 2017 with weighted average coupons ranging from 3.6% to 4.4%.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dividends on REIT equity securities (referred to as "adjusted net interest and dollar roll income"), less (ii) total operating expenses (GAAP measure), net of management fee income (GAAP measure).</w:t>
      </w:r>
    </w:p>
    <w:p>
      <w:pPr>
        <w:spacing w:after="0" w:line="13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that are not necessarily indicative of our current investment portfolio performance and operations.</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June 30, 2018 and December 31, 2017 and our condensed consolidated statements of comprehensive income and key statistics for the three and six months ended June 30, 2018 and 2017 (in millions, except per share amounts):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71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8"/>
              </w:rPr>
              <w:t>June 30, 2018</w:t>
            </w:r>
          </w:p>
        </w:tc>
        <w:tc>
          <w:tcPr>
            <w:tcW w:w="12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2017</w:t>
            </w:r>
          </w:p>
        </w:tc>
      </w:tr>
      <w:tr>
        <w:trPr>
          <w:trHeight w:val="22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Investment securities,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57,107</w:t>
            </w:r>
          </w:p>
        </w:tc>
        <w:tc>
          <w:tcPr>
            <w:tcW w:w="120" w:type="dxa"/>
            <w:vAlign w:val="bottom"/>
          </w:tcPr>
          <w:p>
            <w:pPr>
              <w:spacing w:after="0"/>
              <w:rPr>
                <w:sz w:val="19"/>
                <w:szCs w:val="19"/>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57,080</w:t>
            </w:r>
          </w:p>
        </w:tc>
      </w:tr>
      <w:tr>
        <w:trPr>
          <w:trHeight w:val="33"/>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70,376</w:t>
            </w:r>
          </w:p>
        </w:tc>
      </w:tr>
      <w:tr>
        <w:trPr>
          <w:trHeight w:val="237"/>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Repurchase agreements and other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49,152</w:t>
            </w:r>
          </w:p>
        </w:tc>
        <w:tc>
          <w:tcPr>
            <w:tcW w:w="120" w:type="dxa"/>
            <w:vAlign w:val="bottom"/>
          </w:tcPr>
          <w:p>
            <w:pPr>
              <w:spacing w:after="0"/>
              <w:rPr>
                <w:sz w:val="20"/>
                <w:szCs w:val="20"/>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50,653</w:t>
            </w:r>
          </w:p>
        </w:tc>
      </w:tr>
      <w:tr>
        <w:trPr>
          <w:trHeight w:val="33"/>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64,096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61,622</w:t>
            </w:r>
          </w:p>
        </w:tc>
      </w:tr>
      <w:tr>
        <w:trPr>
          <w:trHeight w:val="237"/>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9,042</w:t>
            </w:r>
          </w:p>
        </w:tc>
        <w:tc>
          <w:tcPr>
            <w:tcW w:w="120" w:type="dxa"/>
            <w:vAlign w:val="bottom"/>
          </w:tcPr>
          <w:p>
            <w:pPr>
              <w:spacing w:after="0"/>
              <w:rPr>
                <w:sz w:val="20"/>
                <w:szCs w:val="20"/>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8,754</w:t>
            </w:r>
          </w:p>
        </w:tc>
      </w:tr>
      <w:tr>
        <w:trPr>
          <w:trHeight w:val="33"/>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21.09</w:t>
            </w:r>
          </w:p>
        </w:tc>
      </w:tr>
      <w:tr>
        <w:trPr>
          <w:trHeight w:val="311"/>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24"/>
                <w:szCs w:val="24"/>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19.69</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188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64"/>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 of Comprehensive Income Data</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r>
      <w:tr>
        <w:trPr>
          <w:trHeight w:val="256"/>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r>
      <w:tr>
        <w:trPr>
          <w:trHeight w:val="264"/>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r>
      <w:tr>
        <w:trPr>
          <w:trHeight w:val="25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r>
      <w:tr>
        <w:trPr>
          <w:trHeight w:val="250"/>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10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7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50"/>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7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on preferred stock</w:t>
            </w: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96"/>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w:t>
            </w:r>
          </w:p>
        </w:tc>
      </w:tr>
      <w:tr>
        <w:trPr>
          <w:trHeight w:val="278"/>
        </w:trPr>
        <w:tc>
          <w:tcPr>
            <w:tcW w:w="5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7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r>
      <w:tr>
        <w:trPr>
          <w:trHeight w:val="250"/>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27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on preferred stock</w:t>
            </w: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96"/>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r>
      <w:tr>
        <w:trPr>
          <w:trHeight w:val="278"/>
        </w:trPr>
        <w:tc>
          <w:tcPr>
            <w:tcW w:w="5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97"/>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404.9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398.2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338.8</w:t>
            </w:r>
          </w:p>
        </w:tc>
      </w:tr>
      <w:tr>
        <w:trPr>
          <w:trHeight w:val="23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338.9</w:t>
            </w:r>
          </w:p>
        </w:tc>
      </w:tr>
      <w:tr>
        <w:trPr>
          <w:trHeight w:val="20"/>
        </w:trPr>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7"/>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income per common share - 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0.25</w:t>
            </w:r>
          </w:p>
        </w:tc>
      </w:tr>
      <w:tr>
        <w:trPr>
          <w:trHeight w:val="23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per common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r>
      <w:tr>
        <w:trPr>
          <w:trHeight w:val="20"/>
        </w:trPr>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7"/>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Comprehensive income (loss) per common share - basic and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0.75</w:t>
            </w:r>
          </w:p>
        </w:tc>
      </w:tr>
      <w:tr>
        <w:trPr>
          <w:trHeight w:val="23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0"/>
        </w:trPr>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9800"/>
          </w:cols>
          <w:pgMar w:left="1060" w:top="806" w:right="1039" w:bottom="1440" w:gutter="0" w:footer="0" w:header="0"/>
        </w:sectPr>
      </w:pPr>
    </w:p>
    <w:bookmarkStart w:id="34" w:name="page35"/>
    <w:bookmarkEnd w:id="34"/>
    <w:tbl>
      <w:tblPr>
        <w:tblLayout w:type="fixed"/>
        <w:tblInd w:w="82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$52,856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$41,986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$53,421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$42,102</w:t>
            </w: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$55,329</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$43,992</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$55,927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$44,083</w:t>
            </w: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portfolio - at cost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$16,912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$16,931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$16,252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$15,205</w:t>
            </w: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$68,830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$54,241</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$68,785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$54,441</w:t>
            </w: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Agency repurchase agreements and other debt outstanding </w:t>
            </w:r>
            <w:r>
              <w:rPr>
                <w:rFonts w:ascii="Arial" w:cs="Arial" w:eastAsia="Arial" w:hAnsi="Arial"/>
                <w:sz w:val="8"/>
                <w:szCs w:val="8"/>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$47,823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$38,945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$48,690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$39,073</w:t>
            </w: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4</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$8,652</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$7,552</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$8,630</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$7,451</w:t>
            </w: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5</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8.1:1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7.9:1</w:t>
            </w: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6</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22"/>
                <w:szCs w:val="22"/>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22"/>
                <w:szCs w:val="22"/>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8.3:1</w:t>
            </w: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8.1:1</w:t>
            </w: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unannualized </w:t>
            </w:r>
            <w:r>
              <w:rPr>
                <w:rFonts w:ascii="Arial" w:cs="Arial" w:eastAsia="Arial" w:hAnsi="Arial"/>
                <w:sz w:val="8"/>
                <w:szCs w:val="8"/>
                <w:color w:val="auto"/>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Expenses % of average total assets, annualized</w:t>
            </w:r>
          </w:p>
        </w:tc>
        <w:tc>
          <w:tcPr>
            <w:tcW w:w="102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0.10 %</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0.12%</w:t>
            </w: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 % of average assets, including average net TBA position, annualized</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58"/>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Expenses % of average stockholders' equity, annualized</w:t>
            </w:r>
          </w:p>
        </w:tc>
        <w:tc>
          <w:tcPr>
            <w:tcW w:w="102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0.85%</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0.83 %</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0.89%</w:t>
            </w:r>
          </w:p>
        </w:tc>
      </w:tr>
    </w:tbl>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980" w:hanging="648"/>
        <w:spacing w:after="0" w:line="241"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 and other intangible assets, net.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 excludes U.S. Treasury repo agreements and TBA contracts.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mortgage borrowings outstanding (Agency repo, other debt and TBA securities (at cost)) for the period by the sum of average stockholders' equity less average investment in REIT equity securities, goodwill and other intangible assets, net for the period. Leverage excludes U.S. Treasury repurchase agreements.</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mortgage borrowings outstanding and receivable/payable for unsettled investment securities as of period end (at cost) by the sum of total stockholders' equity less the fair value of investments in REIT equity securities, goodwill and other intangible assets, net at period end. Leverage excludes U.S. Treasury repurchase agreements.</w:t>
      </w:r>
    </w:p>
    <w:p>
      <w:pPr>
        <w:spacing w:after="0" w:line="1" w:lineRule="exact"/>
        <w:rPr>
          <w:rFonts w:ascii="Arial" w:cs="Arial" w:eastAsia="Arial" w:hAnsi="Arial"/>
          <w:sz w:val="14"/>
          <w:szCs w:val="14"/>
          <w:color w:val="auto"/>
        </w:rPr>
      </w:pPr>
    </w:p>
    <w:p>
      <w:pPr>
        <w:ind w:left="980" w:right="20" w:hanging="648"/>
        <w:spacing w:after="0" w:line="255" w:lineRule="auto"/>
        <w:tabs>
          <w:tab w:leader="none" w:pos="6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on common stock during the period over beginning tangible net book value per common share.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and six months ended June 30, 2018 and 2017, which includes the combination of interest income (a GAAP measure) on our holdings reported as investment securities on our consolidated balance sheets, adjusted to exclude estimated "catch-up" amortization adjustments due to changes in our CPR forecast, and implied interest income on our TBA securities (dollars in millions):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2"/>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7"/>
              </w:rPr>
              <w:t>Six Months Ended 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3.70 %</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3.68 %</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2.67 %</w:t>
            </w:r>
          </w:p>
        </w:tc>
        <w:tc>
          <w:tcPr>
            <w:tcW w:w="0" w:type="dxa"/>
            <w:vAlign w:val="bottom"/>
          </w:tcPr>
          <w:p>
            <w:pPr>
              <w:spacing w:after="0"/>
              <w:rPr>
                <w:sz w:val="1"/>
                <w:szCs w:val="1"/>
                <w:color w:val="auto"/>
              </w:rPr>
            </w:pPr>
          </w:p>
        </w:tc>
      </w:tr>
      <w:tr>
        <w:trPr>
          <w:trHeight w:val="157"/>
        </w:trPr>
        <w:tc>
          <w:tcPr>
            <w:tcW w:w="3920" w:type="dxa"/>
            <w:vAlign w:val="bottom"/>
          </w:tcPr>
          <w:p>
            <w:pPr>
              <w:ind w:left="100"/>
              <w:spacing w:after="0" w:line="157" w:lineRule="exact"/>
              <w:rPr>
                <w:sz w:val="20"/>
                <w:szCs w:val="20"/>
                <w:color w:val="auto"/>
              </w:rPr>
            </w:pPr>
            <w:r>
              <w:rPr>
                <w:rFonts w:ascii="Arial" w:cs="Arial" w:eastAsia="Arial" w:hAnsi="Arial"/>
                <w:sz w:val="14"/>
                <w:szCs w:val="14"/>
                <w:color w:val="auto"/>
                <w:w w:val="95"/>
              </w:rPr>
              <w:t>Estimated "catch-up" premium amortization (benefit) cost due to</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change in CPR forecast</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0.10 %</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2.77 %</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2.91 %</w:t>
            </w:r>
          </w:p>
        </w:tc>
        <w:tc>
          <w:tcPr>
            <w:tcW w:w="0" w:type="dxa"/>
            <w:vAlign w:val="bottom"/>
          </w:tcPr>
          <w:p>
            <w:pPr>
              <w:spacing w:after="0"/>
              <w:rPr>
                <w:sz w:val="1"/>
                <w:szCs w:val="1"/>
                <w:color w:val="auto"/>
              </w:rPr>
            </w:pPr>
          </w:p>
        </w:tc>
      </w:tr>
      <w:tr>
        <w:trPr>
          <w:trHeight w:val="143"/>
        </w:trPr>
        <w:tc>
          <w:tcPr>
            <w:tcW w:w="39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Economic interest income, excluding "catch-up" amortization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2.81 %</w:t>
            </w:r>
          </w:p>
        </w:tc>
        <w:tc>
          <w:tcPr>
            <w:tcW w:w="0" w:type="dxa"/>
            <w:vAlign w:val="bottom"/>
          </w:tcPr>
          <w:p>
            <w:pPr>
              <w:spacing w:after="0"/>
              <w:rPr>
                <w:sz w:val="1"/>
                <w:szCs w:val="1"/>
                <w:color w:val="auto"/>
              </w:rPr>
            </w:pPr>
          </w:p>
        </w:tc>
      </w:tr>
      <w:tr>
        <w:trPr>
          <w:trHeight w:val="181"/>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(non-GAAP measure) </w:t>
            </w:r>
            <w:r>
              <w:rPr>
                <w:rFonts w:ascii="Arial" w:cs="Arial" w:eastAsia="Arial" w:hAnsi="Arial"/>
                <w:sz w:val="8"/>
                <w:szCs w:val="8"/>
                <w:color w:val="auto"/>
              </w:rPr>
              <w:t>3</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7"/>
              </w:rPr>
              <w:t>Weighted average actual portfolio CPR for investment securities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 during the period</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line="157" w:lineRule="exact"/>
              <w:rPr>
                <w:sz w:val="20"/>
                <w:szCs w:val="20"/>
                <w:color w:val="auto"/>
              </w:rPr>
            </w:pPr>
            <w:r>
              <w:rPr>
                <w:rFonts w:ascii="Arial" w:cs="Arial" w:eastAsia="Arial" w:hAnsi="Arial"/>
                <w:sz w:val="14"/>
                <w:szCs w:val="14"/>
                <w:color w:val="auto"/>
              </w:rPr>
              <w:t>Weighted average projected CPR for the remaining life of</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rPr>
                <w:sz w:val="20"/>
                <w:szCs w:val="20"/>
                <w:color w:val="auto"/>
              </w:rPr>
            </w:pPr>
            <w:r>
              <w:rPr>
                <w:rFonts w:ascii="Arial" w:cs="Arial" w:eastAsia="Arial" w:hAnsi="Arial"/>
                <w:sz w:val="14"/>
                <w:szCs w:val="14"/>
                <w:color w:val="auto"/>
              </w:rPr>
              <w:t>investment securities held as of period end</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2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3920" w:type="dxa"/>
            <w:vAlign w:val="bottom"/>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6" w:right="239" w:bottom="1440" w:gutter="0" w:footer="0" w:header="0"/>
        </w:sectPr>
      </w:pPr>
    </w:p>
    <w:bookmarkStart w:id="35" w:name="page36"/>
    <w:bookmarkEnd w:id="35"/>
    <w:p>
      <w:pPr>
        <w:jc w:val="both"/>
        <w:ind w:left="660" w:hanging="328"/>
        <w:spacing w:after="0" w:line="246"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is a summary of the estimated impact of each of these elements on our economic interest income for the three and six months ended June 30, 2018 compared to the prior year period (in millions):</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195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Periods ended June 30, 2018 vs.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23495</wp:posOffset>
            </wp:positionV>
            <wp:extent cx="71951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Total Increase /</w:t>
            </w:r>
          </w:p>
        </w:tc>
        <w:tc>
          <w:tcPr>
            <w:tcW w:w="320" w:type="dxa"/>
            <w:vAlign w:val="bottom"/>
          </w:tcPr>
          <w:p>
            <w:pPr>
              <w:spacing w:after="0"/>
              <w:rPr>
                <w:sz w:val="13"/>
                <w:szCs w:val="13"/>
                <w:color w:val="auto"/>
              </w:rPr>
            </w:pPr>
          </w:p>
        </w:tc>
        <w:tc>
          <w:tcPr>
            <w:tcW w:w="13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3"/>
              </w:rPr>
              <w:t>Portfolio</w:t>
            </w:r>
          </w:p>
        </w:tc>
        <w:tc>
          <w:tcPr>
            <w:tcW w:w="360" w:type="dxa"/>
            <w:vAlign w:val="bottom"/>
          </w:tcPr>
          <w:p>
            <w:pPr>
              <w:spacing w:after="0"/>
              <w:rPr>
                <w:sz w:val="13"/>
                <w:szCs w:val="13"/>
                <w:color w:val="auto"/>
              </w:rPr>
            </w:pPr>
          </w:p>
        </w:tc>
        <w:tc>
          <w:tcPr>
            <w:tcW w:w="1200" w:type="dxa"/>
            <w:vAlign w:val="bottom"/>
          </w:tcPr>
          <w:p>
            <w:pPr>
              <w:jc w:val="right"/>
              <w:ind w:right="54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Size</w:t>
            </w:r>
          </w:p>
        </w:tc>
        <w:tc>
          <w:tcPr>
            <w:tcW w:w="360" w:type="dxa"/>
            <w:vAlign w:val="bottom"/>
          </w:tcPr>
          <w:p>
            <w:pPr>
              <w:spacing w:after="0"/>
              <w:rPr>
                <w:sz w:val="16"/>
                <w:szCs w:val="16"/>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Yield</w:t>
            </w:r>
          </w:p>
        </w:tc>
      </w:tr>
      <w:tr>
        <w:trPr>
          <w:trHeight w:val="270"/>
        </w:trPr>
        <w:tc>
          <w:tcPr>
            <w:tcW w:w="6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r>
      <w:tr>
        <w:trPr>
          <w:trHeight w:val="264"/>
        </w:trPr>
        <w:tc>
          <w:tcPr>
            <w:tcW w:w="6360" w:type="dxa"/>
            <w:vAlign w:val="bottom"/>
          </w:tcPr>
          <w:p>
            <w:pPr>
              <w:ind w:left="40"/>
              <w:spacing w:after="0"/>
              <w:rPr>
                <w:sz w:val="20"/>
                <w:szCs w:val="20"/>
                <w:color w:val="auto"/>
              </w:rPr>
            </w:pPr>
            <w:r>
              <w:rPr>
                <w:rFonts w:ascii="Arial" w:cs="Arial" w:eastAsia="Arial" w:hAnsi="Arial"/>
                <w:sz w:val="14"/>
                <w:szCs w:val="14"/>
                <w:color w:val="auto"/>
              </w:rPr>
              <w:t>Interest Income (GAAP measure)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50"/>
        </w:trPr>
        <w:tc>
          <w:tcPr>
            <w:tcW w:w="6360" w:type="dxa"/>
            <w:vAlign w:val="bottom"/>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83"/>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r>
      <w:tr>
        <w:trPr>
          <w:trHeight w:val="264"/>
        </w:trPr>
        <w:tc>
          <w:tcPr>
            <w:tcW w:w="6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6360" w:type="dxa"/>
            <w:vAlign w:val="bottom"/>
          </w:tcPr>
          <w:p>
            <w:pPr>
              <w:ind w:left="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(GAAP measure)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264"/>
        </w:trPr>
        <w:tc>
          <w:tcPr>
            <w:tcW w:w="6360" w:type="dxa"/>
            <w:vAlign w:val="bottom"/>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56"/>
        </w:trPr>
        <w:tc>
          <w:tcPr>
            <w:tcW w:w="6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22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43"/>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investment portfolio increased 19% and 22% (at cost) for the three and six months ended June 30, 2018, respectively, from the prior year period, mainly due to the deployment of new equity capital. The increase in our average asset yield over the prior year periods was largely due to changes in asset composition and lower forecasted prepayment rates, as we increased our holdings of 30-year fixed rate securities and higher interest rates reduced our prepayment forecasts.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primary measure of leverage is our tangible net book value "at risk" leverage ratio. Tangible net book value "at risk" leverage is measured as the sum of our Agency repurchase agreements,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further discussion of TBA securities and dollar roll transactions). Repurchase agreements used to fund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U.S. Treasury securities ("U.S. Treasury repo") are excluded from our measure of leverage due to the temporary and highly liquid nature of these investments.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6" w:name="page37"/>
    <w:bookmarkEnd w:id="36"/>
    <w:p>
      <w:pPr>
        <w:ind w:firstLine="432"/>
        <w:spacing w:after="0" w:line="277" w:lineRule="auto"/>
        <w:rPr>
          <w:sz w:val="20"/>
          <w:szCs w:val="20"/>
          <w:color w:val="auto"/>
        </w:rPr>
      </w:pPr>
      <w:r>
        <w:rPr>
          <w:rFonts w:ascii="Arial" w:cs="Arial" w:eastAsia="Arial" w:hAnsi="Arial"/>
          <w:sz w:val="18"/>
          <w:szCs w:val="18"/>
          <w:color w:val="auto"/>
        </w:rPr>
        <w:t>Our tangible net book value "at risk" leverage was 8.3x and 8.1x as of June 30, 2018 and December 31, 2017, respectively. The table below presents a summary of our leverage ratios for the periods listed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gridSpan w:val="9"/>
            <w:vMerge w:val="restart"/>
          </w:tcPr>
          <w:p>
            <w:pPr>
              <w:jc w:val="center"/>
              <w:ind w:right="80"/>
              <w:spacing w:after="0"/>
              <w:rPr>
                <w:sz w:val="20"/>
                <w:szCs w:val="20"/>
                <w:color w:val="auto"/>
              </w:rPr>
            </w:pPr>
            <w:r>
              <w:rPr>
                <w:rFonts w:ascii="Arial" w:cs="Arial" w:eastAsia="Arial" w:hAnsi="Arial"/>
                <w:sz w:val="13"/>
                <w:szCs w:val="13"/>
                <w:b w:val="1"/>
                <w:bCs w:val="1"/>
                <w:color w:val="auto"/>
                <w:w w:val="86"/>
              </w:rPr>
              <w:t>Agency Repurchase Agreements and Other Debt</w:t>
            </w:r>
          </w:p>
        </w:tc>
        <w:tc>
          <w:tcPr>
            <w:tcW w:w="120" w:type="dxa"/>
            <w:vAlign w:val="bottom"/>
          </w:tcPr>
          <w:p>
            <w:pPr>
              <w:spacing w:after="0"/>
              <w:rPr>
                <w:sz w:val="13"/>
                <w:szCs w:val="13"/>
                <w:color w:val="auto"/>
              </w:rPr>
            </w:pPr>
          </w:p>
        </w:tc>
        <w:tc>
          <w:tcPr>
            <w:tcW w:w="1540" w:type="dxa"/>
            <w:vAlign w:val="bottom"/>
            <w:gridSpan w:val="4"/>
            <w:vMerge w:val="restart"/>
          </w:tcPr>
          <w:p>
            <w:pPr>
              <w:jc w:val="right"/>
              <w:ind w:right="270"/>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gridSpan w:val="9"/>
            <w:vMerge w:val="continue"/>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9"/>
              </w:rPr>
              <w:t>Tangible Net</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370"/>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Book Value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Tangible Net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6"/>
              </w:rPr>
              <w:t>Book Value "At</w:t>
            </w: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"At Risk"</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Risk" Leverage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Daily</w:t>
            </w:r>
          </w:p>
        </w:tc>
        <w:tc>
          <w:tcPr>
            <w:tcW w:w="140" w:type="dxa"/>
            <w:vAlign w:val="bottom"/>
          </w:tcPr>
          <w:p>
            <w:pPr>
              <w:spacing w:after="0"/>
              <w:rPr>
                <w:sz w:val="11"/>
                <w:szCs w:val="11"/>
                <w:color w:val="auto"/>
              </w:rPr>
            </w:pPr>
          </w:p>
        </w:tc>
        <w:tc>
          <w:tcPr>
            <w:tcW w:w="64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w w:val="99"/>
              </w:rPr>
              <w:t>Ending</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Daily 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Period </w:t>
            </w:r>
            <w:r>
              <w:rPr>
                <w:rFonts w:ascii="Arial" w:cs="Arial" w:eastAsia="Arial" w:hAnsi="Arial"/>
                <w:sz w:val="8"/>
                <w:szCs w:val="8"/>
                <w:b w:val="1"/>
                <w:bCs w:val="1"/>
                <w:color w:val="auto"/>
                <w:w w:val="86"/>
              </w:rPr>
              <w:t>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Period End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5</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2018</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47,823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49,892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49,152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16,912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19,898</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8.0:1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8.3:1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7.8:1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March 31, 2018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49,567</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50,645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49,292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15,585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13,529</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8.2:1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7.7:1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8.2:1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48,122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51,322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50,653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18,355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15,739</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8.1:1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8.1:1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September 30, 2017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41,406</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47,442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45,885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18,616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19,433</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7.9:1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7.4:1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8.0:1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38,945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40,112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39,463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16,931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17,283</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8.0:1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8.1:1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258"/>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March 31, 2017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39,203</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41,221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39,809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13,460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14,377</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7.8:1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8.0:1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7.4:1</w:t>
            </w:r>
          </w:p>
        </w:tc>
        <w:tc>
          <w:tcPr>
            <w:tcW w:w="0" w:type="dxa"/>
            <w:vAlign w:val="bottom"/>
          </w:tcPr>
          <w:p>
            <w:pPr>
              <w:spacing w:after="0"/>
              <w:rPr>
                <w:sz w:val="1"/>
                <w:szCs w:val="1"/>
                <w:color w:val="auto"/>
              </w:rPr>
            </w:pPr>
          </w:p>
        </w:tc>
      </w:tr>
      <w:tr>
        <w:trPr>
          <w:trHeight w:val="127"/>
        </w:trPr>
        <w:tc>
          <w:tcPr>
            <w:tcW w:w="27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Tangible net book value "at risk" leverage includes the components of "at risk" leverage with stockholders' equity adjusted to exclude goodwill and other intangible assets, net.</w:t>
      </w:r>
    </w:p>
    <w:p>
      <w:pPr>
        <w:spacing w:after="0" w:line="12" w:lineRule="exact"/>
        <w:rPr>
          <w:rFonts w:ascii="Arial" w:cs="Arial" w:eastAsia="Arial" w:hAnsi="Arial"/>
          <w:sz w:val="13"/>
          <w:szCs w:val="13"/>
          <w:color w:val="auto"/>
        </w:rPr>
      </w:pPr>
    </w:p>
    <w:p>
      <w:pPr>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"at risk" leverage during the period was calculated by dividing the sum of our daily weighted average mortgage borrowings outstanding during the period by the sum of our average month-ended stockholders' equity less our average investment in REIT equity securities for the period.</w:t>
      </w:r>
    </w:p>
    <w:p>
      <w:pPr>
        <w:ind w:left="660" w:hanging="328"/>
        <w:spacing w:after="0" w:line="293" w:lineRule="auto"/>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"At risk" leverage as of period end is calculated by dividing the sum of our mortgage borrowings outstanding and our receivable/payable for unsettled investment securities as of period end (at cost) by the sum of our total stockholders' equity less the fair value of investments in REIT equity securities at period end. Leverage excludes U.S. Treasury repo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summarizes our economic interest expense and aggregate cost of funds (non-GAAP measures) for the three and six months ended June 30, 2018 and 2017 (dollars in millions), which includes the combination of interest expense on Agency repurchase agreements and other debt (GAAP measure), implied interest expense on our TBA securities and periodic interest rate swap (income) cost:</w:t>
      </w:r>
    </w:p>
    <w:p>
      <w:pPr>
        <w:spacing w:after="0" w:line="26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w w:val="91"/>
              </w:rPr>
              <w:t>Six Months Ended June 30,</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5"/>
              </w:rPr>
              <w:t>Economic Interest Expense and Aggregate Cost</w:t>
            </w:r>
          </w:p>
        </w:tc>
        <w:tc>
          <w:tcPr>
            <w:tcW w:w="7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Cost of</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Cost of</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87"/>
              </w:rPr>
              <w:t>Cost of</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of Funds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Funds</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Funds</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Funds</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Funds</w:t>
            </w:r>
          </w:p>
        </w:tc>
        <w:tc>
          <w:tcPr>
            <w:tcW w:w="0" w:type="dxa"/>
            <w:vAlign w:val="bottom"/>
          </w:tcPr>
          <w:p>
            <w:pPr>
              <w:spacing w:after="0"/>
              <w:rPr>
                <w:sz w:val="1"/>
                <w:szCs w:val="1"/>
                <w:color w:val="auto"/>
              </w:rPr>
            </w:pPr>
          </w:p>
        </w:tc>
      </w:tr>
      <w:tr>
        <w:trPr>
          <w:trHeight w:val="156"/>
        </w:trPr>
        <w:tc>
          <w:tcPr>
            <w:tcW w:w="31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Repurchase agreement and other debt - interest</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 (GAAP measure)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1.83 %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8"/>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TBA dollar roll income - implied interest expense</w:t>
            </w:r>
          </w:p>
        </w:tc>
        <w:tc>
          <w:tcPr>
            <w:tcW w:w="260" w:type="dxa"/>
            <w:vAlign w:val="bottom"/>
          </w:tcPr>
          <w:p>
            <w:pPr>
              <w:spacing w:after="0"/>
              <w:rPr>
                <w:sz w:val="14"/>
                <w:szCs w:val="14"/>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auto"/>
              </w:rPr>
              <w:t>1.63 %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36"/>
        </w:trPr>
        <w:tc>
          <w:tcPr>
            <w:tcW w:w="3020" w:type="dxa"/>
            <w:vAlign w:val="bottom"/>
          </w:tcPr>
          <w:p>
            <w:pPr>
              <w:ind w:left="200"/>
              <w:spacing w:after="0"/>
              <w:rPr>
                <w:sz w:val="20"/>
                <w:szCs w:val="20"/>
                <w:color w:val="auto"/>
              </w:rPr>
            </w:pPr>
            <w:r>
              <w:rPr>
                <w:rFonts w:ascii="Arial" w:cs="Arial" w:eastAsia="Arial" w:hAnsi="Arial"/>
                <w:sz w:val="9"/>
                <w:szCs w:val="9"/>
                <w:color w:val="auto"/>
              </w:rPr>
              <w:t>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20" w:type="dxa"/>
            <w:vAlign w:val="bottom"/>
            <w:tcBorders>
              <w:top w:val="single" w:sz="8" w:color="CCEEFF"/>
            </w:tcBorders>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w w:val="97"/>
              </w:rPr>
              <w:t>Economic interest expense - before interest rate</w:t>
            </w:r>
          </w:p>
        </w:tc>
        <w:tc>
          <w:tcPr>
            <w:tcW w:w="2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xml:space="preserve">swap costs </w:t>
            </w:r>
            <w:r>
              <w:rPr>
                <w:rFonts w:ascii="Arial" w:cs="Arial" w:eastAsia="Arial" w:hAnsi="Arial"/>
                <w:sz w:val="8"/>
                <w:szCs w:val="8"/>
                <w:color w:val="auto"/>
              </w:rPr>
              <w:t>4</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w:t>
            </w:r>
          </w:p>
        </w:tc>
        <w:tc>
          <w:tcPr>
            <w:tcW w:w="0" w:type="dxa"/>
            <w:vAlign w:val="bottom"/>
          </w:tcPr>
          <w:p>
            <w:pPr>
              <w:spacing w:after="0"/>
              <w:rPr>
                <w:sz w:val="1"/>
                <w:szCs w:val="1"/>
                <w:color w:val="auto"/>
              </w:rPr>
            </w:pPr>
          </w:p>
        </w:tc>
      </w:tr>
      <w:tr>
        <w:trPr>
          <w:trHeight w:val="157"/>
        </w:trPr>
        <w:tc>
          <w:tcPr>
            <w:tcW w:w="31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Periodic interest costs of interest rate swaps</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reported in gain (loss) on derivative instruments</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and other securities, net </w:t>
            </w:r>
            <w:r>
              <w:rPr>
                <w:rFonts w:ascii="Arial" w:cs="Arial" w:eastAsia="Arial" w:hAnsi="Arial"/>
                <w:sz w:val="8"/>
                <w:szCs w:val="8"/>
                <w:color w:val="auto"/>
              </w:rPr>
              <w:t>5</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43"/>
        </w:trPr>
        <w:tc>
          <w:tcPr>
            <w:tcW w:w="312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Total economic interest expense (non-GAAP</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4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1.69 %</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measure)</w:t>
            </w: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8890</wp:posOffset>
            </wp:positionV>
            <wp:extent cx="3841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________________________________</w:t>
      </w:r>
    </w:p>
    <w:p>
      <w:pPr>
        <w:ind w:left="660" w:right="4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or the impact of other supplemental hedges, such as swaptions and U.S. Treasury positions.</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right="10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implied funding cost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Interest rate swap cost of funds measured as a percent of average mortgage borrowings outstanding for the period.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is a summary of the estimated impact of these elements on our economic interest expense for the three and six months ended June 30, 2018, compared to the prior year period (in millions):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June 30, 2018 vs.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Due to Change in Average</w:t>
            </w:r>
          </w:p>
        </w:tc>
        <w:tc>
          <w:tcPr>
            <w:tcW w:w="420" w:type="dxa"/>
            <w:vAlign w:val="bottom"/>
            <w:tcBorders>
              <w:bottom w:val="single" w:sz="8" w:color="auto"/>
            </w:tcBorders>
          </w:tcPr>
          <w:p>
            <w:pPr>
              <w:spacing w:after="0"/>
              <w:rPr>
                <w:sz w:val="16"/>
                <w:szCs w:val="16"/>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Rate</w:t>
            </w:r>
          </w:p>
        </w:tc>
        <w:tc>
          <w:tcPr>
            <w:tcW w:w="420" w:type="dxa"/>
            <w:vAlign w:val="bottom"/>
          </w:tcPr>
          <w:p>
            <w:pPr>
              <w:spacing w:after="0"/>
              <w:rPr>
                <w:sz w:val="16"/>
                <w:szCs w:val="16"/>
                <w:color w:val="auto"/>
              </w:rPr>
            </w:pPr>
          </w:p>
        </w:tc>
      </w:tr>
      <w:tr>
        <w:trPr>
          <w:trHeight w:val="27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7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Periodic interest rate swap costs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64"/>
        </w:trPr>
        <w:tc>
          <w:tcPr>
            <w:tcW w:w="6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181</w:t>
            </w:r>
          </w:p>
        </w:tc>
      </w:tr>
      <w:tr>
        <w:trPr>
          <w:trHeight w:val="27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Periodic interest rate swap costs</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our average borrowing cost over prior year periods was a function of a higher federal funds rate, which was partly offset by a larger portion of our Agency repo funded through our captive broker-dealer subsidiary, Bethesda Securities, LLC ("BES"). On average, repo sourced through BES carries a lower cost of funds than comparable traditional bi-lateral repo. The decrease in our periodic swap costs was primarily due to an increase in three-month LIBOR received on our pay-fixed receive-floating interest rate swaps.</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a summary of the ratio of our average interest rates swaps outstanding, excluding forward starting swaps, to our average mortgage borrowings for the three and six months ended June 30, 2018 and 2017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92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64"/>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Average Ratio of Interest Rate Swaps (Excluding Forward Starting Swaps) to Mortgage Borrowings Outstanding</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256"/>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Agency repo and other debt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47,823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38,945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48,690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39,073</w:t>
            </w:r>
          </w:p>
        </w:tc>
      </w:tr>
      <w:tr>
        <w:trPr>
          <w:trHeight w:val="264"/>
        </w:trPr>
        <w:tc>
          <w:tcPr>
            <w:tcW w:w="7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net TBA portfolio outstanding - at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16,912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16,931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16,252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15,205</w:t>
            </w:r>
          </w:p>
        </w:tc>
      </w:tr>
      <w:tr>
        <w:trPr>
          <w:trHeight w:val="256"/>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mortgage borrowings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64,735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55,876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64,942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54,278</w:t>
            </w:r>
          </w:p>
        </w:tc>
      </w:tr>
      <w:tr>
        <w:trPr>
          <w:trHeight w:val="264"/>
        </w:trPr>
        <w:tc>
          <w:tcPr>
            <w:tcW w:w="7160" w:type="dxa"/>
            <w:vAlign w:val="bottom"/>
            <w:gridSpan w:val="2"/>
          </w:tcPr>
          <w:p>
            <w:pPr>
              <w:ind w:left="4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42,804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36,549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41,918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60" w:type="dxa"/>
            <w:vAlign w:val="bottom"/>
          </w:tcPr>
          <w:p>
            <w:pPr>
              <w:ind w:left="4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65 %</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67 %</w:t>
            </w:r>
          </w:p>
        </w:tc>
      </w:tr>
      <w:tr>
        <w:trPr>
          <w:trHeight w:val="20"/>
        </w:trPr>
        <w:tc>
          <w:tcPr>
            <w:tcW w:w="7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8"/>
        </w:trPr>
        <w:tc>
          <w:tcPr>
            <w:tcW w:w="7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1.50 %</w:t>
            </w:r>
          </w:p>
        </w:tc>
      </w:tr>
      <w:tr>
        <w:trPr>
          <w:trHeight w:val="264"/>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Average interest rate swap receive-floating rate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43"/>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Average interest rate swap net pay/(receive) rate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0.45 %</w:t>
            </w:r>
          </w:p>
        </w:tc>
      </w:tr>
      <w:tr>
        <w:trPr>
          <w:trHeight w:val="20"/>
        </w:trPr>
        <w:tc>
          <w:tcPr>
            <w:tcW w:w="7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three and six months ended June 30, 2018, we had an average forward starting swap balance of $3.9 billion and $3.6 billion, respectively. For the three and six months ended June 30, 2017 we had an average forward starting swap balance of $2.5 billion and $1.5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and six months ended June 30, 2018 was 72% and 70%, respectively, compared to 70% and 69%, respectively, for the prior year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and six months ended June 30, 2018 and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19" w:right="239" w:bottom="1440" w:gutter="0" w:footer="0" w:header="0"/>
        </w:sectPr>
      </w:pPr>
    </w:p>
    <w:bookmarkStart w:id="38" w:name="page39"/>
    <w:bookmarkEnd w:id="38"/>
    <w:tbl>
      <w:tblPr>
        <w:tblLayout w:type="fixed"/>
        <w:tblInd w:w="1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6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7"/>
              </w:rPr>
              <w:t>Six Months Ended June</w:t>
            </w:r>
          </w:p>
        </w:tc>
      </w:t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w w:val="81"/>
              </w:rPr>
              <w:t>30,</w:t>
            </w:r>
          </w:p>
        </w:tc>
      </w:tr>
      <w:tr>
        <w:trPr>
          <w:trHeight w:val="264"/>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r>
      <w:tr>
        <w:trPr>
          <w:trHeight w:val="256"/>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asset yield, excluding "catch-up" premium amortization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2.98 %</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2.81 %</w:t>
            </w:r>
          </w:p>
        </w:tc>
      </w:tr>
      <w:tr>
        <w:trPr>
          <w:trHeight w:val="264"/>
        </w:trPr>
        <w:tc>
          <w:tcPr>
            <w:tcW w:w="57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aggregate cost of funds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(1.31)%</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r>
      <w:tr>
        <w:trPr>
          <w:trHeight w:val="243"/>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1.55 %</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and six months ended June 30, 2018 and 2017 (dollars in millions):</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Three Months Ended June</w:t>
            </w:r>
          </w:p>
        </w:tc>
        <w:tc>
          <w:tcPr>
            <w:tcW w:w="120" w:type="dxa"/>
            <w:vAlign w:val="bottom"/>
          </w:tcPr>
          <w:p>
            <w:pPr>
              <w:spacing w:after="0"/>
              <w:rPr>
                <w:sz w:val="14"/>
                <w:szCs w:val="14"/>
                <w:color w:val="auto"/>
              </w:rPr>
            </w:pPr>
          </w:p>
        </w:tc>
        <w:tc>
          <w:tcPr>
            <w:tcW w:w="158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w w:val="92"/>
              </w:rPr>
              <w:t>Six Months Ended June</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81"/>
              </w:rPr>
              <w:t>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1"/>
              </w:rPr>
              <w:t>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64"/>
        </w:trPr>
        <w:tc>
          <w:tcPr>
            <w:tcW w:w="5720" w:type="dxa"/>
            <w:vAlign w:val="bottom"/>
          </w:tcPr>
          <w:p>
            <w:pPr>
              <w:ind w:left="16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Periodic interest income (cost) of interest rate swaps, net </w:t>
            </w:r>
            <w:r>
              <w:rPr>
                <w:rFonts w:ascii="Arial" w:cs="Arial" w:eastAsia="Arial" w:hAnsi="Arial"/>
                <w:sz w:val="8"/>
                <w:szCs w:val="8"/>
                <w:color w:val="auto"/>
              </w:rPr>
              <w:t>1</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64"/>
        </w:trPr>
        <w:tc>
          <w:tcPr>
            <w:tcW w:w="5720" w:type="dxa"/>
            <w:vAlign w:val="bottom"/>
          </w:tcPr>
          <w:p>
            <w:pPr>
              <w:ind w:left="160"/>
              <w:spacing w:after="0"/>
              <w:rPr>
                <w:sz w:val="20"/>
                <w:szCs w:val="20"/>
                <w:color w:val="auto"/>
              </w:rPr>
            </w:pPr>
            <w:r>
              <w:rPr>
                <w:rFonts w:ascii="Arial" w:cs="Arial" w:eastAsia="Arial" w:hAnsi="Arial"/>
                <w:sz w:val="14"/>
                <w:szCs w:val="14"/>
                <w:color w:val="auto"/>
              </w:rPr>
              <w:t xml:space="preserve">Dividend income from REIT equity securities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8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64"/>
        </w:trPr>
        <w:tc>
          <w:tcPr>
            <w:tcW w:w="5720" w:type="dxa"/>
            <w:vAlign w:val="bottom"/>
          </w:tcPr>
          <w:p>
            <w:pPr>
              <w:ind w:left="20"/>
              <w:spacing w:after="0"/>
              <w:rPr>
                <w:sz w:val="20"/>
                <w:szCs w:val="20"/>
                <w:color w:val="auto"/>
              </w:rPr>
            </w:pPr>
            <w:r>
              <w:rPr>
                <w:rFonts w:ascii="Arial" w:cs="Arial" w:eastAsia="Arial" w:hAnsi="Arial"/>
                <w:sz w:val="14"/>
                <w:szCs w:val="14"/>
                <w:color w:val="auto"/>
              </w:rPr>
              <w:t>Other operating income (expense):</w:t>
            </w: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fee income</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operating income (expense), net</w:t>
            </w: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4"/>
                <w:szCs w:val="14"/>
                <w:color w:val="auto"/>
              </w:rPr>
              <w:t>Net spread and dollar roll income</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"catch-up" premium amortization (benefit) cost due to change in CPR forecast</w:t>
            </w:r>
          </w:p>
        </w:tc>
        <w:tc>
          <w:tcPr>
            <w:tcW w:w="1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7"/>
        </w:trPr>
        <w:tc>
          <w:tcPr>
            <w:tcW w:w="5720" w:type="dxa"/>
            <w:vAlign w:val="bottom"/>
          </w:tcPr>
          <w:p>
            <w:pPr>
              <w:ind w:left="20"/>
              <w:spacing w:after="0" w:line="137"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254</w:t>
            </w:r>
          </w:p>
        </w:tc>
        <w:tc>
          <w:tcPr>
            <w:tcW w:w="32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489</w:t>
            </w:r>
          </w:p>
        </w:tc>
        <w:tc>
          <w:tcPr>
            <w:tcW w:w="30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21"/>
        </w:trPr>
        <w:tc>
          <w:tcPr>
            <w:tcW w:w="5720" w:type="dxa"/>
            <w:vAlign w:val="bottom"/>
          </w:tcPr>
          <w:p>
            <w:pPr>
              <w:ind w:left="20"/>
              <w:spacing w:after="0"/>
              <w:rPr>
                <w:sz w:val="20"/>
                <w:szCs w:val="20"/>
                <w:color w:val="auto"/>
              </w:rPr>
            </w:pPr>
            <w:r>
              <w:rPr>
                <w:rFonts w:ascii="Arial" w:cs="Arial" w:eastAsia="Arial" w:hAnsi="Arial"/>
                <w:sz w:val="14"/>
                <w:szCs w:val="14"/>
                <w:color w:val="auto"/>
              </w:rPr>
              <w:t>common stockholders (non-GAAP measure)</w:t>
            </w:r>
          </w:p>
        </w:tc>
        <w:tc>
          <w:tcPr>
            <w:tcW w:w="1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300" w:type="dxa"/>
            <w:vAlign w:val="bottom"/>
            <w:gridSpan w:val="3"/>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7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404.9</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line="151" w:lineRule="exact"/>
              <w:rPr>
                <w:sz w:val="20"/>
                <w:szCs w:val="20"/>
                <w:color w:val="auto"/>
              </w:rPr>
            </w:pPr>
            <w:r>
              <w:rPr>
                <w:rFonts w:ascii="Arial" w:cs="Arial" w:eastAsia="Arial" w:hAnsi="Arial"/>
                <w:sz w:val="14"/>
                <w:szCs w:val="14"/>
                <w:color w:val="auto"/>
              </w:rPr>
              <w:t>Net spread and dollar roll income, excluding "catch-up" premium amortization, per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720" w:type="dxa"/>
            <w:vAlign w:val="bottom"/>
            <w:vMerge w:val="continue"/>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0.63</w:t>
            </w:r>
          </w:p>
        </w:tc>
        <w:tc>
          <w:tcPr>
            <w:tcW w:w="4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0.67</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 basic</w:t>
            </w:r>
          </w:p>
        </w:tc>
        <w:tc>
          <w:tcPr>
            <w:tcW w:w="18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2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4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0.67</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1"/>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 diluted</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2229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is a summary of our net gain (loss) on investment securities for the three and six months ended June 30, 2018 and 2017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6"/>
                <w:szCs w:val="16"/>
                <w:color w:val="auto"/>
              </w:rPr>
            </w:pPr>
          </w:p>
        </w:tc>
        <w:tc>
          <w:tcPr>
            <w:tcW w:w="17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Gain (loss) on sale of investment securities,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8"/>
                <w:szCs w:val="8"/>
                <w:color w:val="auto"/>
              </w:rPr>
              <w:t>2</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Total gain (loss) on investment securities,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hanging="648"/>
        <w:spacing w:after="0" w:line="255" w:lineRule="auto"/>
        <w:tabs>
          <w:tab w:leader="none" w:pos="6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sectPr>
          <w:pgSz w:w="11900" w:h="16838" w:orient="portrait"/>
          <w:cols w:equalWidth="0" w:num="1">
            <w:col w:w="11420"/>
          </w:cols>
          <w:pgMar w:left="240" w:top="888"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888" w:right="239" w:bottom="1440" w:gutter="0" w:footer="0" w:header="0"/>
          <w:type w:val="continuous"/>
        </w:sectPr>
      </w:pPr>
    </w:p>
    <w:bookmarkStart w:id="39" w:name="page40"/>
    <w:bookmarkEnd w:id="39"/>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Investment securities acquired after fiscal year 2016 are measured at fair value through net income (see Note 3 of our Consolidated Financial Statements in this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is a summary of our gain (loss) on derivative instruments and other securities, net for the three and six months ended June 30, 2018 and 2017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6"/>
                <w:szCs w:val="16"/>
                <w:color w:val="auto"/>
              </w:rPr>
            </w:pPr>
          </w:p>
        </w:tc>
        <w:tc>
          <w:tcPr>
            <w:tcW w:w="17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Periodic interest costs of interest rate swaps,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449</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133</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the three months ended June 30, 2018 and 2017, we had estimated taxable income available to common stockholders of $104 million and $46 million (or $0.26 and $0.13 per diluted common share), respectively. For the six months ended June 30, 2018 and 2017, we had estimated taxable income available to common stockholders of $183 million and $76 million (or $0.46 and $0.22 per diluted common share), respectively. Income as determined under GAAP differs from income as determined under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and six months ended June 30, 2018 and 2017 (dollars in millions, except per share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8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June 30,</w:t>
            </w:r>
          </w:p>
        </w:tc>
        <w:tc>
          <w:tcPr>
            <w:tcW w:w="120" w:type="dxa"/>
            <w:vAlign w:val="bottom"/>
          </w:tcPr>
          <w:p>
            <w:pPr>
              <w:spacing w:after="0"/>
              <w:rPr>
                <w:sz w:val="16"/>
                <w:szCs w:val="16"/>
                <w:color w:val="auto"/>
              </w:rPr>
            </w:pPr>
          </w:p>
        </w:tc>
        <w:tc>
          <w:tcPr>
            <w:tcW w:w="178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Estimated book to tax differences: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Premium amortization,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Realized gain/loss, net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capital loss/(utilization of net capital loss carryforward)</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Unrealized gain/loss, net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REIT taxable income</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Dividend on preferred stock</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Estimated REIT taxable income available to common stockholders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405.2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Beginning cumulative non-deductible net capital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capital loss / (utilization of net capital loss carryforward)</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Ending cumulative non-deductible net capital loss </w:t>
            </w:r>
            <w:r>
              <w:rPr>
                <w:rFonts w:ascii="Arial" w:cs="Arial" w:eastAsia="Arial" w:hAnsi="Arial"/>
                <w:sz w:val="8"/>
                <w:szCs w:val="8"/>
                <w:color w:val="auto"/>
              </w:rPr>
              <w:t>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hanging="648"/>
        <w:spacing w:after="0" w:line="255"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Capital losses in excess of capital gains are not deductible from ordinary taxable income, but may be carried forward for up to five years and applied against future net capital gains. As of March 31, 2018, $0.6 B and $0.1 B of net capital losses were available through 2018 and 2023, respectively.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dividends declared during the six months ended June 30, 2018 and 2017:</w:t>
      </w:r>
    </w:p>
    <w:p>
      <w:pPr>
        <w:spacing w:after="0" w:line="34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5"/>
          </w:tcPr>
          <w:p>
            <w:pPr>
              <w:ind w:left="420"/>
              <w:spacing w:after="0"/>
              <w:rPr>
                <w:sz w:val="20"/>
                <w:szCs w:val="20"/>
                <w:color w:val="auto"/>
              </w:rPr>
            </w:pPr>
            <w:r>
              <w:rPr>
                <w:rFonts w:ascii="Arial" w:cs="Arial" w:eastAsia="Arial" w:hAnsi="Arial"/>
                <w:sz w:val="16"/>
                <w:szCs w:val="16"/>
                <w:b w:val="1"/>
                <w:bCs w:val="1"/>
                <w:color w:val="auto"/>
              </w:rPr>
              <w:t>Dividends Declared per Share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C Preferred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Series A Preferred</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Stock (Per Depositary</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Stock (Per Depositary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410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Share)</w:t>
            </w: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June 30, 2018</w:t>
            </w:r>
          </w:p>
        </w:tc>
        <w:tc>
          <w:tcPr>
            <w:tcW w:w="14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0.43750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0.968750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0.87500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June 30, 2017</w:t>
            </w:r>
          </w:p>
        </w:tc>
        <w:tc>
          <w:tcPr>
            <w:tcW w:w="1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0.968750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primary sources of funds are borrowings under master repurchase agreements, asset sales, receipts of monthly principal and interest payments on our investment portfolio and equity offerings. We may also enter into TBA contracts to acquire or dispose of Agency RMBS and TBA dollar roll transactions to finance Agency RMBS purchases. Because the level of our borrowings can be adjusted daily,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twelve times the amount of our tangible stockholders' equity. However, under certain market conditions, we may operate at leverage levels outside of this range for extended periods of time.</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8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2018 and December 31, 2017, our mortgage borrowings consisted of the following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8"/>
              </w:rPr>
              <w:t>June 30, 2018</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2017</w:t>
            </w:r>
          </w:p>
        </w:tc>
        <w:tc>
          <w:tcPr>
            <w:tcW w:w="720" w:type="dxa"/>
            <w:vAlign w:val="bottom"/>
            <w:tcBorders>
              <w:bottom w:val="single" w:sz="8" w:color="auto"/>
            </w:tcBorders>
          </w:tcPr>
          <w:p>
            <w:pPr>
              <w:spacing w:after="0"/>
              <w:rPr>
                <w:sz w:val="16"/>
                <w:szCs w:val="16"/>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Repurchase agreements used to fund Agency RMBS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48,839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50,296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60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49,152</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50,653</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6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19,898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15,739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43"/>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69,050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tangible net book value "at risk" leverage was 8.3x and 8.1x as of June 30, 2018 and December 31, 2017, respectively, measured as the sum of our total mortgage borrowings and net payable / (receivable) for unsettled investment securities, divided by the sum of our total stockholders' equity adjusted to exclude goodwill and other intangible assets and investments in REIT securities.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part of our investment strategy, we borrow against our investment portfolio pursuant to master repurchase agreements. We expect that the majority of our borrowings under repurchase agreements will have maturities ranging up to one year, but may have terms ranging up to five years or longer. Borrowings with maturities greater than one year typically have floating rates of interest based on LIBOR plus or minus a fixed spread.</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2018, we had $48.8 billion of repurchase agreements outstanding used to fund acquisitions of investment securities with a weighted average interest rate of 2.18% and a weighted average remaining days-to-maturity of 101 days, compared $50.3 billion, 1.57% and 116 days, respectively, as of December 31, 2017.</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counterparty exposure, we diversify our funding across multiple counterparties and by counterparty region. As of June 30, 2018, we had master repurchase agreements with 46 financial institutions located throughout North America, Europe and Asia, including counterparties accessed through our wholly-owned captive broker-dealer subsidiary, BES. BES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June 30, 2018, $21.2 billion of our repurchase agreement funding was sourced through BES.</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June 30, 2018. For further details regarding our borrowings under repurchase agreements as of June 30, 2018, please refer to Notes 5 and 7 to our Consolidated Financial Statements in this Form 10-Q.</w:t>
      </w:r>
    </w:p>
    <w:p>
      <w:pPr>
        <w:spacing w:after="0" w:line="267"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Percent of Agency</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RMBS 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81%</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7%</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2" w:name="page43"/>
    <w:bookmarkEnd w:id="42"/>
    <w:p>
      <w:pPr>
        <w:jc w:val="both"/>
        <w:spacing w:after="0" w:line="270" w:lineRule="auto"/>
        <w:rPr>
          <w:sz w:val="20"/>
          <w:szCs w:val="20"/>
          <w:color w:val="auto"/>
        </w:rPr>
      </w:pPr>
      <w:r>
        <w:rPr>
          <w:rFonts w:ascii="Arial" w:cs="Arial" w:eastAsia="Arial" w:hAnsi="Arial"/>
          <w:sz w:val="17"/>
          <w:szCs w:val="17"/>
          <w:color w:val="auto"/>
        </w:rPr>
        <w:t>conversely subjects us to counterparty credit risk and limits the amount we can borrow against our investment securities. Our master repurchase agreements do not specify the haircut; rather haircuts are determined on an individual repurchase transaction basis. Throughout the six months ended June 30, 2018, haircuts on our pledged collateral remained stable and, as of June 30, 2018, our weighted average haircut was approximately 4.3% of the value of our collateral, inclusive of collateral funded through BES. As of June 30, 2018, our maximum amount at risk (or the amount of our repurchase liabilities in excess of the value of collateral pledged) with any counterparty related to our repurchase agreements, excluding the FICC, was less than 5% of our tangible stockholders' equity, with our top five repo counterparties, excluding the FICC, representing less than 10% of our tangible stockholders' equity. As of June 30, 2018, 6% of our tangible stockholder's equity was at risk with the FICC. We could be exposed to credit risk if the FICC or an FICC netting member defaults on its obligations. However, we believe that the risk is minimal due to the FICC's initial and daily mark to market margin requirements, guarantee funds and other resources that are available in the event of a default.</w:t>
      </w:r>
    </w:p>
    <w:p>
      <w:pPr>
        <w:spacing w:after="0" w:line="12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June 30, 2018, we had met all of our margin requirements and we had unrestricted cash and cash equivalents of $0.9 billion and unpledged securities of approximately $3.9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 swaptions, U.S. Treasury securities and U.S. Treasury futures contracts. Please refer to Notes 3 and 6 to our Consolidated Financial Statements in this Form 10-Q for further details regarding our use of derivative instruments.</w:t>
      </w:r>
    </w:p>
    <w:p>
      <w:pPr>
        <w:spacing w:after="0" w:line="10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As with repurchase agreements, our derivative agreements typically require that we pledge/receive collateral to/from our counterparties.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central clearing exchanges and major financial institutions with acceptable credit ratings and by monitoring positions with individual counterparties. Excluding centrally cleared derivative instruments, as of June 30, 2018, our amount at risk with any counterparty related to our interest rate swap and swaption agreements was less than 1% of our stockholders' equity. In the case of centrally cleared derivative instruments, we could be exposed to credit risk if the central clearing agency or a clearing member defaults on its obligation to perform under the contract. However, we believe that the risk is minimal due to the exchanges' initial and daily mark to market margin requirements and clearinghouse guarantee funds and other resources that are available in the event of a default.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We may also use TBAs to leverage (or deleverage) our investment portfolio using long (or short) TBA contracts (see Notes 3 and 6 to our Consolidated Financial Statements in this Form 10-Q additional details on of our TBA transactions).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3" w:name="page44"/>
    <w:bookmarkEnd w:id="43"/>
    <w:p>
      <w:pPr>
        <w:jc w:val="both"/>
        <w:ind w:firstLine="432"/>
        <w:spacing w:after="0" w:line="257" w:lineRule="auto"/>
        <w:rPr>
          <w:sz w:val="20"/>
          <w:szCs w:val="20"/>
          <w:color w:val="auto"/>
        </w:rPr>
      </w:pPr>
      <w:r>
        <w:rPr>
          <w:rFonts w:ascii="Arial" w:cs="Arial" w:eastAsia="Arial" w:hAnsi="Arial"/>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June 30, 2018, we had a net long TBA position with a total market value of $20.0 billion and a net carrying value of $105 million recognized in derivative assets/(liabilities), at fair value, on our Consolidated Balance Sheets in this Form 10-Q.</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Bethesda Securities Regulatory Capital Requirements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BES is subject to regulations of the securities business that include but are not limited to trade practices, capital structure, recordkeeping and conduct of directors, officers and employees. As a self-clearing registered broker-dealer, BES is required to maintain minimum net regulatory capital as defined by SEC Rule 15c3-1 (the "Rule"). As of June 30, 2018, the minimum net capital required was $0.3 million and BES had excess net capital of $321.1 million. Regulatory capital in excess of the minimum required by the Rule is held to meet levels required by clearing organizations, the clearing bank and other repo counterparties.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maintain a portfolio of highly liquid mortgage-backed securities. We may sell our Agency securities through the TBA market by delivering them into TBA contracts, subject to "good delivery" provisions promulgated by the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 level of Agency securities eligible for TBA delivery enhances our liquidity profile and provides price support for our TBA eligible securities at or above generic TBA prices. As of June 30, 2018, approximately 90% of our fixed rate Agency RMBS portfolio was eligible for TBA delivery.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the extent we raise additional equity capital we may use cash proceeds from such transactions to purchase additional investment securities, to make scheduled payments of principal and interest on our funding liabilities and/or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tangible net book value per common share, among other conditions, we may repurchase shares of our common stock, subject to the provisions of a stock repurchase program in effect at such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2018,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June 30, 2018,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This document contains forward looking statements within the meaning of the Private Securities Litigation Reform Act of 1995. These forward looking statements are based on estimates, projections, beliefs and assumptions of our management as of the date of this Quarterly Report on Form 10-Q and involve risks and uncertainties in predicting future results and conditions. Our actual performance could differ materially from those projected or anticipated in any forward looking statements due to a variety of factors, including, without limitation, changes in interest rates, the yield curve or prepayment rates; the availability and terms of financing; changes in the market value of our assets; the effectiveness of our risk mitigation strategies; conditions in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 xml:space="preserve">market for Agency and other mortgage securities; or legislative or regulatory changes that affect our status as a REIT or our exemption from the Investment Company Act of 1940 or that affect the GSE’s or secondary mortgage market in which we participate. A discussion of risks and uncertainties that could cause actual results to differ from any of our forward looking statements is included in our most recent Annual Report on Form 10-K and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 looking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related financing obligations. Subject to maintaining our qualification as a REIT, we engage in a variety of interest rate management techniques to mitigate the influence of interest rate changes on our net interest income and fluctuations of our net asset value.</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seek to hedge interest rate risk with respect to both the fixed income nature of our assets and short-term, variable rate nature of our financing. In hedging interest rates with respect to our fixed income assets, we attempt to reduce the risk of losses on the value of our investments that may result from changes in interest rates in the broader markets. In utilizing interest rate hedges with respect to our financing, we attempt to improve risk-adjusted returns and, where possible, to obtain a favorable spread between the yield on our assets and the cost of our financing. The principal instruments that we use to hedge our interest rate risk are interest rate swaps, swaptions, U.S. Treasury securities and U.S. Treasury futures contracts.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The severity of any such decline would depend on our asset, liability and hedge composition at the time, as well as the magnitude and duration of the interest rate increase.</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Changes in the level of interest rates can also affect the rate of mortgage prepayments and the value of our assets.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Primary measures of an instrument's price sensitivity to interest rate fluctuations are its duration and convexity. Duration measures the estimated percentage change in market value of our assets or our hedge portfolio that would be caused by a parallel change in short and long-term interest rates. The duration of our assets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tangible net book value per common share as of June 30, 2018 and December 31, 2017 should interest rates go up or down by 50 and 100 basis points, assuming instantaneous parallel shifts in the yield curve and including the impact of both duration and convexity. All changes in income and value in the table below are measured as percentage changes from the base interest rate scenario. The base interest rate scenario assumes interest rates and prepayment projections as of June 30, 2018 and December 31, 2017.</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portfolio, we actively manage our portfolio and we continuously adjust the size and composition of our asset and hedge portfolio.</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Tangible Net</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3,5</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2018</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-7.2%</w:t>
            </w: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-0.1%</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+2.0%</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+3.7%</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-11.8%</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-9.1%</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+0.2%</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-163195</wp:posOffset>
            </wp:positionV>
            <wp:extent cx="44938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9389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jc w:val="both"/>
        <w:ind w:left="660" w:hanging="328"/>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7.1% and 8.4% as of June 30, 2018 and December 31, 2017, respectively. As of June 30, 2018, rate shock scenarios assume a forecasted CPR of 9%, 8%, 6% and 6% for the -100, -50, +50 and +100 basis points scenarios, respectively. As of December 31, 2017, rate shock scenarios assume a forecasted CPR of 13%, 10%, 7% and 7% for such scenarios, respectively. Estimated dollar change in net interest income does not include the impact of retroactive "catch-up" premium amortization adjustments due to changes in our forecasted CPR.</w:t>
      </w:r>
    </w:p>
    <w:p>
      <w:pPr>
        <w:spacing w:after="0" w:line="2" w:lineRule="exact"/>
        <w:rPr>
          <w:rFonts w:ascii="Arial" w:cs="Arial" w:eastAsia="Arial" w:hAnsi="Arial"/>
          <w:sz w:val="14"/>
          <w:szCs w:val="14"/>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tangible stockholders' equity, net of the aggregate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including housing prices, general economic conditions, loan age, size and loan-to-value ratios, and the pace of GSE buyouts of delinquent loans underlying our securities among other factors.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Spread risk is the risk that the market spread between the yield on our assets and the yield on benchmark interest rates linked to our interest rate hedges, such as U.S. Treasury rates and interest rate swap rates, may vary. The inherent spread risk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jc w:val="both"/>
        <w:spacing w:after="0" w:line="276" w:lineRule="auto"/>
        <w:rPr>
          <w:sz w:val="20"/>
          <w:szCs w:val="20"/>
          <w:color w:val="auto"/>
        </w:rPr>
      </w:pPr>
      <w:r>
        <w:rPr>
          <w:rFonts w:ascii="Arial" w:cs="Arial" w:eastAsia="Arial" w:hAnsi="Arial"/>
          <w:sz w:val="17"/>
          <w:szCs w:val="17"/>
          <w:color w:val="auto"/>
        </w:rPr>
        <w:t>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U.S. and foreign central banks, liquidity, or changes in required rates of return on different assets. Our strategies are generally not specifically designed to protect against spread risk, thus while we use interest rate swaps and other hedges to attempt to protect against moves in interest rates, our hedges will typically not protect our net book value against spread risk and our tangible net book value could decline if spreads widen.</w:t>
      </w:r>
    </w:p>
    <w:p>
      <w:pPr>
        <w:spacing w:after="0" w:line="11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table below quantifies the estimated changes in the fair value of our assets, net of hedges, and our tangible net book value per common share as of June 30, 2018 and December 31, 2017 should spreads widen or tighten by 10 and 25 basis points. The estimated impact of changes in spreads is in addition to our interest rate shock sensitivity included in the interest rate shock table above. The table below assumes a spread duration of 5.8 and 5.3 years as of June 30, 2018 and December 31, 2017, respectively, based on interest rates and prices as of such dates. However, our portfolio's sensitivity of mortgage spread changes will vary with changes in interest rates and in the size and composition of our portfolio. Therefore, actual results could differ materially from our estimates.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Tangible 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2018</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+14.0%</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+5.6%</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-14.0%</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+12.6%</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-163195</wp:posOffset>
            </wp:positionV>
            <wp:extent cx="37306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tangible stockholders' equity, net of the aggregate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As of June 30, 2018, we had unrestricted cash and cash equivalents of $0.9 billion and unpledged securities of approximately $3.9 billion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even force us to sell assets, especially if correlated with asset price declines or faster prepayment rates on our assets.</w:t>
      </w:r>
    </w:p>
    <w:p>
      <w:pPr>
        <w:spacing w:after="0" w:line="1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often utilize TBA dollar roll transactions to invest in and finance Agency RMBS. Under certain conditions it may be uneconomical to roll our TBA dollar roll transactions beyond the next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not receive full repayment of principal, interest or other remuneration related to credit sensitive instruments, such as investments in CRT and non-Agency securities. We are also exposed to credit risk in the event our derivative counterparties do not perform under the terms of our derivative agreements or in the event our repurchase agreement counterparties default on their obligations to resell the underlying collateral back to us at the end of the repo term.</w:t>
      </w:r>
    </w:p>
    <w:p>
      <w:pPr>
        <w:spacing w:after="0" w:line="13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accept credit exposure related to our credit sensitive assets at levels we deem to be prudent within the context of our overall investment strategy. We attempt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and monitoring concentration levels with any one counterparty. We also monitor and adjust the amount of collateral pledged based on changes in market value.</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amounts cleared through a central clearing exchange, as of June 30, 2018, our maximum amount at risk with any counterparty related to our repurchase agreements was less than 5% of our tangible stockholders' equity and less than 1% of tangible stockholders' equity related to our interest rate swap and swaption agreements.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June 30, 2018.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AGNC is named as a nominal defendant in certain stockholder derivative lawsuits filed against the Company and certain of our current and former directors and officers as previously disclosed in our Annual Report on Form 10-K for the year ended December 31, 2017. On July 3, 2018, in the matter called </w:t>
      </w:r>
      <w:r>
        <w:rPr>
          <w:rFonts w:ascii="Arial" w:cs="Arial" w:eastAsia="Arial" w:hAnsi="Arial"/>
          <w:sz w:val="16"/>
          <w:szCs w:val="16"/>
          <w:i w:val="1"/>
          <w:iCs w:val="1"/>
          <w:color w:val="auto"/>
        </w:rPr>
        <w:t>In re American Capital Agency Stockholder Derivative Litigation</w:t>
      </w:r>
      <w:r>
        <w:rPr>
          <w:rFonts w:ascii="Arial" w:cs="Arial" w:eastAsia="Arial" w:hAnsi="Arial"/>
          <w:sz w:val="16"/>
          <w:szCs w:val="16"/>
          <w:color w:val="auto"/>
        </w:rPr>
        <w:t>, pending in the U.S. District Court for the District of Maryland, the Court granted in part and denied in part our and other defendants’ motions to dismiss. The Court dismissed the claims that the Company’s proxy statements in 2014, 2015 and 2016 contained material omissions and that the current and former directors and officers named as defendants in the case breached fiduciary duties to the Company in connection with the internalization of our management through the acquisition of AGNC Mortgage Management, LLC, the parent company of our former external Manager, which was completed on July 1, 2016. The Court also dismissed the aiding and abetting claim against American Capital Asset Management, LLC. However, the Court did not dismiss the claims against certain of our current officers and directors related to decisions not to terminate our management agreement with our former external Manager, AGNC Management, LLC, prior to the internalization of our management. On July 18, 2018, the plaintiffs in this action moved to amend their complaint in an effort to cure the deficiencies identified by the Court in its ruling on the motion to dismiss. Defendants' response to that motion is due August 15, 2018. We believe the claims in these lawsuits lack merit, and we expect that the defendants will vigorously defend them. See also "Loss Contingencies" in Note 3 to our Consolidated Financial Statements included in this Form 10-Q.</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9" w:name="page50"/>
    <w:bookmarkEnd w:id="49"/>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tab/>
        <w:t>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28">
        <w:r>
          <w:rPr>
            <w:rFonts w:ascii="Arial" w:cs="Arial" w:eastAsia="Arial" w:hAnsi="Arial"/>
            <w:sz w:val="18"/>
            <w:szCs w:val="18"/>
            <w:color w:val="auto"/>
          </w:rPr>
          <w:t>*3.1 AGNC Investment Corp. Amended and Restated Certificate of Incorporation, as amended, incorporated herein by reference</w:t>
        </w:r>
      </w:hyperlink>
      <w:r>
        <w:rPr>
          <w:rFonts w:ascii="Arial" w:cs="Arial" w:eastAsia="Arial" w:hAnsi="Arial"/>
          <w:sz w:val="18"/>
          <w:szCs w:val="18"/>
          <w:color w:val="auto"/>
        </w:rPr>
        <w:t xml:space="preserve"> </w:t>
      </w:r>
      <w:hyperlink r:id="rId28">
        <w:r>
          <w:rPr>
            <w:rFonts w:ascii="Arial" w:cs="Arial" w:eastAsia="Arial" w:hAnsi="Arial"/>
            <w:sz w:val="18"/>
            <w:szCs w:val="18"/>
            <w:color w:val="auto"/>
          </w:rPr>
          <w:t>to Exhibit 3.1 of Form 10-Q for the quarter ended March 31, 2018 (File No. 001-34057), filed May 7, 2018.</w:t>
        </w:r>
      </w:hyperlink>
    </w:p>
    <w:p>
      <w:pPr>
        <w:spacing w:after="0" w:line="116" w:lineRule="exact"/>
        <w:rPr>
          <w:sz w:val="20"/>
          <w:szCs w:val="20"/>
          <w:color w:val="auto"/>
        </w:rPr>
      </w:pPr>
    </w:p>
    <w:p>
      <w:pPr>
        <w:jc w:val="both"/>
        <w:ind w:left="1300" w:right="20" w:firstLine="648"/>
        <w:spacing w:after="0" w:line="277" w:lineRule="auto"/>
        <w:rPr>
          <w:rFonts w:ascii="Arial" w:cs="Arial" w:eastAsia="Arial" w:hAnsi="Arial"/>
          <w:sz w:val="18"/>
          <w:szCs w:val="18"/>
          <w:color w:val="auto"/>
        </w:rPr>
      </w:pPr>
      <w:hyperlink r:id="rId29">
        <w:r>
          <w:rPr>
            <w:rFonts w:ascii="Arial" w:cs="Arial" w:eastAsia="Arial" w:hAnsi="Arial"/>
            <w:sz w:val="18"/>
            <w:szCs w:val="18"/>
            <w:color w:val="auto"/>
          </w:rPr>
          <w:t>*3.2 AGNC Investment Corp. Third Amended and Restated Bylaws, as amended, incorporated herein by reference to Exhibit 3.2</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of Form 10-Q for the quarter ended September 30, 2016 (File No. 001-34057), filed November 7, 2016.</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0">
        <w:r>
          <w:rPr>
            <w:rFonts w:ascii="Arial" w:cs="Arial" w:eastAsia="Arial" w:hAnsi="Arial"/>
            <w:sz w:val="18"/>
            <w:szCs w:val="18"/>
            <w:color w:val="auto"/>
          </w:rPr>
          <w:t>*3.3 Certificate of Designations of 7.750% Series B Cumulative Redeemable Preferred Stock, incorporated herein by reference</w:t>
        </w:r>
      </w:hyperlink>
      <w:r>
        <w:rPr>
          <w:rFonts w:ascii="Arial" w:cs="Arial" w:eastAsia="Arial" w:hAnsi="Arial"/>
          <w:sz w:val="18"/>
          <w:szCs w:val="18"/>
          <w:color w:val="auto"/>
        </w:rPr>
        <w:t xml:space="preserve"> </w:t>
      </w:r>
      <w:hyperlink r:id="rId30">
        <w:r>
          <w:rPr>
            <w:rFonts w:ascii="Arial" w:cs="Arial" w:eastAsia="Arial" w:hAnsi="Arial"/>
            <w:sz w:val="18"/>
            <w:szCs w:val="18"/>
            <w:color w:val="auto"/>
          </w:rPr>
          <w:t>to Exhibit 3.4 of Form 8-A (File No. 001-34057), filed May 7, 2014.</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1">
        <w:r>
          <w:rPr>
            <w:rFonts w:ascii="Arial" w:cs="Arial" w:eastAsia="Arial" w:hAnsi="Arial"/>
            <w:sz w:val="18"/>
            <w:szCs w:val="18"/>
            <w:color w:val="auto"/>
          </w:rPr>
          <w:t>*3.4 Certificate of Designations of 7.00% Series C Fixed-to-Floating Rate Cumulative Redeemable Preferred Stock,</w:t>
        </w:r>
      </w:hyperlink>
      <w:r>
        <w:rPr>
          <w:rFonts w:ascii="Arial" w:cs="Arial" w:eastAsia="Arial" w:hAnsi="Arial"/>
          <w:sz w:val="18"/>
          <w:szCs w:val="18"/>
          <w:color w:val="auto"/>
        </w:rPr>
        <w:t xml:space="preserve"> </w:t>
      </w:r>
      <w:hyperlink r:id="rId31">
        <w:r>
          <w:rPr>
            <w:rFonts w:ascii="Arial" w:cs="Arial" w:eastAsia="Arial" w:hAnsi="Arial"/>
            <w:sz w:val="18"/>
            <w:szCs w:val="18"/>
            <w:color w:val="auto"/>
          </w:rPr>
          <w:t>incorporated herein by reference to Exhibit 3.5 of Form 8-A (File No. 001-34057), filed August 18, 2017.</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2">
        <w:r>
          <w:rPr>
            <w:rFonts w:ascii="Arial" w:cs="Arial" w:eastAsia="Arial" w:hAnsi="Arial"/>
            <w:sz w:val="18"/>
            <w:szCs w:val="18"/>
            <w:color w:val="auto"/>
          </w:rPr>
          <w:t>*3.5 Certificate of Elimination of 8.000% Series A Cumulative Redeemable Preferred Stock, incorporated herein by reference to</w:t>
        </w:r>
      </w:hyperlink>
      <w:r>
        <w:rPr>
          <w:rFonts w:ascii="Arial" w:cs="Arial" w:eastAsia="Arial" w:hAnsi="Arial"/>
          <w:sz w:val="18"/>
          <w:szCs w:val="18"/>
          <w:color w:val="auto"/>
        </w:rPr>
        <w:t xml:space="preserve"> </w:t>
      </w:r>
      <w:hyperlink r:id="rId32">
        <w:r>
          <w:rPr>
            <w:rFonts w:ascii="Arial" w:cs="Arial" w:eastAsia="Arial" w:hAnsi="Arial"/>
            <w:sz w:val="18"/>
            <w:szCs w:val="18"/>
            <w:color w:val="auto"/>
          </w:rPr>
          <w:t>Exhibit 3.1 of Form 8-K (File No 001-34057), filed October 26, 2017.</w:t>
        </w:r>
      </w:hyperlink>
    </w:p>
    <w:p>
      <w:pPr>
        <w:spacing w:after="0" w:line="116" w:lineRule="exact"/>
        <w:rPr>
          <w:sz w:val="20"/>
          <w:szCs w:val="20"/>
          <w:color w:val="auto"/>
        </w:rPr>
      </w:pPr>
    </w:p>
    <w:p>
      <w:pPr>
        <w:jc w:val="both"/>
        <w:ind w:left="1300" w:right="20" w:firstLine="648"/>
        <w:spacing w:after="0" w:line="264" w:lineRule="auto"/>
        <w:rPr>
          <w:rFonts w:ascii="Arial" w:cs="Arial" w:eastAsia="Arial" w:hAnsi="Arial"/>
          <w:sz w:val="18"/>
          <w:szCs w:val="18"/>
          <w:color w:val="auto"/>
        </w:rPr>
      </w:pPr>
      <w:hyperlink r:id="rId33">
        <w:r>
          <w:rPr>
            <w:rFonts w:ascii="Arial" w:cs="Arial" w:eastAsia="Arial" w:hAnsi="Arial"/>
            <w:sz w:val="18"/>
            <w:szCs w:val="18"/>
            <w:color w:val="auto"/>
          </w:rPr>
          <w:t>*4.1 Instruments defining the rights of holders of securities: See Article IV of our Amended and Restated Certificate of</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Incorporation, as amended, incorporated herein by reference to Exhibit 3.1 of Form 10-Q for the quarter ended September 30, 2016 (File</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No. 001-34057) filed November 7, 2016.</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29">
        <w:r>
          <w:rPr>
            <w:rFonts w:ascii="Arial" w:cs="Arial" w:eastAsia="Arial" w:hAnsi="Arial"/>
            <w:sz w:val="18"/>
            <w:szCs w:val="18"/>
            <w:color w:val="auto"/>
          </w:rPr>
          <w:t>*4.2 Instruments defining the rights of holders of securities: See Article VI of our Third Amended and Restated Bylaws, as</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amended, incorporated herein by reference to Exhibit 3.2 of Form 10-Q for the quarter ended September 30, 2016 (File No. 001-34057)</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filed November 7, 2016.</w:t>
        </w:r>
      </w:hyperlink>
    </w:p>
    <w:p>
      <w:pPr>
        <w:spacing w:after="0" w:line="127" w:lineRule="exact"/>
        <w:rPr>
          <w:rFonts w:ascii="Arial" w:cs="Arial" w:eastAsia="Arial" w:hAnsi="Arial"/>
          <w:sz w:val="18"/>
          <w:szCs w:val="18"/>
          <w:color w:val="auto"/>
        </w:rPr>
      </w:pPr>
    </w:p>
    <w:p>
      <w:pPr>
        <w:jc w:val="both"/>
        <w:ind w:left="1300" w:firstLine="648"/>
        <w:spacing w:after="0" w:line="277" w:lineRule="auto"/>
        <w:rPr>
          <w:rFonts w:ascii="Arial" w:cs="Arial" w:eastAsia="Arial" w:hAnsi="Arial"/>
          <w:sz w:val="18"/>
          <w:szCs w:val="18"/>
          <w:color w:val="auto"/>
        </w:rPr>
      </w:pPr>
      <w:hyperlink r:id="rId34">
        <w:r>
          <w:rPr>
            <w:rFonts w:ascii="Arial" w:cs="Arial" w:eastAsia="Arial" w:hAnsi="Arial"/>
            <w:sz w:val="18"/>
            <w:szCs w:val="18"/>
            <w:color w:val="auto"/>
          </w:rPr>
          <w:t>*4.3 Form of Certificate for Common Stock, incorporated herein by reference to Exhibit 4.3 of Form 10-Q for the quarter ended</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September 30, 2016 (File No. 001-34057), filed November 7, 2016.</w:t>
        </w:r>
      </w:hyperlink>
    </w:p>
    <w:p>
      <w:pPr>
        <w:spacing w:after="0" w:line="116"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r:id="rId35">
        <w:r>
          <w:rPr>
            <w:rFonts w:ascii="Arial" w:cs="Arial" w:eastAsia="Arial" w:hAnsi="Arial"/>
            <w:sz w:val="18"/>
            <w:szCs w:val="18"/>
            <w:color w:val="auto"/>
          </w:rPr>
          <w:t>*4.4</w:t>
        </w:r>
      </w:hyperlink>
      <w:r>
        <w:rPr>
          <w:rFonts w:ascii="Arial" w:cs="Arial" w:eastAsia="Arial" w:hAnsi="Arial"/>
          <w:sz w:val="18"/>
          <w:szCs w:val="18"/>
          <w:color w:val="auto"/>
        </w:rPr>
        <w:tab/>
      </w:r>
      <w:hyperlink r:id="rId35">
        <w:r>
          <w:rPr>
            <w:rFonts w:ascii="Arial" w:cs="Arial" w:eastAsia="Arial" w:hAnsi="Arial"/>
            <w:sz w:val="16"/>
            <w:szCs w:val="16"/>
            <w:color w:val="auto"/>
          </w:rPr>
          <w:t>Specimen 7.750% Series B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35">
        <w:r>
          <w:rPr>
            <w:rFonts w:ascii="Arial" w:cs="Arial" w:eastAsia="Arial" w:hAnsi="Arial"/>
            <w:sz w:val="18"/>
            <w:szCs w:val="18"/>
            <w:color w:val="auto"/>
          </w:rPr>
          <w:t>4.1 of Form 8-A (File No. 001-34057), filed May 7, 2014.</w:t>
        </w:r>
      </w:hyperlink>
    </w:p>
    <w:p>
      <w:pPr>
        <w:spacing w:after="0" w:line="157"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6">
        <w:r>
          <w:rPr>
            <w:rFonts w:ascii="Arial" w:cs="Arial" w:eastAsia="Arial" w:hAnsi="Arial"/>
            <w:sz w:val="18"/>
            <w:szCs w:val="18"/>
            <w:color w:val="auto"/>
          </w:rPr>
          <w:t>*4.5 Specimen 7.00% Series C Fixed-to-Floating Rate Cumulative Redeemable Preferred Stock Certificate, incorporated herein</w:t>
        </w:r>
      </w:hyperlink>
      <w:r>
        <w:rPr>
          <w:rFonts w:ascii="Arial" w:cs="Arial" w:eastAsia="Arial" w:hAnsi="Arial"/>
          <w:sz w:val="18"/>
          <w:szCs w:val="18"/>
          <w:color w:val="auto"/>
        </w:rPr>
        <w:t xml:space="preserve"> </w:t>
      </w:r>
      <w:hyperlink r:id="rId36">
        <w:r>
          <w:rPr>
            <w:rFonts w:ascii="Arial" w:cs="Arial" w:eastAsia="Arial" w:hAnsi="Arial"/>
            <w:sz w:val="18"/>
            <w:szCs w:val="18"/>
            <w:color w:val="auto"/>
          </w:rPr>
          <w:t>by reference to Exhibit 4.1 of Form 8-A (File No. 001-34057), filed August 18, 2017.</w:t>
        </w:r>
      </w:hyperlink>
    </w:p>
    <w:p>
      <w:pPr>
        <w:spacing w:after="0" w:line="116" w:lineRule="exact"/>
        <w:rPr>
          <w:sz w:val="20"/>
          <w:szCs w:val="20"/>
          <w:color w:val="auto"/>
        </w:rPr>
      </w:pPr>
    </w:p>
    <w:p>
      <w:pPr>
        <w:jc w:val="both"/>
        <w:ind w:left="1300" w:firstLine="648"/>
        <w:spacing w:after="0" w:line="264" w:lineRule="auto"/>
        <w:rPr>
          <w:rFonts w:ascii="Arial" w:cs="Arial" w:eastAsia="Arial" w:hAnsi="Arial"/>
          <w:sz w:val="18"/>
          <w:szCs w:val="18"/>
          <w:color w:val="auto"/>
        </w:rPr>
      </w:pPr>
      <w:hyperlink r:id="rId37">
        <w:r>
          <w:rPr>
            <w:rFonts w:ascii="Arial" w:cs="Arial" w:eastAsia="Arial" w:hAnsi="Arial"/>
            <w:sz w:val="18"/>
            <w:szCs w:val="18"/>
            <w:color w:val="auto"/>
          </w:rPr>
          <w:t>*4.6Deposit Agreement relating to 7.750% Series B Cumulative Redeemable Preferred Stock, dated May 8, 2014, among</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American Capital Agency Corp., Computershare Inc. and Computershare Trust Company, N.A., jointly as depositary, incorporated herein</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by reference to Exhibit 4.2 of Form 8-K (File No. 001-34057), filed May 8, 2014.</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37">
        <w:r>
          <w:rPr>
            <w:rFonts w:ascii="Arial" w:cs="Arial" w:eastAsia="Arial" w:hAnsi="Arial"/>
            <w:sz w:val="18"/>
            <w:szCs w:val="18"/>
            <w:color w:val="auto"/>
          </w:rPr>
          <w:t>*4.7 Form of Depositary Receipt representing 1/1,000th of a share of 7.750% Series B Cumulative Redeemable Preferred Stock</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(included as part of Exhibit 4.6), incorporated herein by reference to Exhibit A of Exhibit 4.2 of Form 8-K (File No. 001-34057), filed May</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8, 2014.</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38">
        <w:r>
          <w:rPr>
            <w:rFonts w:ascii="Arial" w:cs="Arial" w:eastAsia="Arial" w:hAnsi="Arial"/>
            <w:sz w:val="18"/>
            <w:szCs w:val="18"/>
            <w:color w:val="auto"/>
          </w:rPr>
          <w:t>*4.8Deposit Agreement relating to 7.00% Series C Fixed-to-Floating Rate Cumulative Redeemable Preferred Stock, dated August</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22, 2017, among AGNC Investment Corp., Computershare Inc. and Computershare Trust Company, N.A., jointly as depositary,</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incorporated herein by reference to Exhibit 4.2 of Form 8-K (File No. 001-34057) filed August 22, 2017.</w:t>
        </w:r>
      </w:hyperlink>
    </w:p>
    <w:p>
      <w:pPr>
        <w:spacing w:after="0" w:line="127" w:lineRule="exact"/>
        <w:rPr>
          <w:rFonts w:ascii="Arial" w:cs="Arial" w:eastAsia="Arial" w:hAnsi="Arial"/>
          <w:sz w:val="18"/>
          <w:szCs w:val="18"/>
          <w:color w:val="auto"/>
        </w:rPr>
      </w:pPr>
    </w:p>
    <w:p>
      <w:pPr>
        <w:jc w:val="both"/>
        <w:ind w:left="1300" w:right="20" w:firstLine="648"/>
        <w:spacing w:after="0" w:line="264" w:lineRule="auto"/>
        <w:rPr>
          <w:rFonts w:ascii="Arial" w:cs="Arial" w:eastAsia="Arial" w:hAnsi="Arial"/>
          <w:sz w:val="18"/>
          <w:szCs w:val="18"/>
          <w:color w:val="auto"/>
        </w:rPr>
      </w:pPr>
      <w:hyperlink r:id="rId38">
        <w:r>
          <w:rPr>
            <w:rFonts w:ascii="Arial" w:cs="Arial" w:eastAsia="Arial" w:hAnsi="Arial"/>
            <w:sz w:val="18"/>
            <w:szCs w:val="18"/>
            <w:color w:val="auto"/>
          </w:rPr>
          <w:t>*4.9 Form of Depositary Receipt representing 1/1,000th of a share of 7.00% Series C Fixed-to-Floating Rate Cumulative</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Redeemable Preferred Stock (included as part of Exhibit 4.8), incorporated herein by reference to Exhibit A of Exhibit 4.2 of Form 8-K</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(File No. 001-34057) filed August 22, 2017.</w:t>
        </w:r>
      </w:hyperlink>
    </w:p>
    <w:p>
      <w:pPr>
        <w:spacing w:after="0" w:line="127" w:lineRule="exact"/>
        <w:rPr>
          <w:rFonts w:ascii="Arial" w:cs="Arial" w:eastAsia="Arial" w:hAnsi="Arial"/>
          <w:sz w:val="18"/>
          <w:szCs w:val="18"/>
          <w:color w:val="auto"/>
        </w:rPr>
      </w:pPr>
    </w:p>
    <w:p>
      <w:pPr>
        <w:ind w:left="1960" w:right="2400" w:hanging="7"/>
        <w:spacing w:after="0" w:line="493" w:lineRule="auto"/>
        <w:tabs>
          <w:tab w:leader="none" w:pos="2320" w:val="left"/>
        </w:tabs>
        <w:numPr>
          <w:ilvl w:val="0"/>
          <w:numId w:val="35"/>
        </w:numPr>
        <w:rPr>
          <w:rFonts w:ascii="Arial" w:cs="Arial" w:eastAsia="Arial" w:hAnsi="Arial"/>
          <w:sz w:val="16"/>
          <w:szCs w:val="16"/>
          <w:color w:val="auto"/>
        </w:rPr>
      </w:pPr>
      <w:hyperlink w:anchor="page53">
        <w:r>
          <w:rPr>
            <w:rFonts w:ascii="Arial" w:cs="Arial" w:eastAsia="Arial" w:hAnsi="Arial"/>
            <w:sz w:val="16"/>
            <w:szCs w:val="16"/>
            <w:color w:val="auto"/>
          </w:rPr>
          <w:t>AGNC Investment Corp. Code of Ethics and Conduct, adopted July 19, 2018, filed herewith.</w:t>
        </w:r>
      </w:hyperlink>
      <w:r>
        <w:rPr>
          <w:rFonts w:ascii="Arial" w:cs="Arial" w:eastAsia="Arial" w:hAnsi="Arial"/>
          <w:sz w:val="16"/>
          <w:szCs w:val="16"/>
          <w:color w:val="auto"/>
        </w:rPr>
        <w:t xml:space="preserve"> </w:t>
      </w:r>
      <w:hyperlink w:anchor="page64">
        <w:r>
          <w:rPr>
            <w:rFonts w:ascii="Arial" w:cs="Arial" w:eastAsia="Arial" w:hAnsi="Arial"/>
            <w:sz w:val="16"/>
            <w:szCs w:val="16"/>
            <w:color w:val="auto"/>
          </w:rPr>
          <w:t>31.1 Certification of CEO Pursuant to Section 302(a) of the Sarbanes-Oxley Act of 2002.</w:t>
        </w:r>
      </w:hyperlink>
    </w:p>
    <w:p>
      <w:pPr>
        <w:ind w:left="1960"/>
        <w:spacing w:after="0"/>
        <w:rPr>
          <w:rFonts w:ascii="Arial" w:cs="Arial" w:eastAsia="Arial" w:hAnsi="Arial"/>
          <w:sz w:val="18"/>
          <w:szCs w:val="18"/>
          <w:color w:val="auto"/>
        </w:rPr>
      </w:pPr>
      <w:hyperlink w:anchor="page65">
        <w:r>
          <w:rPr>
            <w:rFonts w:ascii="Arial" w:cs="Arial" w:eastAsia="Arial" w:hAnsi="Arial"/>
            <w:sz w:val="18"/>
            <w:szCs w:val="18"/>
            <w:color w:val="auto"/>
          </w:rPr>
          <w:t>31.2  Certification of CFO Pursuant to Section 302(a) of the Sarbanes-Oxley Act of 2002.</w:t>
        </w:r>
      </w:hyperlink>
    </w:p>
    <w:p>
      <w:pPr>
        <w:spacing w:after="0" w:line="25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2" w:right="239" w:bottom="1440" w:gutter="0" w:footer="0" w:header="0"/>
        </w:sectPr>
      </w:pPr>
    </w:p>
    <w:bookmarkStart w:id="50" w:name="page51"/>
    <w:bookmarkEnd w:id="50"/>
    <w:p>
      <w:pPr>
        <w:ind w:left="1960"/>
        <w:spacing w:after="0"/>
        <w:tabs>
          <w:tab w:leader="none" w:pos="2300" w:val="left"/>
        </w:tabs>
        <w:rPr>
          <w:rFonts w:ascii="Arial" w:cs="Arial" w:eastAsia="Arial" w:hAnsi="Arial"/>
          <w:sz w:val="18"/>
          <w:szCs w:val="18"/>
          <w:color w:val="auto"/>
        </w:rPr>
      </w:pPr>
      <w:r>
        <w:rPr>
          <w:rFonts w:ascii="Arial" w:cs="Arial" w:eastAsia="Arial" w:hAnsi="Arial"/>
          <w:sz w:val="18"/>
          <w:szCs w:val="18"/>
          <w:color w:val="auto"/>
        </w:rPr>
        <w:t>32</w:t>
        <w:tab/>
      </w:r>
      <w:hyperlink w:anchor="page66">
        <w:r>
          <w:rPr>
            <w:rFonts w:ascii="Arial" w:cs="Arial" w:eastAsia="Arial" w:hAnsi="Arial"/>
            <w:sz w:val="18"/>
            <w:szCs w:val="18"/>
            <w:color w:val="auto"/>
          </w:rPr>
          <w:t>Certification of CEO and CFO Pursuant to Section 906 of the Sarbanes-Oxley Act of 2002.</w:t>
        </w:r>
      </w:hyperlink>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XBRL Taxonomy Extension Labels Linkbase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tab/>
        <w:t>Previously filed</w:t>
      </w:r>
    </w:p>
    <w:p>
      <w:pPr>
        <w:spacing w:after="0" w:line="7" w:lineRule="exact"/>
        <w:rPr>
          <w:sz w:val="20"/>
          <w:szCs w:val="20"/>
          <w:color w:val="auto"/>
        </w:rPr>
      </w:pPr>
    </w:p>
    <w:p>
      <w:pPr>
        <w:ind w:left="660" w:hanging="652"/>
        <w:spacing w:after="0" w:line="26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83" w:lineRule="exact"/>
        <w:rPr>
          <w:rFonts w:ascii="Arial" w:cs="Arial" w:eastAsia="Arial" w:hAnsi="Arial"/>
          <w:sz w:val="18"/>
          <w:szCs w:val="18"/>
          <w:color w:val="auto"/>
        </w:rPr>
      </w:pPr>
    </w:p>
    <w:p>
      <w:pPr>
        <w:ind w:left="880" w:hanging="467"/>
        <w:spacing w:after="0"/>
        <w:tabs>
          <w:tab w:leader="none" w:pos="8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380" w:hanging="467"/>
        <w:spacing w:after="0" w:line="277" w:lineRule="auto"/>
        <w:tabs>
          <w:tab w:leader="none" w:pos="8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746" w:right="47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060" w:val="left"/>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D. Kain</w:t>
      </w:r>
    </w:p>
    <w:p>
      <w:pPr>
        <w:jc w:val="center"/>
        <w:ind w:left="6140"/>
        <w:spacing w:after="0" w:line="226" w:lineRule="auto"/>
        <w:rPr>
          <w:sz w:val="20"/>
          <w:szCs w:val="20"/>
          <w:color w:val="auto"/>
        </w:rPr>
      </w:pPr>
      <w:r>
        <w:rPr>
          <w:rFonts w:ascii="Arial" w:cs="Arial" w:eastAsia="Arial" w:hAnsi="Arial"/>
          <w:sz w:val="14"/>
          <w:szCs w:val="14"/>
          <w:b w:val="1"/>
          <w:bCs w:val="1"/>
          <w:color w:val="auto"/>
        </w:rPr>
        <w:t>Chief Executive Officer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6, 2018</w:t>
      </w:r>
    </w:p>
    <w:p>
      <w:pPr>
        <w:spacing w:after="0" w:line="387"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tab/>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Bernice E. Bell</w:t>
      </w:r>
    </w:p>
    <w:p>
      <w:pPr>
        <w:jc w:val="center"/>
        <w:ind w:left="6180"/>
        <w:spacing w:after="0" w:line="226"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(Principal Financial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580" w:right="279" w:bottom="1440" w:gutter="0" w:footer="0" w:header="0"/>
        </w:sectPr>
      </w:pPr>
    </w:p>
    <w:bookmarkStart w:id="52" w:name="page53"/>
    <w:bookmarkEnd w:id="52"/>
    <w:p>
      <w:pPr>
        <w:ind w:left="10620"/>
        <w:spacing w:after="0"/>
        <w:rPr>
          <w:sz w:val="20"/>
          <w:szCs w:val="20"/>
          <w:color w:val="auto"/>
        </w:rPr>
      </w:pPr>
      <w:r>
        <w:rPr>
          <w:rFonts w:ascii="Arial" w:cs="Arial" w:eastAsia="Arial" w:hAnsi="Arial"/>
          <w:sz w:val="16"/>
          <w:szCs w:val="16"/>
          <w:b w:val="1"/>
          <w:bCs w:val="1"/>
          <w:color w:val="auto"/>
        </w:rPr>
        <w:t>Exhibit 14</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AGNC INVESTMENT CORP. CODE OF ETHICS AND CONDUCT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Adopted: July 19, 2018</w:t>
      </w:r>
    </w:p>
    <w:p>
      <w:pPr>
        <w:spacing w:after="0" w:line="216"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20"/>
          <w:szCs w:val="20"/>
          <w:b w:val="1"/>
          <w:bCs w:val="1"/>
          <w:color w:val="auto"/>
        </w:rPr>
        <w:t>INTRODUCTION</w:t>
      </w:r>
    </w:p>
    <w:p>
      <w:pPr>
        <w:spacing w:after="0" w:line="21" w:lineRule="exact"/>
        <w:rPr>
          <w:rFonts w:ascii="Arial" w:cs="Arial" w:eastAsia="Arial" w:hAnsi="Arial"/>
          <w:sz w:val="18"/>
          <w:szCs w:val="18"/>
          <w:color w:val="auto"/>
        </w:rPr>
      </w:pPr>
    </w:p>
    <w:p>
      <w:pPr>
        <w:jc w:val="both"/>
        <w:ind w:left="660"/>
        <w:spacing w:after="0" w:line="241" w:lineRule="auto"/>
        <w:rPr>
          <w:rFonts w:ascii="Arial" w:cs="Arial" w:eastAsia="Arial" w:hAnsi="Arial"/>
          <w:sz w:val="18"/>
          <w:szCs w:val="18"/>
          <w:color w:val="auto"/>
        </w:rPr>
      </w:pPr>
      <w:r>
        <w:rPr>
          <w:rFonts w:ascii="Arial" w:cs="Arial" w:eastAsia="Arial" w:hAnsi="Arial"/>
          <w:sz w:val="20"/>
          <w:szCs w:val="20"/>
          <w:color w:val="auto"/>
        </w:rPr>
        <w:t>AGNC Investment Corp. (“AGNC”) has adopted this Code of Ethics and Conduct to communicate to all AGNC people the ethical and legal standards that we expect you to observe when dealing with AGNC, your AGNC colleagues, and others with whom we do business.</w:t>
      </w:r>
    </w:p>
    <w:p>
      <w:pPr>
        <w:spacing w:after="0" w:line="196"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9"/>
          <w:szCs w:val="19"/>
          <w:color w:val="auto"/>
        </w:rPr>
        <w:t>Throughout this Code, we use the terms “AGNC people,” “you” and “your” to refer to all of AGNC’s and its subsidiaries’ directors, executive officers, employees and independent contractors, and the terms “AGNC,” the “company,” “we” and “our” to refer to AGNC and its subsidiaries. We use the term “Code” to refer to this document, as it may be amended from time to time.</w:t>
      </w:r>
    </w:p>
    <w:p>
      <w:pPr>
        <w:spacing w:after="0" w:line="170" w:lineRule="exact"/>
        <w:rPr>
          <w:rFonts w:ascii="Arial" w:cs="Arial" w:eastAsia="Arial" w:hAnsi="Arial"/>
          <w:sz w:val="18"/>
          <w:szCs w:val="18"/>
          <w:color w:val="auto"/>
        </w:rPr>
      </w:pPr>
    </w:p>
    <w:p>
      <w:pPr>
        <w:jc w:val="both"/>
        <w:ind w:left="660" w:right="20"/>
        <w:spacing w:after="0" w:line="246" w:lineRule="auto"/>
        <w:rPr>
          <w:rFonts w:ascii="Arial" w:cs="Arial" w:eastAsia="Arial" w:hAnsi="Arial"/>
          <w:sz w:val="18"/>
          <w:szCs w:val="18"/>
          <w:color w:val="auto"/>
        </w:rPr>
      </w:pPr>
      <w:r>
        <w:rPr>
          <w:rFonts w:ascii="Arial" w:cs="Arial" w:eastAsia="Arial" w:hAnsi="Arial"/>
          <w:sz w:val="20"/>
          <w:szCs w:val="20"/>
          <w:color w:val="auto"/>
        </w:rPr>
        <w:t>We expect all AGNC people to act ethically and obey the law. When you encounter ethical or legal issues where you are not certain about the correct course of action, you should use principles described in this Code as guideposts in deciding how to proceed. We have adopted this Code to give you guidance for resolving these ethical and legal issues. In particular, this Code addresses the following general topics:</w:t>
      </w:r>
    </w:p>
    <w:p>
      <w:pPr>
        <w:spacing w:after="0" w:line="205" w:lineRule="exact"/>
        <w:rPr>
          <w:rFonts w:ascii="Arial" w:cs="Arial" w:eastAsia="Arial" w:hAnsi="Arial"/>
          <w:sz w:val="18"/>
          <w:szCs w:val="18"/>
          <w:color w:val="auto"/>
        </w:rPr>
      </w:pPr>
    </w:p>
    <w:p>
      <w:pPr>
        <w:ind w:left="2020" w:hanging="715"/>
        <w:spacing w:after="0"/>
        <w:tabs>
          <w:tab w:leader="none" w:pos="2020" w:val="left"/>
        </w:tabs>
        <w:numPr>
          <w:ilvl w:val="1"/>
          <w:numId w:val="37"/>
        </w:numPr>
        <w:rPr>
          <w:rFonts w:ascii="Arial" w:cs="Arial" w:eastAsia="Arial" w:hAnsi="Arial"/>
          <w:sz w:val="18"/>
          <w:szCs w:val="18"/>
          <w:color w:val="auto"/>
        </w:rPr>
      </w:pPr>
      <w:r>
        <w:rPr>
          <w:rFonts w:ascii="Arial" w:cs="Arial" w:eastAsia="Arial" w:hAnsi="Arial"/>
          <w:sz w:val="20"/>
          <w:szCs w:val="20"/>
          <w:color w:val="auto"/>
        </w:rPr>
        <w:t>Observing all laws and regulations</w:t>
      </w:r>
    </w:p>
    <w:p>
      <w:pPr>
        <w:spacing w:after="0" w:line="26" w:lineRule="exact"/>
        <w:rPr>
          <w:rFonts w:ascii="Arial" w:cs="Arial" w:eastAsia="Arial" w:hAnsi="Arial"/>
          <w:sz w:val="18"/>
          <w:szCs w:val="18"/>
          <w:color w:val="auto"/>
        </w:rPr>
      </w:pPr>
    </w:p>
    <w:p>
      <w:pPr>
        <w:ind w:left="2020" w:hanging="715"/>
        <w:spacing w:after="0"/>
        <w:tabs>
          <w:tab w:leader="none" w:pos="2020" w:val="left"/>
        </w:tabs>
        <w:numPr>
          <w:ilvl w:val="1"/>
          <w:numId w:val="37"/>
        </w:numPr>
        <w:rPr>
          <w:rFonts w:ascii="Arial" w:cs="Arial" w:eastAsia="Arial" w:hAnsi="Arial"/>
          <w:sz w:val="18"/>
          <w:szCs w:val="18"/>
          <w:color w:val="auto"/>
        </w:rPr>
      </w:pPr>
      <w:r>
        <w:rPr>
          <w:rFonts w:ascii="Arial" w:cs="Arial" w:eastAsia="Arial" w:hAnsi="Arial"/>
          <w:sz w:val="20"/>
          <w:szCs w:val="20"/>
          <w:color w:val="auto"/>
        </w:rPr>
        <w:t>Avoiding conflicts of interest</w:t>
      </w:r>
    </w:p>
    <w:p>
      <w:pPr>
        <w:spacing w:after="0" w:line="26" w:lineRule="exact"/>
        <w:rPr>
          <w:rFonts w:ascii="Arial" w:cs="Arial" w:eastAsia="Arial" w:hAnsi="Arial"/>
          <w:sz w:val="18"/>
          <w:szCs w:val="18"/>
          <w:color w:val="auto"/>
        </w:rPr>
      </w:pPr>
    </w:p>
    <w:p>
      <w:pPr>
        <w:ind w:left="2020" w:hanging="715"/>
        <w:spacing w:after="0"/>
        <w:tabs>
          <w:tab w:leader="none" w:pos="2020" w:val="left"/>
        </w:tabs>
        <w:numPr>
          <w:ilvl w:val="1"/>
          <w:numId w:val="37"/>
        </w:numPr>
        <w:rPr>
          <w:rFonts w:ascii="Arial" w:cs="Arial" w:eastAsia="Arial" w:hAnsi="Arial"/>
          <w:sz w:val="18"/>
          <w:szCs w:val="18"/>
          <w:color w:val="auto"/>
        </w:rPr>
      </w:pPr>
      <w:r>
        <w:rPr>
          <w:rFonts w:ascii="Arial" w:cs="Arial" w:eastAsia="Arial" w:hAnsi="Arial"/>
          <w:sz w:val="20"/>
          <w:szCs w:val="20"/>
          <w:color w:val="auto"/>
        </w:rPr>
        <w:t>Maintaining accurate and complete company records</w:t>
      </w:r>
    </w:p>
    <w:p>
      <w:pPr>
        <w:spacing w:after="0" w:line="26" w:lineRule="exact"/>
        <w:rPr>
          <w:rFonts w:ascii="Arial" w:cs="Arial" w:eastAsia="Arial" w:hAnsi="Arial"/>
          <w:sz w:val="18"/>
          <w:szCs w:val="18"/>
          <w:color w:val="auto"/>
        </w:rPr>
      </w:pPr>
    </w:p>
    <w:p>
      <w:pPr>
        <w:ind w:left="2020" w:hanging="715"/>
        <w:spacing w:after="0"/>
        <w:tabs>
          <w:tab w:leader="none" w:pos="2020" w:val="left"/>
        </w:tabs>
        <w:numPr>
          <w:ilvl w:val="1"/>
          <w:numId w:val="37"/>
        </w:numPr>
        <w:rPr>
          <w:rFonts w:ascii="Arial" w:cs="Arial" w:eastAsia="Arial" w:hAnsi="Arial"/>
          <w:sz w:val="18"/>
          <w:szCs w:val="18"/>
          <w:color w:val="auto"/>
        </w:rPr>
      </w:pPr>
      <w:r>
        <w:rPr>
          <w:rFonts w:ascii="Arial" w:cs="Arial" w:eastAsia="Arial" w:hAnsi="Arial"/>
          <w:sz w:val="20"/>
          <w:szCs w:val="20"/>
          <w:color w:val="auto"/>
        </w:rPr>
        <w:t>Protecting confidential information</w:t>
      </w:r>
    </w:p>
    <w:p>
      <w:pPr>
        <w:spacing w:after="0" w:line="20"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Because rapid changes in our industry and in the law constantly present new issues, we cannot create guidelines that address all circumstances or constitute the definitive answer on any question. When you are in doubt about the correct or best course of action, or have questions about the Code, you should always consider consulting your supervisor, the Chief Compliance Officer of the company (the “Chief Compliance Officer”) or the Legal team for guidance.</w:t>
      </w:r>
    </w:p>
    <w:p>
      <w:pPr>
        <w:spacing w:after="0" w:line="19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We firmly believe that a strong commitment to ethical and legal conduct is essential for us successfully to achieve our purpose and vision. We therefore require all AGNC people to comply with this Code. To help ensure this compliance, we have established a procedure for reporting suspected violations of this Code. Any violations of this Code may result in disciplinary action, including termination of employment or contract, as applicable. These matters are described in more detail at the end of this Code.</w:t>
      </w:r>
    </w:p>
    <w:p>
      <w:pPr>
        <w:spacing w:after="0" w:line="15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20"/>
          <w:szCs w:val="20"/>
          <w:b w:val="1"/>
          <w:bCs w:val="1"/>
          <w:color w:val="auto"/>
        </w:rPr>
        <w:t>OBSERVING ALL LAWS, RULES AND REGULATIONS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20"/>
          <w:szCs w:val="20"/>
          <w:b w:val="1"/>
          <w:bCs w:val="1"/>
          <w:color w:val="auto"/>
        </w:rPr>
        <w:t>GENERALLY</w:t>
      </w:r>
    </w:p>
    <w:p>
      <w:pPr>
        <w:jc w:val="both"/>
        <w:ind w:left="1300"/>
        <w:spacing w:after="0" w:line="282" w:lineRule="auto"/>
        <w:rPr>
          <w:rFonts w:ascii="Arial" w:cs="Arial" w:eastAsia="Arial" w:hAnsi="Arial"/>
          <w:sz w:val="18"/>
          <w:szCs w:val="18"/>
          <w:color w:val="auto"/>
        </w:rPr>
      </w:pPr>
      <w:r>
        <w:rPr>
          <w:rFonts w:ascii="Arial" w:cs="Arial" w:eastAsia="Arial" w:hAnsi="Arial"/>
          <w:sz w:val="18"/>
          <w:szCs w:val="18"/>
          <w:color w:val="auto"/>
        </w:rPr>
        <w:t>We expect you to comply with all applicable local, state and federal laws, rules and regulations, both domestic and international, and refrain from illegal, dishonest or unethical conduct. Although laws, rules and regulations may sometimes be ambiguous and difficult to interpret, we expect you to make a good-faith effort to follow both the letter and the spirit of the law.</w:t>
      </w:r>
    </w:p>
    <w:p>
      <w:pPr>
        <w:spacing w:after="0" w:line="159" w:lineRule="exact"/>
        <w:rPr>
          <w:rFonts w:ascii="Arial" w:cs="Arial" w:eastAsia="Arial" w:hAnsi="Arial"/>
          <w:sz w:val="18"/>
          <w:szCs w:val="18"/>
          <w:color w:val="auto"/>
        </w:rPr>
      </w:pPr>
    </w:p>
    <w:p>
      <w:pPr>
        <w:jc w:val="both"/>
        <w:ind w:left="1300"/>
        <w:spacing w:after="0" w:line="258" w:lineRule="auto"/>
        <w:rPr>
          <w:rFonts w:ascii="Arial" w:cs="Arial" w:eastAsia="Arial" w:hAnsi="Arial"/>
          <w:sz w:val="18"/>
          <w:szCs w:val="18"/>
          <w:color w:val="auto"/>
        </w:rPr>
      </w:pPr>
      <w:r>
        <w:rPr>
          <w:rFonts w:ascii="Arial" w:cs="Arial" w:eastAsia="Arial" w:hAnsi="Arial"/>
          <w:sz w:val="19"/>
          <w:szCs w:val="19"/>
          <w:color w:val="auto"/>
        </w:rPr>
        <w:t>In addition, we expect you to comply with all AGNC policies and procedures that apply to you. These include, but are not limited to, our policies on securities trading, political contributions, equal opportunity, harassment, drug-free workplace, computer usage and information technology, data protection and expense reimbursement and travel, as well as our internal financial controls and procedures. We may modify or update these policies and procedures in the future, and adopt new company policies and procedures from time to time. You are also expected to observe the terms of any confidentiality agreement, employment agreement, consulting agreement or other similar agreement that applies to you. If you previously signed one of these agreements with AGNC, it remains in full force and effect.</w:t>
      </w:r>
    </w:p>
    <w:p>
      <w:pPr>
        <w:spacing w:after="0" w:line="173" w:lineRule="exact"/>
        <w:rPr>
          <w:rFonts w:ascii="Arial" w:cs="Arial" w:eastAsia="Arial" w:hAnsi="Arial"/>
          <w:sz w:val="18"/>
          <w:szCs w:val="18"/>
          <w:color w:val="auto"/>
        </w:rPr>
      </w:pPr>
    </w:p>
    <w:p>
      <w:pPr>
        <w:ind w:left="1300" w:hanging="644"/>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20"/>
          <w:szCs w:val="20"/>
          <w:b w:val="1"/>
          <w:bCs w:val="1"/>
          <w:color w:val="auto"/>
        </w:rPr>
        <w:t>BRIBES AND KICKBACKS</w:t>
      </w:r>
    </w:p>
    <w:p>
      <w:pPr>
        <w:sectPr>
          <w:pgSz w:w="11900" w:h="16838" w:orient="portrait"/>
          <w:cols w:equalWidth="0" w:num="1">
            <w:col w:w="11420"/>
          </w:cols>
          <w:pgMar w:left="240" w:top="580" w:right="239" w:bottom="1440" w:gutter="0" w:footer="0" w:header="0"/>
        </w:sectPr>
      </w:pPr>
    </w:p>
    <w:bookmarkStart w:id="53" w:name="page54"/>
    <w:bookmarkEnd w:id="53"/>
    <w:p>
      <w:pPr>
        <w:jc w:val="both"/>
        <w:ind w:left="644"/>
        <w:spacing w:after="0" w:line="278" w:lineRule="auto"/>
        <w:rPr>
          <w:sz w:val="20"/>
          <w:szCs w:val="20"/>
          <w:color w:val="auto"/>
        </w:rPr>
      </w:pPr>
      <w:r>
        <w:rPr>
          <w:rFonts w:ascii="Arial" w:cs="Arial" w:eastAsia="Arial" w:hAnsi="Arial"/>
          <w:sz w:val="18"/>
          <w:szCs w:val="18"/>
          <w:color w:val="auto"/>
        </w:rPr>
        <w:t>Bribery is illegal and subject to criminal penalties in the United States and many other countries. Bribery is forbidden under the U.S. Foreign Corrupt Practices Act (the “FCPA”), which is described in more detail in Section B.3 of this Code, and other laws, rules and regulations. You may not give any bribes, kickbacks or other similar considerations to any person or organization to attract business. All decisions regarding the investing of our assets or the purchasing of goods and services must be made on the basis of applicable investment or acquisition criteria, and in a way that preserves AGNC’s integrity.</w:t>
      </w:r>
    </w:p>
    <w:p>
      <w:pPr>
        <w:spacing w:after="0" w:line="165" w:lineRule="exact"/>
        <w:rPr>
          <w:sz w:val="20"/>
          <w:szCs w:val="20"/>
          <w:color w:val="auto"/>
        </w:rPr>
      </w:pPr>
    </w:p>
    <w:p>
      <w:pPr>
        <w:jc w:val="both"/>
        <w:ind w:left="644"/>
        <w:spacing w:after="0" w:line="246" w:lineRule="auto"/>
        <w:rPr>
          <w:sz w:val="20"/>
          <w:szCs w:val="20"/>
          <w:color w:val="auto"/>
        </w:rPr>
      </w:pPr>
      <w:r>
        <w:rPr>
          <w:rFonts w:ascii="Arial" w:cs="Arial" w:eastAsia="Arial" w:hAnsi="Arial"/>
          <w:sz w:val="20"/>
          <w:szCs w:val="20"/>
          <w:color w:val="auto"/>
        </w:rPr>
        <w:t>Fees, commissions or other amounts paid to outside consultants, agents or other third parties must be fully disclosed in our investment process or otherwise to our Chief Compliance Officer and must be legal, proper and reasonable in relation to customary commercial practice. Payments to these persons should never be used to accomplish indirectly what AGNC could not properly or legally do directly.</w:t>
      </w:r>
    </w:p>
    <w:p>
      <w:pPr>
        <w:spacing w:after="0" w:line="192" w:lineRule="exact"/>
        <w:rPr>
          <w:sz w:val="20"/>
          <w:szCs w:val="20"/>
          <w:color w:val="auto"/>
        </w:rPr>
      </w:pPr>
    </w:p>
    <w:p>
      <w:pPr>
        <w:jc w:val="both"/>
        <w:ind w:left="644"/>
        <w:spacing w:after="0" w:line="250" w:lineRule="auto"/>
        <w:rPr>
          <w:sz w:val="20"/>
          <w:szCs w:val="20"/>
          <w:color w:val="auto"/>
        </w:rPr>
      </w:pPr>
      <w:r>
        <w:rPr>
          <w:rFonts w:ascii="Arial" w:cs="Arial" w:eastAsia="Arial" w:hAnsi="Arial"/>
          <w:sz w:val="20"/>
          <w:szCs w:val="20"/>
          <w:color w:val="auto"/>
        </w:rPr>
        <w:t>You should also be familiar with, and observe, the provisions of Section C.3 of this Code relating to Gifts, Gratuities and Entertainment, because the giving or receiving of such items could constitute an illegal bribe or kickback under certain circumstances.</w:t>
      </w:r>
    </w:p>
    <w:p>
      <w:pPr>
        <w:spacing w:after="0" w:line="180" w:lineRule="exact"/>
        <w:rPr>
          <w:sz w:val="20"/>
          <w:szCs w:val="20"/>
          <w:color w:val="auto"/>
        </w:rPr>
      </w:pPr>
    </w:p>
    <w:p>
      <w:pPr>
        <w:ind w:left="644" w:hanging="644"/>
        <w:spacing w:after="0"/>
        <w:tabs>
          <w:tab w:leader="none" w:pos="644" w:val="left"/>
        </w:tabs>
        <w:numPr>
          <w:ilvl w:val="0"/>
          <w:numId w:val="39"/>
        </w:numPr>
        <w:rPr>
          <w:rFonts w:ascii="Arial" w:cs="Arial" w:eastAsia="Arial" w:hAnsi="Arial"/>
          <w:sz w:val="18"/>
          <w:szCs w:val="18"/>
          <w:color w:val="auto"/>
        </w:rPr>
      </w:pPr>
      <w:r>
        <w:rPr>
          <w:rFonts w:ascii="Arial" w:cs="Arial" w:eastAsia="Arial" w:hAnsi="Arial"/>
          <w:sz w:val="20"/>
          <w:szCs w:val="20"/>
          <w:b w:val="1"/>
          <w:bCs w:val="1"/>
          <w:color w:val="auto"/>
        </w:rPr>
        <w:t>INTERNATIONAL ISSUES</w:t>
      </w:r>
    </w:p>
    <w:p>
      <w:pPr>
        <w:spacing w:after="0" w:line="21" w:lineRule="exact"/>
        <w:rPr>
          <w:rFonts w:ascii="Arial" w:cs="Arial" w:eastAsia="Arial" w:hAnsi="Arial"/>
          <w:sz w:val="18"/>
          <w:szCs w:val="18"/>
          <w:color w:val="auto"/>
        </w:rPr>
      </w:pPr>
    </w:p>
    <w:p>
      <w:pPr>
        <w:ind w:left="644" w:right="20"/>
        <w:spacing w:after="0" w:line="244" w:lineRule="auto"/>
        <w:rPr>
          <w:rFonts w:ascii="Arial" w:cs="Arial" w:eastAsia="Arial" w:hAnsi="Arial"/>
          <w:sz w:val="18"/>
          <w:szCs w:val="18"/>
          <w:color w:val="auto"/>
        </w:rPr>
      </w:pPr>
      <w:r>
        <w:rPr>
          <w:rFonts w:ascii="Arial" w:cs="Arial" w:eastAsia="Arial" w:hAnsi="Arial"/>
          <w:sz w:val="20"/>
          <w:szCs w:val="20"/>
          <w:color w:val="auto"/>
        </w:rPr>
        <w:t>You are expected to comply with the legal requirements and ethical standards of each country in which you conduct AGNC business, as well as with all U.S. laws applicable in other countries.</w:t>
      </w:r>
    </w:p>
    <w:p>
      <w:pPr>
        <w:spacing w:after="0" w:line="191" w:lineRule="exact"/>
        <w:rPr>
          <w:rFonts w:ascii="Arial" w:cs="Arial" w:eastAsia="Arial" w:hAnsi="Arial"/>
          <w:sz w:val="18"/>
          <w:szCs w:val="18"/>
          <w:color w:val="auto"/>
        </w:rPr>
      </w:pPr>
    </w:p>
    <w:p>
      <w:pPr>
        <w:jc w:val="both"/>
        <w:ind w:left="644"/>
        <w:spacing w:after="0" w:line="274" w:lineRule="auto"/>
        <w:rPr>
          <w:rFonts w:ascii="Arial" w:cs="Arial" w:eastAsia="Arial" w:hAnsi="Arial"/>
          <w:sz w:val="18"/>
          <w:szCs w:val="18"/>
          <w:color w:val="auto"/>
        </w:rPr>
      </w:pPr>
      <w:r>
        <w:rPr>
          <w:rFonts w:ascii="Arial" w:cs="Arial" w:eastAsia="Arial" w:hAnsi="Arial"/>
          <w:sz w:val="18"/>
          <w:szCs w:val="18"/>
          <w:color w:val="auto"/>
        </w:rPr>
        <w:t>The FCPA applies to business transactions both inside the United States and in other countries. Its requirements relate to accurate and complete financial books and records, transactions with foreign government officials and restrictions on the use of funds for unlawful or improper purposes. Because violation of the FCPA can bring severe penalties, including criminal fines for the company and individuals and jail terms, it is essential that you become familiar with the FCPA’s requirements if you are involved in investment transactions or other business in a foreign country. Other statutes that may affect our international investments include, but are not limited to, the Anti-Bribery and Fair Competition Act and the Export Administration Act. If you have any questions regarding these legal requirements, please contact a member of our Legal team.</w:t>
      </w:r>
    </w:p>
    <w:p>
      <w:pPr>
        <w:spacing w:after="0" w:line="200" w:lineRule="exact"/>
        <w:rPr>
          <w:rFonts w:ascii="Arial" w:cs="Arial" w:eastAsia="Arial" w:hAnsi="Arial"/>
          <w:sz w:val="18"/>
          <w:szCs w:val="18"/>
          <w:color w:val="auto"/>
        </w:rPr>
      </w:pPr>
    </w:p>
    <w:p>
      <w:pPr>
        <w:spacing w:after="0" w:line="395" w:lineRule="exact"/>
        <w:rPr>
          <w:rFonts w:ascii="Arial" w:cs="Arial" w:eastAsia="Arial" w:hAnsi="Arial"/>
          <w:sz w:val="18"/>
          <w:szCs w:val="18"/>
          <w:color w:val="auto"/>
        </w:rPr>
      </w:pPr>
    </w:p>
    <w:p>
      <w:pPr>
        <w:ind w:left="644" w:hanging="644"/>
        <w:spacing w:after="0"/>
        <w:tabs>
          <w:tab w:leader="none" w:pos="644" w:val="left"/>
        </w:tabs>
        <w:numPr>
          <w:ilvl w:val="0"/>
          <w:numId w:val="39"/>
        </w:numPr>
        <w:rPr>
          <w:rFonts w:ascii="Arial" w:cs="Arial" w:eastAsia="Arial" w:hAnsi="Arial"/>
          <w:sz w:val="18"/>
          <w:szCs w:val="18"/>
          <w:color w:val="auto"/>
        </w:rPr>
      </w:pPr>
      <w:r>
        <w:rPr>
          <w:rFonts w:ascii="Arial" w:cs="Arial" w:eastAsia="Arial" w:hAnsi="Arial"/>
          <w:sz w:val="20"/>
          <w:szCs w:val="20"/>
          <w:b w:val="1"/>
          <w:bCs w:val="1"/>
          <w:color w:val="auto"/>
        </w:rPr>
        <w:t>POLITICAL ACTIVITY</w:t>
      </w:r>
    </w:p>
    <w:p>
      <w:pPr>
        <w:spacing w:after="0" w:line="21" w:lineRule="exact"/>
        <w:rPr>
          <w:rFonts w:ascii="Arial" w:cs="Arial" w:eastAsia="Arial" w:hAnsi="Arial"/>
          <w:sz w:val="18"/>
          <w:szCs w:val="18"/>
          <w:color w:val="auto"/>
        </w:rPr>
      </w:pPr>
    </w:p>
    <w:p>
      <w:pPr>
        <w:jc w:val="both"/>
        <w:ind w:left="644"/>
        <w:spacing w:after="0" w:line="272" w:lineRule="auto"/>
        <w:rPr>
          <w:rFonts w:ascii="Arial" w:cs="Arial" w:eastAsia="Arial" w:hAnsi="Arial"/>
          <w:sz w:val="18"/>
          <w:szCs w:val="18"/>
          <w:color w:val="auto"/>
        </w:rPr>
      </w:pPr>
      <w:r>
        <w:rPr>
          <w:rFonts w:ascii="Arial" w:cs="Arial" w:eastAsia="Arial" w:hAnsi="Arial"/>
          <w:sz w:val="18"/>
          <w:szCs w:val="18"/>
          <w:color w:val="auto"/>
        </w:rPr>
        <w:t>We do not make contributions or payments that could be considered a contribution to political parties or candidates or to intermediary organizations such as political action committees. However, you are free to exercise your right to make personal political contributions within legal limits, except to the extent these contributions are otherwise prohibited or restricted by other AGNC policies. You should not make these contributions in a way that might appear to be an endorsement or contribution by AGNC. You should be certain that you understand, and are complying with, all such laws, rules and regulations before making any political contributions. We will not reimburse you for political contributions in any way.</w:t>
      </w:r>
    </w:p>
    <w:p>
      <w:pPr>
        <w:spacing w:after="0" w:line="164" w:lineRule="exact"/>
        <w:rPr>
          <w:rFonts w:ascii="Arial" w:cs="Arial" w:eastAsia="Arial" w:hAnsi="Arial"/>
          <w:sz w:val="18"/>
          <w:szCs w:val="18"/>
          <w:color w:val="auto"/>
        </w:rPr>
      </w:pPr>
    </w:p>
    <w:p>
      <w:pPr>
        <w:ind w:left="644" w:hanging="644"/>
        <w:spacing w:after="0"/>
        <w:tabs>
          <w:tab w:leader="none" w:pos="644" w:val="left"/>
        </w:tabs>
        <w:numPr>
          <w:ilvl w:val="0"/>
          <w:numId w:val="39"/>
        </w:numPr>
        <w:rPr>
          <w:rFonts w:ascii="Arial" w:cs="Arial" w:eastAsia="Arial" w:hAnsi="Arial"/>
          <w:sz w:val="18"/>
          <w:szCs w:val="18"/>
          <w:color w:val="auto"/>
        </w:rPr>
      </w:pPr>
      <w:r>
        <w:rPr>
          <w:rFonts w:ascii="Arial" w:cs="Arial" w:eastAsia="Arial" w:hAnsi="Arial"/>
          <w:sz w:val="20"/>
          <w:szCs w:val="20"/>
          <w:b w:val="1"/>
          <w:bCs w:val="1"/>
          <w:color w:val="auto"/>
        </w:rPr>
        <w:t>ANTITRUST</w:t>
      </w:r>
    </w:p>
    <w:p>
      <w:pPr>
        <w:spacing w:after="0" w:line="21" w:lineRule="exact"/>
        <w:rPr>
          <w:rFonts w:ascii="Arial" w:cs="Arial" w:eastAsia="Arial" w:hAnsi="Arial"/>
          <w:sz w:val="18"/>
          <w:szCs w:val="18"/>
          <w:color w:val="auto"/>
        </w:rPr>
      </w:pPr>
    </w:p>
    <w:p>
      <w:pPr>
        <w:jc w:val="both"/>
        <w:ind w:left="644"/>
        <w:spacing w:after="0"/>
        <w:rPr>
          <w:rFonts w:ascii="Arial" w:cs="Arial" w:eastAsia="Arial" w:hAnsi="Arial"/>
          <w:sz w:val="18"/>
          <w:szCs w:val="18"/>
          <w:color w:val="auto"/>
        </w:rPr>
      </w:pPr>
      <w:r>
        <w:rPr>
          <w:rFonts w:ascii="Arial" w:cs="Arial" w:eastAsia="Arial" w:hAnsi="Arial"/>
          <w:sz w:val="20"/>
          <w:szCs w:val="20"/>
          <w:color w:val="auto"/>
        </w:rPr>
        <w:t>Antitrust laws generally prohibit agreements or actions that restrain trade or reduce competition. The free enterprise system rests on the notion that free and open competition is the best way to ensure an adequate supply of products and services at reasonable prices. We expect you to adhere to both the spirit and the letter of the antitrust laws of the United States and with all applicable antitrust laws governing competition in any country in which AGNC does business. Violation of antitrust laws can result in severe civil and criminal penalties, including imprisonment for individuals, and AGNC can be subjected to substantial fines and damage awards.</w:t>
      </w:r>
    </w:p>
    <w:p>
      <w:pPr>
        <w:spacing w:after="0" w:line="191"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b w:val="1"/>
          <w:bCs w:val="1"/>
          <w:color w:val="auto"/>
        </w:rPr>
        <w:t>Agreements with Competitors</w:t>
      </w:r>
    </w:p>
    <w:p>
      <w:pPr>
        <w:sectPr>
          <w:pgSz w:w="11900" w:h="16838" w:orient="portrait"/>
          <w:cols w:equalWidth="0" w:num="1">
            <w:col w:w="10764"/>
          </w:cols>
          <w:pgMar w:left="896" w:top="582" w:right="239" w:bottom="1440" w:gutter="0" w:footer="0" w:header="0"/>
        </w:sectPr>
      </w:pPr>
    </w:p>
    <w:bookmarkStart w:id="54" w:name="page55"/>
    <w:bookmarkEnd w:id="54"/>
    <w:p>
      <w:pPr>
        <w:ind w:left="1304"/>
        <w:spacing w:after="0" w:line="260" w:lineRule="auto"/>
        <w:rPr>
          <w:sz w:val="20"/>
          <w:szCs w:val="20"/>
          <w:color w:val="auto"/>
        </w:rPr>
      </w:pPr>
      <w:r>
        <w:rPr>
          <w:rFonts w:ascii="Arial" w:cs="Arial" w:eastAsia="Arial" w:hAnsi="Arial"/>
          <w:sz w:val="20"/>
          <w:szCs w:val="20"/>
          <w:color w:val="auto"/>
        </w:rPr>
        <w:t>The following agreements, arrangements or understandings between AGNC and its competitors (whether oral or in writing) should be avoided:</w:t>
      </w:r>
    </w:p>
    <w:p>
      <w:pPr>
        <w:spacing w:after="0" w:line="177" w:lineRule="exact"/>
        <w:rPr>
          <w:sz w:val="20"/>
          <w:szCs w:val="20"/>
          <w:color w:val="auto"/>
        </w:rPr>
      </w:pPr>
    </w:p>
    <w:p>
      <w:pPr>
        <w:ind w:left="1624" w:hanging="327"/>
        <w:spacing w:after="0"/>
        <w:tabs>
          <w:tab w:leader="none" w:pos="1624" w:val="left"/>
        </w:tabs>
        <w:numPr>
          <w:ilvl w:val="0"/>
          <w:numId w:val="40"/>
        </w:numPr>
        <w:rPr>
          <w:rFonts w:ascii="Arial" w:cs="Arial" w:eastAsia="Arial" w:hAnsi="Arial"/>
          <w:sz w:val="16"/>
          <w:szCs w:val="16"/>
          <w:color w:val="auto"/>
        </w:rPr>
      </w:pPr>
      <w:r>
        <w:rPr>
          <w:rFonts w:ascii="Arial" w:cs="Arial" w:eastAsia="Arial" w:hAnsi="Arial"/>
          <w:sz w:val="18"/>
          <w:szCs w:val="18"/>
          <w:color w:val="auto"/>
        </w:rPr>
        <w:t>Agreements that affect the price or other terms or conditions of sale of products or the terms on which we invest;</w:t>
      </w:r>
    </w:p>
    <w:p>
      <w:pPr>
        <w:spacing w:after="0" w:line="38" w:lineRule="exact"/>
        <w:rPr>
          <w:rFonts w:ascii="Arial" w:cs="Arial" w:eastAsia="Arial" w:hAnsi="Arial"/>
          <w:sz w:val="16"/>
          <w:szCs w:val="16"/>
          <w:color w:val="auto"/>
        </w:rPr>
      </w:pPr>
    </w:p>
    <w:p>
      <w:pPr>
        <w:ind w:left="1624" w:right="120" w:hanging="327"/>
        <w:spacing w:after="0" w:line="239" w:lineRule="auto"/>
        <w:tabs>
          <w:tab w:leader="none" w:pos="1624" w:val="left"/>
        </w:tabs>
        <w:numPr>
          <w:ilvl w:val="0"/>
          <w:numId w:val="40"/>
        </w:numPr>
        <w:rPr>
          <w:rFonts w:ascii="Arial" w:cs="Arial" w:eastAsia="Arial" w:hAnsi="Arial"/>
          <w:sz w:val="18"/>
          <w:szCs w:val="18"/>
          <w:color w:val="auto"/>
        </w:rPr>
      </w:pPr>
      <w:r>
        <w:rPr>
          <w:rFonts w:ascii="Arial" w:cs="Arial" w:eastAsia="Arial" w:hAnsi="Arial"/>
          <w:sz w:val="20"/>
          <w:szCs w:val="20"/>
          <w:color w:val="auto"/>
        </w:rPr>
        <w:t>Agreements regarding the companies in which AGNC or its managed companies will, or will not, invest or sell or provide services;</w:t>
      </w:r>
    </w:p>
    <w:p>
      <w:pPr>
        <w:spacing w:after="0" w:line="1" w:lineRule="exact"/>
        <w:rPr>
          <w:rFonts w:ascii="Arial" w:cs="Arial" w:eastAsia="Arial" w:hAnsi="Arial"/>
          <w:sz w:val="18"/>
          <w:szCs w:val="18"/>
          <w:color w:val="auto"/>
        </w:rPr>
      </w:pPr>
    </w:p>
    <w:p>
      <w:pPr>
        <w:ind w:left="1624" w:hanging="327"/>
        <w:spacing w:after="0"/>
        <w:tabs>
          <w:tab w:leader="none" w:pos="1624" w:val="left"/>
        </w:tabs>
        <w:numPr>
          <w:ilvl w:val="0"/>
          <w:numId w:val="40"/>
        </w:numPr>
        <w:rPr>
          <w:rFonts w:ascii="Arial" w:cs="Arial" w:eastAsia="Arial" w:hAnsi="Arial"/>
          <w:sz w:val="15"/>
          <w:szCs w:val="15"/>
          <w:color w:val="auto"/>
        </w:rPr>
      </w:pPr>
      <w:r>
        <w:rPr>
          <w:rFonts w:ascii="Arial" w:cs="Arial" w:eastAsia="Arial" w:hAnsi="Arial"/>
          <w:sz w:val="16"/>
          <w:szCs w:val="16"/>
          <w:color w:val="auto"/>
        </w:rPr>
        <w:t>Agreements to refuse to invest in or sell to particular businesses or to refuse to buy from particular businesses; and</w:t>
      </w:r>
    </w:p>
    <w:p>
      <w:pPr>
        <w:spacing w:after="0" w:line="45" w:lineRule="exact"/>
        <w:rPr>
          <w:rFonts w:ascii="Arial" w:cs="Arial" w:eastAsia="Arial" w:hAnsi="Arial"/>
          <w:sz w:val="15"/>
          <w:szCs w:val="15"/>
          <w:color w:val="auto"/>
        </w:rPr>
      </w:pPr>
    </w:p>
    <w:p>
      <w:pPr>
        <w:ind w:left="1624" w:hanging="327"/>
        <w:spacing w:after="0"/>
        <w:tabs>
          <w:tab w:leader="none" w:pos="1624" w:val="left"/>
        </w:tabs>
        <w:numPr>
          <w:ilvl w:val="0"/>
          <w:numId w:val="40"/>
        </w:numPr>
        <w:rPr>
          <w:rFonts w:ascii="Arial" w:cs="Arial" w:eastAsia="Arial" w:hAnsi="Arial"/>
          <w:sz w:val="18"/>
          <w:szCs w:val="18"/>
          <w:color w:val="auto"/>
        </w:rPr>
      </w:pPr>
      <w:r>
        <w:rPr>
          <w:rFonts w:ascii="Arial" w:cs="Arial" w:eastAsia="Arial" w:hAnsi="Arial"/>
          <w:sz w:val="20"/>
          <w:szCs w:val="20"/>
          <w:color w:val="auto"/>
        </w:rPr>
        <w:t>Agreements that limit the types of investments that AGNC will make.</w:t>
      </w:r>
    </w:p>
    <w:p>
      <w:pPr>
        <w:jc w:val="both"/>
        <w:ind w:left="1304"/>
        <w:spacing w:after="0"/>
        <w:rPr>
          <w:sz w:val="20"/>
          <w:szCs w:val="20"/>
          <w:color w:val="auto"/>
        </w:rPr>
      </w:pPr>
      <w:r>
        <w:rPr>
          <w:rFonts w:ascii="Arial" w:cs="Arial" w:eastAsia="Arial" w:hAnsi="Arial"/>
          <w:sz w:val="20"/>
          <w:szCs w:val="20"/>
          <w:color w:val="auto"/>
        </w:rPr>
        <w:t>Contacts with our competitors are sensitive and risky, because courts can infer an agreement or collusion from these contacts when they are followed by common action or behavior. We recognize that we may need to work with our competitors in the regular course of our business. In all contacts with our competitors, you are expected to avoid discussing prices, costs, competition, division of markets, marketing plans or studies, or any other proprietary or confidential information.</w:t>
      </w:r>
    </w:p>
    <w:p>
      <w:pPr>
        <w:spacing w:after="0" w:line="198" w:lineRule="exact"/>
        <w:rPr>
          <w:sz w:val="20"/>
          <w:szCs w:val="20"/>
          <w:color w:val="auto"/>
        </w:rPr>
      </w:pPr>
    </w:p>
    <w:p>
      <w:pPr>
        <w:jc w:val="both"/>
        <w:ind w:left="1304"/>
        <w:spacing w:after="0" w:line="316" w:lineRule="auto"/>
        <w:rPr>
          <w:sz w:val="20"/>
          <w:szCs w:val="20"/>
          <w:color w:val="auto"/>
        </w:rPr>
      </w:pPr>
      <w:r>
        <w:rPr>
          <w:rFonts w:ascii="Arial" w:cs="Arial" w:eastAsia="Arial" w:hAnsi="Arial"/>
          <w:sz w:val="18"/>
          <w:szCs w:val="18"/>
          <w:color w:val="auto"/>
        </w:rPr>
        <w:t>If any competitor initiates a discussion with you involving the subjects above, you should immediately excuse yourself from the conversation and report the matter to the Chief Compliance Officer or a member of the Legal team.</w:t>
      </w:r>
    </w:p>
    <w:p>
      <w:pPr>
        <w:spacing w:after="0" w:line="200" w:lineRule="exact"/>
        <w:rPr>
          <w:sz w:val="20"/>
          <w:szCs w:val="20"/>
          <w:color w:val="auto"/>
        </w:rPr>
      </w:pPr>
    </w:p>
    <w:p>
      <w:pPr>
        <w:spacing w:after="0" w:line="356" w:lineRule="exact"/>
        <w:rPr>
          <w:sz w:val="20"/>
          <w:szCs w:val="20"/>
          <w:color w:val="auto"/>
        </w:rPr>
      </w:pPr>
    </w:p>
    <w:p>
      <w:pPr>
        <w:ind w:left="644" w:hanging="644"/>
        <w:spacing w:after="0"/>
        <w:tabs>
          <w:tab w:leader="none" w:pos="644" w:val="left"/>
        </w:tabs>
        <w:numPr>
          <w:ilvl w:val="0"/>
          <w:numId w:val="41"/>
        </w:numPr>
        <w:rPr>
          <w:rFonts w:ascii="Arial" w:cs="Arial" w:eastAsia="Arial" w:hAnsi="Arial"/>
          <w:sz w:val="18"/>
          <w:szCs w:val="18"/>
          <w:color w:val="auto"/>
        </w:rPr>
      </w:pPr>
      <w:r>
        <w:rPr>
          <w:rFonts w:ascii="Arial" w:cs="Arial" w:eastAsia="Arial" w:hAnsi="Arial"/>
          <w:sz w:val="20"/>
          <w:szCs w:val="20"/>
          <w:b w:val="1"/>
          <w:bCs w:val="1"/>
          <w:color w:val="auto"/>
        </w:rPr>
        <w:t>SECURITIES LAWS AND INSIDER TRADING</w:t>
      </w:r>
    </w:p>
    <w:p>
      <w:pPr>
        <w:spacing w:after="0" w:line="21" w:lineRule="exact"/>
        <w:rPr>
          <w:rFonts w:ascii="Arial" w:cs="Arial" w:eastAsia="Arial" w:hAnsi="Arial"/>
          <w:sz w:val="18"/>
          <w:szCs w:val="18"/>
          <w:color w:val="auto"/>
        </w:rPr>
      </w:pPr>
    </w:p>
    <w:p>
      <w:pPr>
        <w:jc w:val="both"/>
        <w:ind w:left="644"/>
        <w:spacing w:after="0" w:line="282" w:lineRule="auto"/>
        <w:rPr>
          <w:rFonts w:ascii="Arial" w:cs="Arial" w:eastAsia="Arial" w:hAnsi="Arial"/>
          <w:sz w:val="18"/>
          <w:szCs w:val="18"/>
          <w:color w:val="auto"/>
        </w:rPr>
      </w:pPr>
      <w:r>
        <w:rPr>
          <w:rFonts w:ascii="Arial" w:cs="Arial" w:eastAsia="Arial" w:hAnsi="Arial"/>
          <w:sz w:val="18"/>
          <w:szCs w:val="18"/>
          <w:color w:val="auto"/>
        </w:rPr>
        <w:t>The U.S. federal securities laws are built on the premise that a purchaser and a seller of securities should have equal access to important information regarding the company whose securities they are trading. Consequently, federal securities laws forbid an investor from purchasing or selling securities based upon inside information not available to the other party.</w:t>
      </w:r>
    </w:p>
    <w:p>
      <w:pPr>
        <w:spacing w:after="0" w:line="159" w:lineRule="exact"/>
        <w:rPr>
          <w:rFonts w:ascii="Arial" w:cs="Arial" w:eastAsia="Arial" w:hAnsi="Arial"/>
          <w:sz w:val="18"/>
          <w:szCs w:val="18"/>
          <w:color w:val="auto"/>
        </w:rPr>
      </w:pPr>
    </w:p>
    <w:p>
      <w:pPr>
        <w:jc w:val="both"/>
        <w:ind w:left="644"/>
        <w:spacing w:after="0" w:line="244" w:lineRule="auto"/>
        <w:rPr>
          <w:rFonts w:ascii="Arial" w:cs="Arial" w:eastAsia="Arial" w:hAnsi="Arial"/>
          <w:sz w:val="18"/>
          <w:szCs w:val="18"/>
          <w:color w:val="auto"/>
        </w:rPr>
      </w:pPr>
      <w:r>
        <w:rPr>
          <w:rFonts w:ascii="Arial" w:cs="Arial" w:eastAsia="Arial" w:hAnsi="Arial"/>
          <w:sz w:val="20"/>
          <w:szCs w:val="20"/>
          <w:color w:val="auto"/>
        </w:rPr>
        <w:t>The consequences of insider trading violations can be severe. AGNC people who trade on inside information, or who communicate (or tip) this information to others so that they may trade, may face a civil penalty of up to three times the profit gained (or loss avoided), a substantial criminal fine and a jail term of up to ten years. Additionally, if we or our senior officers do not take appropriate steps to prevent AGNC people from insider trading, we may also face severe legal consequences, including, among other things, substantial criminal penalties.</w:t>
      </w:r>
    </w:p>
    <w:p>
      <w:pPr>
        <w:spacing w:after="0" w:line="188" w:lineRule="exact"/>
        <w:rPr>
          <w:rFonts w:ascii="Arial" w:cs="Arial" w:eastAsia="Arial" w:hAnsi="Arial"/>
          <w:sz w:val="18"/>
          <w:szCs w:val="18"/>
          <w:color w:val="auto"/>
        </w:rPr>
      </w:pPr>
    </w:p>
    <w:p>
      <w:pPr>
        <w:ind w:left="1304" w:hanging="655"/>
        <w:spacing w:after="0"/>
        <w:tabs>
          <w:tab w:leader="none" w:pos="1304" w:val="left"/>
        </w:tabs>
        <w:numPr>
          <w:ilvl w:val="1"/>
          <w:numId w:val="41"/>
        </w:numPr>
        <w:rPr>
          <w:rFonts w:ascii="Arial" w:cs="Arial" w:eastAsia="Arial" w:hAnsi="Arial"/>
          <w:sz w:val="18"/>
          <w:szCs w:val="18"/>
          <w:color w:val="auto"/>
        </w:rPr>
      </w:pPr>
      <w:r>
        <w:rPr>
          <w:rFonts w:ascii="Arial" w:cs="Arial" w:eastAsia="Arial" w:hAnsi="Arial"/>
          <w:sz w:val="20"/>
          <w:szCs w:val="20"/>
          <w:b w:val="1"/>
          <w:bCs w:val="1"/>
          <w:color w:val="auto"/>
        </w:rPr>
        <w:t>Policy Statement</w:t>
      </w:r>
    </w:p>
    <w:p>
      <w:pPr>
        <w:spacing w:after="0" w:line="21" w:lineRule="exact"/>
        <w:rPr>
          <w:rFonts w:ascii="Arial" w:cs="Arial" w:eastAsia="Arial" w:hAnsi="Arial"/>
          <w:sz w:val="18"/>
          <w:szCs w:val="18"/>
          <w:color w:val="auto"/>
        </w:rPr>
      </w:pPr>
    </w:p>
    <w:p>
      <w:pPr>
        <w:jc w:val="both"/>
        <w:ind w:left="1304"/>
        <w:spacing w:after="0"/>
        <w:rPr>
          <w:rFonts w:ascii="Arial" w:cs="Arial" w:eastAsia="Arial" w:hAnsi="Arial"/>
          <w:sz w:val="18"/>
          <w:szCs w:val="18"/>
          <w:color w:val="auto"/>
        </w:rPr>
      </w:pPr>
      <w:r>
        <w:rPr>
          <w:rFonts w:ascii="Arial" w:cs="Arial" w:eastAsia="Arial" w:hAnsi="Arial"/>
          <w:sz w:val="20"/>
          <w:szCs w:val="20"/>
          <w:color w:val="auto"/>
        </w:rPr>
        <w:t>AGNC people who have material, nonpublic (i.e., inside) information about AGNC should not buy or sell AGNC securities (including derivative securities such as put and call options) until a reasonable time after the inside information has been publicly disclosed. You also should not disclose inside information to others outside AGNC until a reasonable time after the information has been publicly disclosed. In addition, it is never appropriate for you to advise others to buy or sell AGNC securities.</w:t>
      </w:r>
    </w:p>
    <w:p>
      <w:pPr>
        <w:spacing w:after="0" w:line="198" w:lineRule="exact"/>
        <w:rPr>
          <w:rFonts w:ascii="Arial" w:cs="Arial" w:eastAsia="Arial" w:hAnsi="Arial"/>
          <w:sz w:val="18"/>
          <w:szCs w:val="18"/>
          <w:color w:val="auto"/>
        </w:rPr>
      </w:pPr>
    </w:p>
    <w:p>
      <w:pPr>
        <w:ind w:left="1304"/>
        <w:spacing w:after="0" w:line="260" w:lineRule="auto"/>
        <w:rPr>
          <w:rFonts w:ascii="Arial" w:cs="Arial" w:eastAsia="Arial" w:hAnsi="Arial"/>
          <w:sz w:val="18"/>
          <w:szCs w:val="18"/>
          <w:color w:val="auto"/>
        </w:rPr>
      </w:pPr>
      <w:r>
        <w:rPr>
          <w:rFonts w:ascii="Arial" w:cs="Arial" w:eastAsia="Arial" w:hAnsi="Arial"/>
          <w:sz w:val="20"/>
          <w:szCs w:val="20"/>
          <w:color w:val="auto"/>
        </w:rPr>
        <w:t>We further believe that it is highly inappropriate for any AGNC person to sell short AGNC stock or engage in other transactions where the person will earn a profit based on a decline in AGNC’s stock price.</w:t>
      </w:r>
    </w:p>
    <w:p>
      <w:pPr>
        <w:spacing w:after="0" w:line="176" w:lineRule="exact"/>
        <w:rPr>
          <w:rFonts w:ascii="Arial" w:cs="Arial" w:eastAsia="Arial" w:hAnsi="Arial"/>
          <w:sz w:val="18"/>
          <w:szCs w:val="18"/>
          <w:color w:val="auto"/>
        </w:rPr>
      </w:pPr>
    </w:p>
    <w:p>
      <w:pPr>
        <w:ind w:left="1304"/>
        <w:spacing w:after="0" w:line="260" w:lineRule="auto"/>
        <w:rPr>
          <w:rFonts w:ascii="Arial" w:cs="Arial" w:eastAsia="Arial" w:hAnsi="Arial"/>
          <w:sz w:val="18"/>
          <w:szCs w:val="18"/>
          <w:color w:val="auto"/>
        </w:rPr>
      </w:pPr>
      <w:r>
        <w:rPr>
          <w:rFonts w:ascii="Arial" w:cs="Arial" w:eastAsia="Arial" w:hAnsi="Arial"/>
          <w:sz w:val="20"/>
          <w:szCs w:val="20"/>
          <w:color w:val="auto"/>
        </w:rPr>
        <w:t>These rules also apply to the use of material, nonpublic information about other companies (including, for example, our clients, competitors and potential business partners).</w:t>
      </w:r>
    </w:p>
    <w:p>
      <w:pPr>
        <w:spacing w:after="0" w:line="176" w:lineRule="exact"/>
        <w:rPr>
          <w:rFonts w:ascii="Arial" w:cs="Arial" w:eastAsia="Arial" w:hAnsi="Arial"/>
          <w:sz w:val="18"/>
          <w:szCs w:val="18"/>
          <w:color w:val="auto"/>
        </w:rPr>
      </w:pPr>
    </w:p>
    <w:p>
      <w:pPr>
        <w:ind w:left="1304"/>
        <w:spacing w:after="0" w:line="260" w:lineRule="auto"/>
        <w:rPr>
          <w:rFonts w:ascii="Arial" w:cs="Arial" w:eastAsia="Arial" w:hAnsi="Arial"/>
          <w:sz w:val="18"/>
          <w:szCs w:val="18"/>
          <w:color w:val="auto"/>
        </w:rPr>
      </w:pPr>
      <w:r>
        <w:rPr>
          <w:rFonts w:ascii="Arial" w:cs="Arial" w:eastAsia="Arial" w:hAnsi="Arial"/>
          <w:sz w:val="20"/>
          <w:szCs w:val="20"/>
          <w:color w:val="auto"/>
        </w:rPr>
        <w:t>In addition to you, these rules apply to your spouse, children and any other family members living with you in your household.</w:t>
      </w:r>
    </w:p>
    <w:p>
      <w:pPr>
        <w:sectPr>
          <w:pgSz w:w="11900" w:h="16838" w:orient="portrait"/>
          <w:cols w:equalWidth="0" w:num="1">
            <w:col w:w="10764"/>
          </w:cols>
          <w:pgMar w:left="896" w:top="582" w:right="239" w:bottom="1440" w:gutter="0" w:footer="0" w:header="0"/>
        </w:sectPr>
      </w:pPr>
    </w:p>
    <w:bookmarkStart w:id="55" w:name="page56"/>
    <w:bookmarkEnd w:id="55"/>
    <w:p>
      <w:pPr>
        <w:ind w:left="1952" w:hanging="655"/>
        <w:spacing w:after="0"/>
        <w:tabs>
          <w:tab w:leader="none" w:pos="1952" w:val="left"/>
        </w:tabs>
        <w:numPr>
          <w:ilvl w:val="2"/>
          <w:numId w:val="42"/>
        </w:numPr>
        <w:rPr>
          <w:rFonts w:ascii="Arial" w:cs="Arial" w:eastAsia="Arial" w:hAnsi="Arial"/>
          <w:sz w:val="18"/>
          <w:szCs w:val="18"/>
          <w:color w:val="auto"/>
        </w:rPr>
      </w:pPr>
      <w:r>
        <w:rPr>
          <w:rFonts w:ascii="Arial" w:cs="Arial" w:eastAsia="Arial" w:hAnsi="Arial"/>
          <w:sz w:val="20"/>
          <w:szCs w:val="20"/>
          <w:b w:val="1"/>
          <w:bCs w:val="1"/>
          <w:color w:val="auto"/>
        </w:rPr>
        <w:t>Further Explanation</w:t>
      </w:r>
    </w:p>
    <w:p>
      <w:pPr>
        <w:spacing w:after="0" w:line="21" w:lineRule="exact"/>
        <w:rPr>
          <w:rFonts w:ascii="Arial" w:cs="Arial" w:eastAsia="Arial" w:hAnsi="Arial"/>
          <w:sz w:val="18"/>
          <w:szCs w:val="18"/>
          <w:color w:val="auto"/>
        </w:rPr>
      </w:pPr>
    </w:p>
    <w:p>
      <w:pPr>
        <w:jc w:val="both"/>
        <w:ind w:left="2592" w:hanging="647"/>
        <w:spacing w:after="0" w:line="252" w:lineRule="auto"/>
        <w:tabs>
          <w:tab w:leader="none" w:pos="2592" w:val="left"/>
        </w:tabs>
        <w:numPr>
          <w:ilvl w:val="3"/>
          <w:numId w:val="42"/>
        </w:numPr>
        <w:rPr>
          <w:rFonts w:ascii="Arial" w:cs="Arial" w:eastAsia="Arial" w:hAnsi="Arial"/>
          <w:sz w:val="17"/>
          <w:szCs w:val="17"/>
          <w:color w:val="auto"/>
        </w:rPr>
      </w:pPr>
      <w:r>
        <w:rPr>
          <w:rFonts w:ascii="Arial" w:cs="Arial" w:eastAsia="Arial" w:hAnsi="Arial"/>
          <w:sz w:val="19"/>
          <w:szCs w:val="19"/>
          <w:b w:val="1"/>
          <w:bCs w:val="1"/>
          <w:color w:val="auto"/>
        </w:rPr>
        <w:t xml:space="preserve">What is inside information? </w:t>
      </w:r>
      <w:r>
        <w:rPr>
          <w:rFonts w:ascii="Arial" w:cs="Arial" w:eastAsia="Arial" w:hAnsi="Arial"/>
          <w:sz w:val="19"/>
          <w:szCs w:val="19"/>
          <w:color w:val="auto"/>
        </w:rPr>
        <w:t>Inside information is material information about an entity, including AGNC, that</w:t>
      </w:r>
      <w:r>
        <w:rPr>
          <w:rFonts w:ascii="Arial" w:cs="Arial" w:eastAsia="Arial" w:hAnsi="Arial"/>
          <w:sz w:val="19"/>
          <w:szCs w:val="19"/>
          <w:b w:val="1"/>
          <w:bCs w:val="1"/>
          <w:color w:val="auto"/>
        </w:rPr>
        <w:t xml:space="preserve"> </w:t>
      </w:r>
      <w:r>
        <w:rPr>
          <w:rFonts w:ascii="Arial" w:cs="Arial" w:eastAsia="Arial" w:hAnsi="Arial"/>
          <w:sz w:val="19"/>
          <w:szCs w:val="19"/>
          <w:color w:val="auto"/>
        </w:rPr>
        <w:t>has not been publicly disclosed. For instance, this information could relate to AGNC’s investments, financial condition, earnings or business, or to any important development in which we may be involved.</w:t>
      </w:r>
    </w:p>
    <w:p>
      <w:pPr>
        <w:jc w:val="both"/>
        <w:ind w:left="2592" w:hanging="647"/>
        <w:spacing w:after="0" w:line="239" w:lineRule="auto"/>
        <w:tabs>
          <w:tab w:leader="none" w:pos="2592" w:val="left"/>
        </w:tabs>
        <w:numPr>
          <w:ilvl w:val="3"/>
          <w:numId w:val="42"/>
        </w:numPr>
        <w:rPr>
          <w:rFonts w:ascii="Arial" w:cs="Arial" w:eastAsia="Arial" w:hAnsi="Arial"/>
          <w:sz w:val="18"/>
          <w:szCs w:val="18"/>
          <w:color w:val="auto"/>
        </w:rPr>
      </w:pPr>
      <w:r>
        <w:rPr>
          <w:rFonts w:ascii="Arial" w:cs="Arial" w:eastAsia="Arial" w:hAnsi="Arial"/>
          <w:sz w:val="20"/>
          <w:szCs w:val="20"/>
          <w:b w:val="1"/>
          <w:bCs w:val="1"/>
          <w:color w:val="auto"/>
        </w:rPr>
        <w:t xml:space="preserve">What information is material? </w:t>
      </w:r>
      <w:r>
        <w:rPr>
          <w:rFonts w:ascii="Arial" w:cs="Arial" w:eastAsia="Arial" w:hAnsi="Arial"/>
          <w:sz w:val="20"/>
          <w:szCs w:val="20"/>
          <w:color w:val="auto"/>
        </w:rPr>
        <w:t>Information is material if it is information that a reasonable investor might</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 important in deciding whether to buy, sell or hold securities. Examples of information that may be material include: financial results or forecasts; a significant proposed acquisition or sale of a business; a stock split; significant litigation; and changes in customary earnings trends.</w:t>
      </w:r>
    </w:p>
    <w:p>
      <w:pPr>
        <w:spacing w:after="0" w:line="2" w:lineRule="exact"/>
        <w:rPr>
          <w:rFonts w:ascii="Arial" w:cs="Arial" w:eastAsia="Arial" w:hAnsi="Arial"/>
          <w:sz w:val="18"/>
          <w:szCs w:val="18"/>
          <w:color w:val="auto"/>
        </w:rPr>
      </w:pPr>
    </w:p>
    <w:p>
      <w:pPr>
        <w:jc w:val="both"/>
        <w:ind w:left="2592" w:hanging="647"/>
        <w:spacing w:after="0" w:line="239" w:lineRule="auto"/>
        <w:tabs>
          <w:tab w:leader="none" w:pos="2592" w:val="left"/>
        </w:tabs>
        <w:numPr>
          <w:ilvl w:val="3"/>
          <w:numId w:val="42"/>
        </w:numPr>
        <w:rPr>
          <w:rFonts w:ascii="Arial" w:cs="Arial" w:eastAsia="Arial" w:hAnsi="Arial"/>
          <w:sz w:val="18"/>
          <w:szCs w:val="18"/>
          <w:color w:val="auto"/>
        </w:rPr>
      </w:pPr>
      <w:r>
        <w:rPr>
          <w:rFonts w:ascii="Arial" w:cs="Arial" w:eastAsia="Arial" w:hAnsi="Arial"/>
          <w:sz w:val="20"/>
          <w:szCs w:val="20"/>
          <w:b w:val="1"/>
          <w:bCs w:val="1"/>
          <w:color w:val="auto"/>
        </w:rPr>
        <w:t xml:space="preserve">What information is nonpublic? </w:t>
      </w:r>
      <w:r>
        <w:rPr>
          <w:rFonts w:ascii="Arial" w:cs="Arial" w:eastAsia="Arial" w:hAnsi="Arial"/>
          <w:sz w:val="20"/>
          <w:szCs w:val="20"/>
          <w:color w:val="auto"/>
        </w:rPr>
        <w:t>Information is nonpublic until the time it has been effectively disclosed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public. Effective disclosure generally occurs when information is included in a press release, is revealed during a conference call to which the general public has been invited to participate or is included in our public filings with the U.S. Securities and Exchange Commission. Under certain circumstances, effective disclosure may occur by other means.</w:t>
      </w:r>
    </w:p>
    <w:p>
      <w:pPr>
        <w:spacing w:after="0" w:line="2" w:lineRule="exact"/>
        <w:rPr>
          <w:rFonts w:ascii="Arial" w:cs="Arial" w:eastAsia="Arial" w:hAnsi="Arial"/>
          <w:sz w:val="18"/>
          <w:szCs w:val="18"/>
          <w:color w:val="auto"/>
        </w:rPr>
      </w:pPr>
    </w:p>
    <w:p>
      <w:pPr>
        <w:jc w:val="both"/>
        <w:ind w:left="2592" w:hanging="647"/>
        <w:spacing w:after="0" w:line="266" w:lineRule="auto"/>
        <w:tabs>
          <w:tab w:leader="none" w:pos="2592" w:val="left"/>
        </w:tabs>
        <w:numPr>
          <w:ilvl w:val="3"/>
          <w:numId w:val="42"/>
        </w:numPr>
        <w:rPr>
          <w:rFonts w:ascii="Arial" w:cs="Arial" w:eastAsia="Arial" w:hAnsi="Arial"/>
          <w:sz w:val="16"/>
          <w:szCs w:val="16"/>
          <w:color w:val="auto"/>
        </w:rPr>
      </w:pPr>
      <w:r>
        <w:rPr>
          <w:rFonts w:ascii="Arial" w:cs="Arial" w:eastAsia="Arial" w:hAnsi="Arial"/>
          <w:sz w:val="18"/>
          <w:szCs w:val="18"/>
          <w:b w:val="1"/>
          <w:bCs w:val="1"/>
          <w:color w:val="auto"/>
        </w:rPr>
        <w:t xml:space="preserve">What is a reasonable waiting period before purchases and sales can be made? </w:t>
      </w:r>
      <w:r>
        <w:rPr>
          <w:rFonts w:ascii="Arial" w:cs="Arial" w:eastAsia="Arial" w:hAnsi="Arial"/>
          <w:sz w:val="18"/>
          <w:szCs w:val="18"/>
          <w:color w:val="auto"/>
        </w:rPr>
        <w:t>The investing public must</w:t>
      </w:r>
      <w:r>
        <w:rPr>
          <w:rFonts w:ascii="Arial" w:cs="Arial" w:eastAsia="Arial" w:hAnsi="Arial"/>
          <w:sz w:val="18"/>
          <w:szCs w:val="18"/>
          <w:b w:val="1"/>
          <w:bCs w:val="1"/>
          <w:color w:val="auto"/>
        </w:rPr>
        <w:t xml:space="preserve"> </w:t>
      </w:r>
      <w:r>
        <w:rPr>
          <w:rFonts w:ascii="Arial" w:cs="Arial" w:eastAsia="Arial" w:hAnsi="Arial"/>
          <w:sz w:val="18"/>
          <w:szCs w:val="18"/>
          <w:color w:val="auto"/>
        </w:rPr>
        <w:t>have sufficient time to analyze the information that has been disclosed before those possessing previously nonpublic information can trade. For matters disclosed in an AGNC press release or conference call, a good rule of thumb is that purchases and sales can be made beginning 24 hours after the disclosure.</w:t>
      </w:r>
    </w:p>
    <w:p>
      <w:pPr>
        <w:jc w:val="both"/>
        <w:ind w:left="2592" w:hanging="647"/>
        <w:spacing w:after="0" w:line="266" w:lineRule="auto"/>
        <w:tabs>
          <w:tab w:leader="none" w:pos="2592" w:val="left"/>
        </w:tabs>
        <w:numPr>
          <w:ilvl w:val="3"/>
          <w:numId w:val="42"/>
        </w:numPr>
        <w:rPr>
          <w:rFonts w:ascii="Arial" w:cs="Arial" w:eastAsia="Arial" w:hAnsi="Arial"/>
          <w:sz w:val="16"/>
          <w:szCs w:val="16"/>
          <w:color w:val="auto"/>
        </w:rPr>
      </w:pPr>
      <w:r>
        <w:rPr>
          <w:rFonts w:ascii="Arial" w:cs="Arial" w:eastAsia="Arial" w:hAnsi="Arial"/>
          <w:sz w:val="18"/>
          <w:szCs w:val="18"/>
          <w:b w:val="1"/>
          <w:bCs w:val="1"/>
          <w:color w:val="auto"/>
        </w:rPr>
        <w:t xml:space="preserve">What transactions are prohibited? </w:t>
      </w:r>
      <w:r>
        <w:rPr>
          <w:rFonts w:ascii="Arial" w:cs="Arial" w:eastAsia="Arial" w:hAnsi="Arial"/>
          <w:sz w:val="18"/>
          <w:szCs w:val="18"/>
          <w:color w:val="auto"/>
        </w:rPr>
        <w:t>An AGNC person who has inside information about AGNC or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prohibited from: (a) trading in AGNC’s or the other company’s securities (including derivative securities such as put and call options); (b) having others trade in AGNC’s or the other company’s securities for your benefit; and (c) disclosing the inside information to (or tipping) anyone else who might then trade. These prohibitions continue for as long as the information remains material and nonpublic.</w:t>
      </w:r>
    </w:p>
    <w:p>
      <w:pPr>
        <w:jc w:val="both"/>
        <w:ind w:left="2592" w:hanging="647"/>
        <w:spacing w:after="0" w:line="252" w:lineRule="auto"/>
        <w:tabs>
          <w:tab w:leader="none" w:pos="2592" w:val="left"/>
        </w:tabs>
        <w:numPr>
          <w:ilvl w:val="3"/>
          <w:numId w:val="42"/>
        </w:numPr>
        <w:rPr>
          <w:rFonts w:ascii="Arial" w:cs="Arial" w:eastAsia="Arial" w:hAnsi="Arial"/>
          <w:sz w:val="17"/>
          <w:szCs w:val="17"/>
          <w:color w:val="auto"/>
        </w:rPr>
      </w:pPr>
      <w:r>
        <w:rPr>
          <w:rFonts w:ascii="Arial" w:cs="Arial" w:eastAsia="Arial" w:hAnsi="Arial"/>
          <w:sz w:val="19"/>
          <w:szCs w:val="19"/>
          <w:b w:val="1"/>
          <w:bCs w:val="1"/>
          <w:color w:val="auto"/>
        </w:rPr>
        <w:t xml:space="preserve">What transactions are allowed? </w:t>
      </w:r>
      <w:r>
        <w:rPr>
          <w:rFonts w:ascii="Arial" w:cs="Arial" w:eastAsia="Arial" w:hAnsi="Arial"/>
          <w:sz w:val="19"/>
          <w:szCs w:val="19"/>
          <w:color w:val="auto"/>
        </w:rPr>
        <w:t>An AGNC person who has inside information about AGNC may,</w:t>
      </w:r>
      <w:r>
        <w:rPr>
          <w:rFonts w:ascii="Arial" w:cs="Arial" w:eastAsia="Arial" w:hAnsi="Arial"/>
          <w:sz w:val="19"/>
          <w:szCs w:val="19"/>
          <w:b w:val="1"/>
          <w:bCs w:val="1"/>
          <w:color w:val="auto"/>
        </w:rPr>
        <w:t xml:space="preserve"> </w:t>
      </w:r>
      <w:r>
        <w:rPr>
          <w:rFonts w:ascii="Arial" w:cs="Arial" w:eastAsia="Arial" w:hAnsi="Arial"/>
          <w:sz w:val="19"/>
          <w:szCs w:val="19"/>
          <w:color w:val="auto"/>
        </w:rPr>
        <w:t>nonetheless, usually exercise AGNC stock options for cash (but may not sell the option shares he or she receives upon the exercise). These cash option exercise purchases are allowed because the other party to the transactions is AGNC itself, and because the option exercise purchase price does not vary with the market, but, rather, is fixed in advance under the terms of the option plan. Additionally, certain transactions that occur under an automatic investment plan, such as a dividend reinvestment plan or a company approved Rule 10b5-1 plan, if any, are permitted in such circumstances. You should contact the Chief Compliance Officer or a member of our Legal team with any questions.</w:t>
      </w:r>
    </w:p>
    <w:p>
      <w:pPr>
        <w:spacing w:after="0" w:line="1" w:lineRule="exact"/>
        <w:rPr>
          <w:rFonts w:ascii="Arial" w:cs="Arial" w:eastAsia="Arial" w:hAnsi="Arial"/>
          <w:sz w:val="17"/>
          <w:szCs w:val="17"/>
          <w:color w:val="auto"/>
        </w:rPr>
      </w:pPr>
    </w:p>
    <w:p>
      <w:pPr>
        <w:ind w:left="1952" w:hanging="655"/>
        <w:spacing w:after="0"/>
        <w:tabs>
          <w:tab w:leader="none" w:pos="1952" w:val="left"/>
        </w:tabs>
        <w:numPr>
          <w:ilvl w:val="2"/>
          <w:numId w:val="42"/>
        </w:numPr>
        <w:rPr>
          <w:rFonts w:ascii="Arial" w:cs="Arial" w:eastAsia="Arial" w:hAnsi="Arial"/>
          <w:sz w:val="18"/>
          <w:szCs w:val="18"/>
          <w:color w:val="auto"/>
        </w:rPr>
      </w:pPr>
      <w:r>
        <w:rPr>
          <w:rFonts w:ascii="Arial" w:cs="Arial" w:eastAsia="Arial" w:hAnsi="Arial"/>
          <w:sz w:val="20"/>
          <w:szCs w:val="20"/>
          <w:b w:val="1"/>
          <w:bCs w:val="1"/>
          <w:color w:val="auto"/>
        </w:rPr>
        <w:t>Blackout Period for Trading in AGNC Securities</w:t>
      </w:r>
    </w:p>
    <w:p>
      <w:pPr>
        <w:jc w:val="both"/>
        <w:ind w:left="1952"/>
        <w:spacing w:after="0" w:line="241" w:lineRule="auto"/>
        <w:rPr>
          <w:rFonts w:ascii="Arial" w:cs="Arial" w:eastAsia="Arial" w:hAnsi="Arial"/>
          <w:sz w:val="18"/>
          <w:szCs w:val="18"/>
          <w:color w:val="auto"/>
        </w:rPr>
      </w:pPr>
      <w:r>
        <w:rPr>
          <w:rFonts w:ascii="Arial" w:cs="Arial" w:eastAsia="Arial" w:hAnsi="Arial"/>
          <w:sz w:val="20"/>
          <w:szCs w:val="20"/>
          <w:color w:val="auto"/>
        </w:rPr>
        <w:t>In addition to our general Insider Trading Policy, which is summarized above, we may institute from time to time blackout periods during which AGNC persons will be precluded from trading in AGNC securities (including derivative securities such as put and call options). The Chief Compliance Officer will typically be responsible for implementing such practices.</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43"/>
        </w:numPr>
        <w:rPr>
          <w:rFonts w:ascii="Arial" w:cs="Arial" w:eastAsia="Arial" w:hAnsi="Arial"/>
          <w:sz w:val="18"/>
          <w:szCs w:val="18"/>
          <w:color w:val="auto"/>
        </w:rPr>
      </w:pPr>
      <w:r>
        <w:rPr>
          <w:rFonts w:ascii="Arial" w:cs="Arial" w:eastAsia="Arial" w:hAnsi="Arial"/>
          <w:sz w:val="20"/>
          <w:szCs w:val="20"/>
          <w:b w:val="1"/>
          <w:bCs w:val="1"/>
          <w:color w:val="auto"/>
        </w:rPr>
        <w:t>AVOIDING CONFLICTS OF INTEREST</w:t>
      </w:r>
    </w:p>
    <w:p>
      <w:pPr>
        <w:spacing w:after="0" w:line="21" w:lineRule="exact"/>
        <w:rPr>
          <w:rFonts w:ascii="Arial" w:cs="Arial" w:eastAsia="Arial" w:hAnsi="Arial"/>
          <w:sz w:val="18"/>
          <w:szCs w:val="18"/>
          <w:color w:val="auto"/>
        </w:rPr>
      </w:pPr>
    </w:p>
    <w:p>
      <w:pPr>
        <w:ind w:left="1292" w:hanging="644"/>
        <w:spacing w:after="0"/>
        <w:tabs>
          <w:tab w:leader="none" w:pos="1292" w:val="left"/>
        </w:tabs>
        <w:numPr>
          <w:ilvl w:val="1"/>
          <w:numId w:val="43"/>
        </w:numPr>
        <w:rPr>
          <w:rFonts w:ascii="Arial" w:cs="Arial" w:eastAsia="Arial" w:hAnsi="Arial"/>
          <w:sz w:val="18"/>
          <w:szCs w:val="18"/>
          <w:color w:val="auto"/>
        </w:rPr>
      </w:pPr>
      <w:r>
        <w:rPr>
          <w:rFonts w:ascii="Arial" w:cs="Arial" w:eastAsia="Arial" w:hAnsi="Arial"/>
          <w:sz w:val="20"/>
          <w:szCs w:val="20"/>
          <w:b w:val="1"/>
          <w:bCs w:val="1"/>
          <w:color w:val="auto"/>
        </w:rPr>
        <w:t>GENERALLY</w:t>
      </w:r>
    </w:p>
    <w:p>
      <w:pPr>
        <w:jc w:val="both"/>
        <w:ind w:left="1292"/>
        <w:spacing w:after="0"/>
        <w:rPr>
          <w:rFonts w:ascii="Arial" w:cs="Arial" w:eastAsia="Arial" w:hAnsi="Arial"/>
          <w:sz w:val="18"/>
          <w:szCs w:val="18"/>
          <w:color w:val="auto"/>
        </w:rPr>
      </w:pPr>
      <w:r>
        <w:rPr>
          <w:rFonts w:ascii="Arial" w:cs="Arial" w:eastAsia="Arial" w:hAnsi="Arial"/>
          <w:sz w:val="20"/>
          <w:szCs w:val="20"/>
          <w:color w:val="auto"/>
        </w:rPr>
        <w:t>All AGNC people have a duty of loyalty to act in the best interests of the company. We expect you to avoid situations and relationships that involve actual or potential conflicts of interest. Generally, a conflict of interest arises whenever your personal interests diverge from your responsibilities to AGNC or from AGNC’s best interests. Put another way, a conflict of interest is created whenever an activity, association or relationship of yours might impair your independent exercise of judgment in AGNC’s best interest.</w:t>
      </w:r>
    </w:p>
    <w:p>
      <w:pPr>
        <w:sectPr>
          <w:pgSz w:w="11900" w:h="16838" w:orient="portrait"/>
          <w:cols w:equalWidth="0" w:num="1">
            <w:col w:w="11412"/>
          </w:cols>
          <w:pgMar w:left="248" w:top="576" w:right="239" w:bottom="1440" w:gutter="0" w:footer="0" w:header="0"/>
        </w:sectPr>
      </w:pPr>
    </w:p>
    <w:bookmarkStart w:id="56" w:name="page57"/>
    <w:bookmarkEnd w:id="56"/>
    <w:p>
      <w:pPr>
        <w:ind w:left="644"/>
        <w:spacing w:after="0"/>
        <w:rPr>
          <w:sz w:val="20"/>
          <w:szCs w:val="20"/>
          <w:color w:val="auto"/>
        </w:rPr>
      </w:pPr>
      <w:r>
        <w:rPr>
          <w:rFonts w:ascii="Arial" w:cs="Arial" w:eastAsia="Arial" w:hAnsi="Arial"/>
          <w:sz w:val="20"/>
          <w:szCs w:val="20"/>
          <w:color w:val="auto"/>
        </w:rPr>
        <w:t>Examples of situations that could be perceived as conflicts of interest and should be avoided include:</w:t>
      </w:r>
    </w:p>
    <w:p>
      <w:pPr>
        <w:spacing w:after="0" w:line="216" w:lineRule="exact"/>
        <w:rPr>
          <w:sz w:val="20"/>
          <w:szCs w:val="20"/>
          <w:color w:val="auto"/>
        </w:rPr>
      </w:pPr>
    </w:p>
    <w:p>
      <w:pPr>
        <w:ind w:left="1624" w:right="200" w:hanging="327"/>
        <w:spacing w:after="0" w:line="247" w:lineRule="auto"/>
        <w:tabs>
          <w:tab w:leader="none" w:pos="1624" w:val="left"/>
        </w:tabs>
        <w:numPr>
          <w:ilvl w:val="0"/>
          <w:numId w:val="44"/>
        </w:numPr>
        <w:rPr>
          <w:rFonts w:ascii="Arial" w:cs="Arial" w:eastAsia="Arial" w:hAnsi="Arial"/>
          <w:sz w:val="18"/>
          <w:szCs w:val="18"/>
          <w:color w:val="auto"/>
        </w:rPr>
      </w:pPr>
      <w:r>
        <w:rPr>
          <w:rFonts w:ascii="Arial" w:cs="Arial" w:eastAsia="Arial" w:hAnsi="Arial"/>
          <w:sz w:val="20"/>
          <w:szCs w:val="20"/>
          <w:color w:val="auto"/>
        </w:rPr>
        <w:t>Conducting AGNC’s business with a company owned, partially owned or controlled by you or a member of your family;</w:t>
      </w:r>
    </w:p>
    <w:p>
      <w:pPr>
        <w:spacing w:after="0" w:line="1" w:lineRule="exact"/>
        <w:rPr>
          <w:rFonts w:ascii="Arial" w:cs="Arial" w:eastAsia="Arial" w:hAnsi="Arial"/>
          <w:sz w:val="18"/>
          <w:szCs w:val="18"/>
          <w:color w:val="auto"/>
        </w:rPr>
      </w:pPr>
    </w:p>
    <w:p>
      <w:pPr>
        <w:ind w:left="1624" w:right="120" w:hanging="327"/>
        <w:spacing w:after="0" w:line="239" w:lineRule="auto"/>
        <w:tabs>
          <w:tab w:leader="none" w:pos="1624" w:val="left"/>
        </w:tabs>
        <w:numPr>
          <w:ilvl w:val="0"/>
          <w:numId w:val="44"/>
        </w:numPr>
        <w:rPr>
          <w:rFonts w:ascii="Arial" w:cs="Arial" w:eastAsia="Arial" w:hAnsi="Arial"/>
          <w:sz w:val="18"/>
          <w:szCs w:val="18"/>
          <w:color w:val="auto"/>
        </w:rPr>
      </w:pPr>
      <w:r>
        <w:rPr>
          <w:rFonts w:ascii="Arial" w:cs="Arial" w:eastAsia="Arial" w:hAnsi="Arial"/>
          <w:sz w:val="20"/>
          <w:szCs w:val="20"/>
          <w:color w:val="auto"/>
        </w:rPr>
        <w:t>Ownership of more than one percent of the stock of a company that competes or does business with AGNC (other than indirect ownership as a result of owning a widely-held mutual fund);</w:t>
      </w:r>
    </w:p>
    <w:p>
      <w:pPr>
        <w:spacing w:after="0" w:line="1" w:lineRule="exact"/>
        <w:rPr>
          <w:rFonts w:ascii="Arial" w:cs="Arial" w:eastAsia="Arial" w:hAnsi="Arial"/>
          <w:sz w:val="18"/>
          <w:szCs w:val="18"/>
          <w:color w:val="auto"/>
        </w:rPr>
      </w:pPr>
    </w:p>
    <w:p>
      <w:pPr>
        <w:ind w:left="1624" w:right="300" w:hanging="327"/>
        <w:spacing w:after="0" w:line="239" w:lineRule="auto"/>
        <w:tabs>
          <w:tab w:leader="none" w:pos="1624" w:val="left"/>
        </w:tabs>
        <w:numPr>
          <w:ilvl w:val="0"/>
          <w:numId w:val="44"/>
        </w:numPr>
        <w:rPr>
          <w:rFonts w:ascii="Arial" w:cs="Arial" w:eastAsia="Arial" w:hAnsi="Arial"/>
          <w:sz w:val="18"/>
          <w:szCs w:val="18"/>
          <w:color w:val="auto"/>
        </w:rPr>
      </w:pPr>
      <w:r>
        <w:rPr>
          <w:rFonts w:ascii="Arial" w:cs="Arial" w:eastAsia="Arial" w:hAnsi="Arial"/>
          <w:sz w:val="20"/>
          <w:szCs w:val="20"/>
          <w:color w:val="auto"/>
        </w:rPr>
        <w:t>Working as an employee or a consultant for a competitor, regulatory government entity, investment company or supplier of AGNC (other than as part of your AGNC employment);</w:t>
      </w:r>
    </w:p>
    <w:p>
      <w:pPr>
        <w:spacing w:after="0" w:line="1" w:lineRule="exact"/>
        <w:rPr>
          <w:rFonts w:ascii="Arial" w:cs="Arial" w:eastAsia="Arial" w:hAnsi="Arial"/>
          <w:sz w:val="18"/>
          <w:szCs w:val="18"/>
          <w:color w:val="auto"/>
        </w:rPr>
      </w:pPr>
    </w:p>
    <w:p>
      <w:pPr>
        <w:ind w:left="1624" w:right="240" w:hanging="327"/>
        <w:spacing w:after="0" w:line="239" w:lineRule="auto"/>
        <w:tabs>
          <w:tab w:leader="none" w:pos="1624" w:val="left"/>
        </w:tabs>
        <w:numPr>
          <w:ilvl w:val="0"/>
          <w:numId w:val="44"/>
        </w:numPr>
        <w:rPr>
          <w:rFonts w:ascii="Arial" w:cs="Arial" w:eastAsia="Arial" w:hAnsi="Arial"/>
          <w:sz w:val="18"/>
          <w:szCs w:val="18"/>
          <w:color w:val="auto"/>
        </w:rPr>
      </w:pPr>
      <w:r>
        <w:rPr>
          <w:rFonts w:ascii="Arial" w:cs="Arial" w:eastAsia="Arial" w:hAnsi="Arial"/>
          <w:sz w:val="20"/>
          <w:szCs w:val="20"/>
          <w:color w:val="auto"/>
        </w:rPr>
        <w:t>Doing any work for a third party that may adversely affect your performance or judgment on the job or diminish your ability to devote the necessary time and attention to your duties; and</w:t>
      </w:r>
    </w:p>
    <w:p>
      <w:pPr>
        <w:spacing w:after="0" w:line="1" w:lineRule="exact"/>
        <w:rPr>
          <w:rFonts w:ascii="Arial" w:cs="Arial" w:eastAsia="Arial" w:hAnsi="Arial"/>
          <w:sz w:val="18"/>
          <w:szCs w:val="18"/>
          <w:color w:val="auto"/>
        </w:rPr>
      </w:pPr>
    </w:p>
    <w:p>
      <w:pPr>
        <w:ind w:left="1624" w:hanging="327"/>
        <w:spacing w:after="0"/>
        <w:tabs>
          <w:tab w:leader="none" w:pos="1624" w:val="left"/>
        </w:tabs>
        <w:numPr>
          <w:ilvl w:val="0"/>
          <w:numId w:val="44"/>
        </w:numPr>
        <w:rPr>
          <w:rFonts w:ascii="Arial" w:cs="Arial" w:eastAsia="Arial" w:hAnsi="Arial"/>
          <w:sz w:val="16"/>
          <w:szCs w:val="16"/>
          <w:color w:val="auto"/>
        </w:rPr>
      </w:pPr>
      <w:r>
        <w:rPr>
          <w:rFonts w:ascii="Arial" w:cs="Arial" w:eastAsia="Arial" w:hAnsi="Arial"/>
          <w:sz w:val="18"/>
          <w:szCs w:val="18"/>
          <w:color w:val="auto"/>
        </w:rPr>
        <w:t>Appropriating or diverting to yourself or others any business opportunity or idea in which AGNC might have an</w:t>
      </w:r>
    </w:p>
    <w:p>
      <w:pPr>
        <w:spacing w:after="0" w:line="22" w:lineRule="exact"/>
        <w:rPr>
          <w:sz w:val="20"/>
          <w:szCs w:val="20"/>
          <w:color w:val="auto"/>
        </w:rPr>
      </w:pPr>
    </w:p>
    <w:p>
      <w:pPr>
        <w:ind w:left="1624"/>
        <w:spacing w:after="0"/>
        <w:rPr>
          <w:sz w:val="20"/>
          <w:szCs w:val="20"/>
          <w:color w:val="auto"/>
        </w:rPr>
      </w:pPr>
      <w:r>
        <w:rPr>
          <w:rFonts w:ascii="Arial" w:cs="Arial" w:eastAsia="Arial" w:hAnsi="Arial"/>
          <w:sz w:val="20"/>
          <w:szCs w:val="20"/>
          <w:color w:val="auto"/>
        </w:rPr>
        <w:t>interest.</w:t>
      </w:r>
    </w:p>
    <w:p>
      <w:pPr>
        <w:jc w:val="both"/>
        <w:ind w:left="644"/>
        <w:spacing w:after="0" w:line="241" w:lineRule="auto"/>
        <w:rPr>
          <w:sz w:val="20"/>
          <w:szCs w:val="20"/>
          <w:color w:val="auto"/>
        </w:rPr>
      </w:pPr>
      <w:r>
        <w:rPr>
          <w:rFonts w:ascii="Arial" w:cs="Arial" w:eastAsia="Arial" w:hAnsi="Arial"/>
          <w:sz w:val="20"/>
          <w:szCs w:val="20"/>
          <w:color w:val="auto"/>
        </w:rPr>
        <w:t>These situations (and others like them), where your loyalties to AGNC could be compromised, must be avoided. If you believe that you are involved in a potential conflict of interest, we expect you to discuss it with your supervisor or the Chief Compliance Officer. If a conflict is determined to exist, you must disengage from the conflict situation or terminate your employment.</w:t>
      </w:r>
    </w:p>
    <w:p>
      <w:pPr>
        <w:spacing w:after="0" w:line="189" w:lineRule="exact"/>
        <w:rPr>
          <w:sz w:val="20"/>
          <w:szCs w:val="20"/>
          <w:color w:val="auto"/>
        </w:rPr>
      </w:pPr>
    </w:p>
    <w:p>
      <w:pPr>
        <w:ind w:left="644" w:hanging="644"/>
        <w:spacing w:after="0"/>
        <w:tabs>
          <w:tab w:leader="none" w:pos="644" w:val="left"/>
        </w:tabs>
        <w:numPr>
          <w:ilvl w:val="0"/>
          <w:numId w:val="45"/>
        </w:numPr>
        <w:rPr>
          <w:rFonts w:ascii="Arial" w:cs="Arial" w:eastAsia="Arial" w:hAnsi="Arial"/>
          <w:sz w:val="18"/>
          <w:szCs w:val="18"/>
          <w:color w:val="auto"/>
        </w:rPr>
      </w:pPr>
      <w:r>
        <w:rPr>
          <w:rFonts w:ascii="Arial" w:cs="Arial" w:eastAsia="Arial" w:hAnsi="Arial"/>
          <w:sz w:val="20"/>
          <w:szCs w:val="20"/>
          <w:b w:val="1"/>
          <w:bCs w:val="1"/>
          <w:color w:val="auto"/>
        </w:rPr>
        <w:t>USE OF OUR ASSETS</w:t>
      </w:r>
    </w:p>
    <w:p>
      <w:pPr>
        <w:spacing w:after="0" w:line="21"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You are responsible for the proper use of AGNC’s physical resources and property, as well as its proprietary information.</w:t>
      </w:r>
    </w:p>
    <w:p>
      <w:pPr>
        <w:spacing w:after="0" w:line="222" w:lineRule="exact"/>
        <w:rPr>
          <w:rFonts w:ascii="Arial" w:cs="Arial" w:eastAsia="Arial" w:hAnsi="Arial"/>
          <w:sz w:val="18"/>
          <w:szCs w:val="18"/>
          <w:color w:val="auto"/>
        </w:rPr>
      </w:pPr>
    </w:p>
    <w:p>
      <w:pPr>
        <w:jc w:val="both"/>
        <w:ind w:left="644"/>
        <w:spacing w:after="0" w:line="259" w:lineRule="auto"/>
        <w:rPr>
          <w:rFonts w:ascii="Arial" w:cs="Arial" w:eastAsia="Arial" w:hAnsi="Arial"/>
          <w:sz w:val="18"/>
          <w:szCs w:val="18"/>
          <w:color w:val="auto"/>
        </w:rPr>
      </w:pPr>
      <w:r>
        <w:rPr>
          <w:rFonts w:ascii="Arial" w:cs="Arial" w:eastAsia="Arial" w:hAnsi="Arial"/>
          <w:sz w:val="19"/>
          <w:szCs w:val="19"/>
          <w:color w:val="auto"/>
        </w:rPr>
        <w:t>Our offices, equipment, supplies and other resources may not be used for activities that are not related to your employment with AGNC, except for any activities that have been approved in writing in advance by us, or for personal usage that is minor in amount and reasonable. If you are found to be engaging in, or attempting, theft of any AGNC property, including documents, equipment, intellectual property, personal property of other employees, cash or any other items of value, you may be subject to immediate termination of your employment or contract and possible criminal proceedings. We expect you to report any theft or attempted theft to your supervisor or the Chief Compliance Officer.</w:t>
      </w:r>
    </w:p>
    <w:p>
      <w:pPr>
        <w:spacing w:after="0" w:line="178" w:lineRule="exact"/>
        <w:rPr>
          <w:rFonts w:ascii="Arial" w:cs="Arial" w:eastAsia="Arial" w:hAnsi="Arial"/>
          <w:sz w:val="18"/>
          <w:szCs w:val="18"/>
          <w:color w:val="auto"/>
        </w:rPr>
      </w:pPr>
    </w:p>
    <w:p>
      <w:pPr>
        <w:jc w:val="both"/>
        <w:ind w:left="644"/>
        <w:spacing w:after="0" w:line="271" w:lineRule="auto"/>
        <w:rPr>
          <w:rFonts w:ascii="Arial" w:cs="Arial" w:eastAsia="Arial" w:hAnsi="Arial"/>
          <w:sz w:val="18"/>
          <w:szCs w:val="18"/>
          <w:color w:val="auto"/>
        </w:rPr>
      </w:pPr>
      <w:r>
        <w:rPr>
          <w:rFonts w:ascii="Arial" w:cs="Arial" w:eastAsia="Arial" w:hAnsi="Arial"/>
          <w:sz w:val="18"/>
          <w:szCs w:val="18"/>
          <w:color w:val="auto"/>
        </w:rPr>
        <w:t>Proprietary words, slogans, symbols, logos or other devices used to identify AGNC and its proprietary methods and services are important business tools and valuable assets, which require care in their use and treatment. You may not negotiate or enter into any agreement respecting AGNC’s trademarks, service marks or logos without first consulting a member of our Legal team. We also respect the intellectual property rights of others. Thus, using the trademark or service mark of, or referencing for marketing purposes, another company (even one with whom AGNC has a business relationship), requires clearance or approval by our Legal team, to determine whether the use of that other company’s mark is proper. You should avoid the unauthorized use of copyrighted or patented materials of others and should ask a member of the Legal team if you have any questions regarding the permissibility of photocopying, excerpting, electronically copying or otherwise using copyrighted or patented materials. In addition, simply because material is available for copying (such as content or images downloaded from the internet) does not mean that it is automatically legal or permissible to copy or distribute.</w:t>
      </w:r>
    </w:p>
    <w:p>
      <w:pPr>
        <w:spacing w:after="0" w:line="168" w:lineRule="exact"/>
        <w:rPr>
          <w:rFonts w:ascii="Arial" w:cs="Arial" w:eastAsia="Arial" w:hAnsi="Arial"/>
          <w:sz w:val="18"/>
          <w:szCs w:val="18"/>
          <w:color w:val="auto"/>
        </w:rPr>
      </w:pPr>
    </w:p>
    <w:p>
      <w:pPr>
        <w:ind w:left="644" w:hanging="644"/>
        <w:spacing w:after="0"/>
        <w:tabs>
          <w:tab w:leader="none" w:pos="644" w:val="left"/>
        </w:tabs>
        <w:numPr>
          <w:ilvl w:val="0"/>
          <w:numId w:val="45"/>
        </w:numPr>
        <w:rPr>
          <w:rFonts w:ascii="Arial" w:cs="Arial" w:eastAsia="Arial" w:hAnsi="Arial"/>
          <w:sz w:val="18"/>
          <w:szCs w:val="18"/>
          <w:color w:val="auto"/>
        </w:rPr>
      </w:pPr>
      <w:r>
        <w:rPr>
          <w:rFonts w:ascii="Arial" w:cs="Arial" w:eastAsia="Arial" w:hAnsi="Arial"/>
          <w:sz w:val="20"/>
          <w:szCs w:val="20"/>
          <w:b w:val="1"/>
          <w:bCs w:val="1"/>
          <w:color w:val="auto"/>
        </w:rPr>
        <w:t>GIFTS, GRATUITIES AND ENTERTAINMENT</w:t>
      </w:r>
    </w:p>
    <w:p>
      <w:pPr>
        <w:spacing w:after="0" w:line="21" w:lineRule="exact"/>
        <w:rPr>
          <w:rFonts w:ascii="Arial" w:cs="Arial" w:eastAsia="Arial" w:hAnsi="Arial"/>
          <w:sz w:val="18"/>
          <w:szCs w:val="18"/>
          <w:color w:val="auto"/>
        </w:rPr>
      </w:pPr>
    </w:p>
    <w:p>
      <w:pPr>
        <w:ind w:left="1304" w:hanging="655"/>
        <w:spacing w:after="0"/>
        <w:tabs>
          <w:tab w:leader="none" w:pos="1304" w:val="left"/>
        </w:tabs>
        <w:numPr>
          <w:ilvl w:val="1"/>
          <w:numId w:val="45"/>
        </w:numPr>
        <w:rPr>
          <w:rFonts w:ascii="Arial" w:cs="Arial" w:eastAsia="Arial" w:hAnsi="Arial"/>
          <w:sz w:val="18"/>
          <w:szCs w:val="18"/>
          <w:color w:val="auto"/>
        </w:rPr>
      </w:pPr>
      <w:r>
        <w:rPr>
          <w:rFonts w:ascii="Arial" w:cs="Arial" w:eastAsia="Arial" w:hAnsi="Arial"/>
          <w:sz w:val="20"/>
          <w:szCs w:val="20"/>
          <w:b w:val="1"/>
          <w:bCs w:val="1"/>
          <w:color w:val="auto"/>
        </w:rPr>
        <w:t>Giving</w:t>
      </w:r>
    </w:p>
    <w:p>
      <w:pPr>
        <w:jc w:val="both"/>
        <w:ind w:left="1304"/>
        <w:spacing w:after="0" w:line="241" w:lineRule="auto"/>
        <w:rPr>
          <w:rFonts w:ascii="Arial" w:cs="Arial" w:eastAsia="Arial" w:hAnsi="Arial"/>
          <w:sz w:val="18"/>
          <w:szCs w:val="18"/>
          <w:color w:val="auto"/>
        </w:rPr>
      </w:pPr>
      <w:r>
        <w:rPr>
          <w:rFonts w:ascii="Arial" w:cs="Arial" w:eastAsia="Arial" w:hAnsi="Arial"/>
          <w:sz w:val="20"/>
          <w:szCs w:val="20"/>
          <w:color w:val="auto"/>
        </w:rPr>
        <w:t>You may not offer money, gifts or other items or services of value to anyone with whom we do business or potentially would do business for the purpose of securing an investment opportunity or contract or obtaining favorable treatment. Business-connected favors or gifts may not be extended unless they:</w:t>
      </w:r>
    </w:p>
    <w:p>
      <w:pPr>
        <w:spacing w:after="0" w:line="196" w:lineRule="exact"/>
        <w:rPr>
          <w:rFonts w:ascii="Arial" w:cs="Arial" w:eastAsia="Arial" w:hAnsi="Arial"/>
          <w:sz w:val="18"/>
          <w:szCs w:val="18"/>
          <w:color w:val="auto"/>
        </w:rPr>
      </w:pPr>
    </w:p>
    <w:p>
      <w:pPr>
        <w:ind w:left="1304"/>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9"/>
          <w:szCs w:val="19"/>
          <w:color w:val="auto"/>
        </w:rPr>
        <w:t>Are consistent with customary business practices;</w:t>
      </w:r>
    </w:p>
    <w:p>
      <w:pPr>
        <w:sectPr>
          <w:pgSz w:w="11900" w:h="16838" w:orient="portrait"/>
          <w:cols w:equalWidth="0" w:num="1">
            <w:col w:w="10764"/>
          </w:cols>
          <w:pgMar w:left="896" w:top="582" w:right="239" w:bottom="1440" w:gutter="0" w:footer="0" w:header="0"/>
        </w:sectPr>
      </w:pPr>
    </w:p>
    <w:bookmarkStart w:id="57" w:name="page58"/>
    <w:bookmarkEnd w:id="57"/>
    <w:p>
      <w:pPr>
        <w:ind w:left="2280" w:hanging="327"/>
        <w:spacing w:after="0"/>
        <w:tabs>
          <w:tab w:leader="none" w:pos="22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Do not have substantial monetary value and would not be viewed as improper by others; and</w:t>
      </w:r>
    </w:p>
    <w:p>
      <w:pPr>
        <w:spacing w:after="0" w:line="15" w:lineRule="exact"/>
        <w:rPr>
          <w:rFonts w:ascii="Arial" w:cs="Arial" w:eastAsia="Arial" w:hAnsi="Arial"/>
          <w:sz w:val="18"/>
          <w:szCs w:val="18"/>
          <w:color w:val="auto"/>
        </w:rPr>
      </w:pPr>
    </w:p>
    <w:p>
      <w:pPr>
        <w:ind w:left="2280" w:hanging="327"/>
        <w:spacing w:after="0"/>
        <w:tabs>
          <w:tab w:leader="none" w:pos="2280" w:val="left"/>
        </w:tabs>
        <w:numPr>
          <w:ilvl w:val="0"/>
          <w:numId w:val="46"/>
        </w:numPr>
        <w:rPr>
          <w:rFonts w:ascii="Arial" w:cs="Arial" w:eastAsia="Arial" w:hAnsi="Arial"/>
          <w:sz w:val="18"/>
          <w:szCs w:val="18"/>
          <w:color w:val="auto"/>
        </w:rPr>
      </w:pPr>
      <w:r>
        <w:rPr>
          <w:rFonts w:ascii="Arial" w:cs="Arial" w:eastAsia="Arial" w:hAnsi="Arial"/>
          <w:sz w:val="20"/>
          <w:szCs w:val="20"/>
          <w:color w:val="auto"/>
        </w:rPr>
        <w:t>Do not violate applicable laws, rules or regulations.</w:t>
      </w:r>
    </w:p>
    <w:p>
      <w:pPr>
        <w:jc w:val="both"/>
        <w:ind w:left="1960"/>
        <w:spacing w:after="0" w:line="241" w:lineRule="auto"/>
        <w:rPr>
          <w:sz w:val="20"/>
          <w:szCs w:val="20"/>
          <w:color w:val="auto"/>
        </w:rPr>
      </w:pPr>
      <w:r>
        <w:rPr>
          <w:rFonts w:ascii="Arial" w:cs="Arial" w:eastAsia="Arial" w:hAnsi="Arial"/>
          <w:sz w:val="20"/>
          <w:szCs w:val="20"/>
          <w:color w:val="auto"/>
        </w:rPr>
        <w:t>Business entertainment in the form of meals and beverages may be offered only if these activities and related expenses are modest and infrequent. Other forms of entertainment (such as tickets to sporting, civic or cultural events) are allowed only if reasonable, customary and not excessive.</w:t>
      </w:r>
    </w:p>
    <w:p>
      <w:pPr>
        <w:spacing w:after="0" w:line="190" w:lineRule="exact"/>
        <w:rPr>
          <w:sz w:val="20"/>
          <w:szCs w:val="20"/>
          <w:color w:val="auto"/>
        </w:rPr>
      </w:pPr>
    </w:p>
    <w:p>
      <w:pPr>
        <w:ind w:left="1960" w:hanging="655"/>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20"/>
          <w:szCs w:val="20"/>
          <w:b w:val="1"/>
          <w:bCs w:val="1"/>
          <w:color w:val="auto"/>
        </w:rPr>
        <w:t>Receiving</w:t>
      </w:r>
    </w:p>
    <w:p>
      <w:pPr>
        <w:spacing w:after="0" w:line="21" w:lineRule="exact"/>
        <w:rPr>
          <w:rFonts w:ascii="Arial" w:cs="Arial" w:eastAsia="Arial" w:hAnsi="Arial"/>
          <w:sz w:val="18"/>
          <w:szCs w:val="18"/>
          <w:color w:val="auto"/>
        </w:rPr>
      </w:pPr>
    </w:p>
    <w:p>
      <w:pPr>
        <w:ind w:left="1960" w:right="20"/>
        <w:spacing w:after="0" w:line="298" w:lineRule="auto"/>
        <w:rPr>
          <w:rFonts w:ascii="Arial" w:cs="Arial" w:eastAsia="Arial" w:hAnsi="Arial"/>
          <w:sz w:val="18"/>
          <w:szCs w:val="18"/>
          <w:color w:val="auto"/>
        </w:rPr>
      </w:pPr>
      <w:r>
        <w:rPr>
          <w:rFonts w:ascii="Arial" w:cs="Arial" w:eastAsia="Arial" w:hAnsi="Arial"/>
          <w:sz w:val="18"/>
          <w:szCs w:val="18"/>
          <w:color w:val="auto"/>
        </w:rPr>
        <w:t>To avoid even the implication of impropriety, you should decline any gift, favor, entertainment or anything else of value from current or prospective intermediaries, clients, suppliers or contractors or their representatives except for:</w:t>
      </w:r>
    </w:p>
    <w:p>
      <w:pPr>
        <w:spacing w:after="0" w:line="145" w:lineRule="exact"/>
        <w:rPr>
          <w:rFonts w:ascii="Arial" w:cs="Arial" w:eastAsia="Arial" w:hAnsi="Arial"/>
          <w:sz w:val="18"/>
          <w:szCs w:val="18"/>
          <w:color w:val="auto"/>
        </w:rPr>
      </w:pPr>
    </w:p>
    <w:p>
      <w:pPr>
        <w:ind w:left="2280" w:hanging="327"/>
        <w:spacing w:after="0"/>
        <w:tabs>
          <w:tab w:leader="none" w:pos="2280" w:val="left"/>
        </w:tabs>
        <w:numPr>
          <w:ilvl w:val="1"/>
          <w:numId w:val="47"/>
        </w:numPr>
        <w:rPr>
          <w:rFonts w:ascii="Arial" w:cs="Arial" w:eastAsia="Arial" w:hAnsi="Arial"/>
          <w:sz w:val="18"/>
          <w:szCs w:val="18"/>
          <w:color w:val="auto"/>
        </w:rPr>
      </w:pPr>
      <w:r>
        <w:rPr>
          <w:rFonts w:ascii="Arial" w:cs="Arial" w:eastAsia="Arial" w:hAnsi="Arial"/>
          <w:sz w:val="20"/>
          <w:szCs w:val="20"/>
          <w:color w:val="auto"/>
        </w:rPr>
        <w:t>Gifts that do not have substantial monetary value given at holidays or other special occasions;</w:t>
      </w:r>
    </w:p>
    <w:p>
      <w:pPr>
        <w:spacing w:after="0" w:line="15" w:lineRule="exact"/>
        <w:rPr>
          <w:rFonts w:ascii="Arial" w:cs="Arial" w:eastAsia="Arial" w:hAnsi="Arial"/>
          <w:sz w:val="18"/>
          <w:szCs w:val="18"/>
          <w:color w:val="auto"/>
        </w:rPr>
      </w:pPr>
    </w:p>
    <w:p>
      <w:pPr>
        <w:ind w:left="2280" w:right="40" w:hanging="327"/>
        <w:spacing w:after="0" w:line="239" w:lineRule="auto"/>
        <w:tabs>
          <w:tab w:leader="none" w:pos="2280" w:val="left"/>
        </w:tabs>
        <w:numPr>
          <w:ilvl w:val="1"/>
          <w:numId w:val="47"/>
        </w:numPr>
        <w:rPr>
          <w:rFonts w:ascii="Arial" w:cs="Arial" w:eastAsia="Arial" w:hAnsi="Arial"/>
          <w:sz w:val="18"/>
          <w:szCs w:val="18"/>
          <w:color w:val="auto"/>
        </w:rPr>
      </w:pPr>
      <w:r>
        <w:rPr>
          <w:rFonts w:ascii="Arial" w:cs="Arial" w:eastAsia="Arial" w:hAnsi="Arial"/>
          <w:sz w:val="20"/>
          <w:szCs w:val="20"/>
          <w:color w:val="auto"/>
        </w:rPr>
        <w:t>Reasonable entertainment at lunch, dinner or business meetings where the return of the expenditure on a reciprocal basis is likely to occur and would be properly chargeable as a business expense; or</w:t>
      </w:r>
    </w:p>
    <w:p>
      <w:pPr>
        <w:spacing w:after="0" w:line="1" w:lineRule="exact"/>
        <w:rPr>
          <w:rFonts w:ascii="Arial" w:cs="Arial" w:eastAsia="Arial" w:hAnsi="Arial"/>
          <w:sz w:val="18"/>
          <w:szCs w:val="18"/>
          <w:color w:val="auto"/>
        </w:rPr>
      </w:pPr>
    </w:p>
    <w:p>
      <w:pPr>
        <w:ind w:left="2280" w:hanging="327"/>
        <w:spacing w:after="0"/>
        <w:tabs>
          <w:tab w:leader="none" w:pos="2280" w:val="left"/>
        </w:tabs>
        <w:numPr>
          <w:ilvl w:val="1"/>
          <w:numId w:val="47"/>
        </w:numPr>
        <w:rPr>
          <w:rFonts w:ascii="Arial" w:cs="Arial" w:eastAsia="Arial" w:hAnsi="Arial"/>
          <w:sz w:val="16"/>
          <w:szCs w:val="16"/>
          <w:color w:val="auto"/>
        </w:rPr>
      </w:pPr>
      <w:r>
        <w:rPr>
          <w:rFonts w:ascii="Arial" w:cs="Arial" w:eastAsia="Arial" w:hAnsi="Arial"/>
          <w:sz w:val="18"/>
          <w:szCs w:val="18"/>
          <w:color w:val="auto"/>
        </w:rPr>
        <w:t>Other routine entertainment that is business-related such as sports outings or cultural events, but only if such is</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otherwise acceptable under this Code and is reasonable, customary and not excessive.</w:t>
      </w:r>
    </w:p>
    <w:p>
      <w:pPr>
        <w:jc w:val="both"/>
        <w:ind w:left="1960"/>
        <w:spacing w:after="0" w:line="241" w:lineRule="auto"/>
        <w:rPr>
          <w:sz w:val="20"/>
          <w:szCs w:val="20"/>
          <w:color w:val="auto"/>
        </w:rPr>
      </w:pPr>
      <w:r>
        <w:rPr>
          <w:rFonts w:ascii="Arial" w:cs="Arial" w:eastAsia="Arial" w:hAnsi="Arial"/>
          <w:sz w:val="20"/>
          <w:szCs w:val="20"/>
          <w:color w:val="auto"/>
        </w:rPr>
        <w:t>In the event that you receive any gift or entertainment with a fair market value in excess of $200, you must promptly report it to your supervisor and/or such other person as may be designated by the Chief Compliance Officer. Executive officers must report such gifts or entertainment in writing, on a periodic basis, to the Audit Committee of the Board of Directors (the “Audit Committee”).</w:t>
      </w:r>
    </w:p>
    <w:p>
      <w:pPr>
        <w:spacing w:after="0" w:line="195" w:lineRule="exact"/>
        <w:rPr>
          <w:sz w:val="20"/>
          <w:szCs w:val="20"/>
          <w:color w:val="auto"/>
        </w:rPr>
      </w:pPr>
    </w:p>
    <w:p>
      <w:pPr>
        <w:jc w:val="both"/>
        <w:ind w:left="1960"/>
        <w:spacing w:after="0" w:line="250" w:lineRule="auto"/>
        <w:rPr>
          <w:sz w:val="20"/>
          <w:szCs w:val="20"/>
          <w:color w:val="auto"/>
        </w:rPr>
      </w:pPr>
      <w:r>
        <w:rPr>
          <w:rFonts w:ascii="Arial" w:cs="Arial" w:eastAsia="Arial" w:hAnsi="Arial"/>
          <w:sz w:val="20"/>
          <w:szCs w:val="20"/>
          <w:color w:val="auto"/>
        </w:rPr>
        <w:t>Ultimately, you must exercise good business judgment in deciding which situations are unacceptable. If there is ever any doubt as to the acceptability of any entertainment activity, consult with your supervisor or our Chief Compliance Officer.</w:t>
      </w:r>
    </w:p>
    <w:p>
      <w:pPr>
        <w:spacing w:after="0" w:line="180"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b w:val="1"/>
          <w:bCs w:val="1"/>
          <w:color w:val="auto"/>
        </w:rPr>
        <w:t>MAINTAINING ACCURATE AND COMPLETE COMPANY RECORDS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20"/>
          <w:szCs w:val="20"/>
          <w:b w:val="1"/>
          <w:bCs w:val="1"/>
          <w:color w:val="auto"/>
        </w:rPr>
        <w:t>ACCOUNTING AND FINANCIAL RECORDS</w:t>
      </w:r>
    </w:p>
    <w:p>
      <w:pPr>
        <w:jc w:val="both"/>
        <w:ind w:left="1300"/>
        <w:spacing w:after="0" w:line="258" w:lineRule="auto"/>
        <w:rPr>
          <w:rFonts w:ascii="Arial" w:cs="Arial" w:eastAsia="Arial" w:hAnsi="Arial"/>
          <w:sz w:val="18"/>
          <w:szCs w:val="18"/>
          <w:color w:val="auto"/>
        </w:rPr>
      </w:pPr>
      <w:r>
        <w:rPr>
          <w:rFonts w:ascii="Arial" w:cs="Arial" w:eastAsia="Arial" w:hAnsi="Arial"/>
          <w:sz w:val="19"/>
          <w:szCs w:val="19"/>
          <w:color w:val="auto"/>
        </w:rPr>
        <w:t>We are required under U.S. federal securities laws and generally accepted accounting principles to keep books, records and accounts that accurately reflect all transactions and to provide an adequate system of internal accounting and controls. We expect you to ensure that those portions of our books, records and accounts for which you have responsibility are valid, complete, accurate and supported by appropriate documentation in verifiable form.</w:t>
      </w:r>
    </w:p>
    <w:p>
      <w:pPr>
        <w:spacing w:after="0" w:line="17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You should not:</w:t>
      </w:r>
    </w:p>
    <w:p>
      <w:pPr>
        <w:spacing w:after="0" w:line="215" w:lineRule="exact"/>
        <w:rPr>
          <w:rFonts w:ascii="Arial" w:cs="Arial" w:eastAsia="Arial" w:hAnsi="Arial"/>
          <w:sz w:val="18"/>
          <w:szCs w:val="18"/>
          <w:color w:val="auto"/>
        </w:rPr>
      </w:pPr>
    </w:p>
    <w:p>
      <w:pPr>
        <w:ind w:left="2280" w:hanging="327"/>
        <w:spacing w:after="0"/>
        <w:tabs>
          <w:tab w:leader="none" w:pos="2280" w:val="left"/>
        </w:tabs>
        <w:numPr>
          <w:ilvl w:val="2"/>
          <w:numId w:val="48"/>
        </w:numPr>
        <w:rPr>
          <w:rFonts w:ascii="Arial" w:cs="Arial" w:eastAsia="Arial" w:hAnsi="Arial"/>
          <w:sz w:val="18"/>
          <w:szCs w:val="18"/>
          <w:color w:val="auto"/>
        </w:rPr>
      </w:pPr>
      <w:r>
        <w:rPr>
          <w:rFonts w:ascii="Arial" w:cs="Arial" w:eastAsia="Arial" w:hAnsi="Arial"/>
          <w:sz w:val="20"/>
          <w:szCs w:val="20"/>
          <w:color w:val="auto"/>
        </w:rPr>
        <w:t>Improperly accelerate or defer expenses or revenues to achieve financial results or goals;</w:t>
      </w:r>
    </w:p>
    <w:p>
      <w:pPr>
        <w:spacing w:after="0" w:line="15" w:lineRule="exact"/>
        <w:rPr>
          <w:rFonts w:ascii="Arial" w:cs="Arial" w:eastAsia="Arial" w:hAnsi="Arial"/>
          <w:sz w:val="18"/>
          <w:szCs w:val="18"/>
          <w:color w:val="auto"/>
        </w:rPr>
      </w:pPr>
    </w:p>
    <w:p>
      <w:pPr>
        <w:ind w:left="2280" w:hanging="327"/>
        <w:spacing w:after="0"/>
        <w:tabs>
          <w:tab w:leader="none" w:pos="2280" w:val="left"/>
        </w:tabs>
        <w:numPr>
          <w:ilvl w:val="2"/>
          <w:numId w:val="48"/>
        </w:numPr>
        <w:rPr>
          <w:rFonts w:ascii="Arial" w:cs="Arial" w:eastAsia="Arial" w:hAnsi="Arial"/>
          <w:sz w:val="18"/>
          <w:szCs w:val="18"/>
          <w:color w:val="auto"/>
        </w:rPr>
      </w:pPr>
      <w:r>
        <w:rPr>
          <w:rFonts w:ascii="Arial" w:cs="Arial" w:eastAsia="Arial" w:hAnsi="Arial"/>
          <w:sz w:val="20"/>
          <w:szCs w:val="20"/>
          <w:color w:val="auto"/>
        </w:rPr>
        <w:t>Deviate from any accounting standards applicable to AGNC or otherwise;</w:t>
      </w:r>
    </w:p>
    <w:p>
      <w:pPr>
        <w:ind w:left="2280" w:hanging="327"/>
        <w:spacing w:after="0"/>
        <w:tabs>
          <w:tab w:leader="none" w:pos="2280" w:val="left"/>
        </w:tabs>
        <w:numPr>
          <w:ilvl w:val="2"/>
          <w:numId w:val="48"/>
        </w:numPr>
        <w:rPr>
          <w:rFonts w:ascii="Arial" w:cs="Arial" w:eastAsia="Arial" w:hAnsi="Arial"/>
          <w:sz w:val="18"/>
          <w:szCs w:val="18"/>
          <w:color w:val="auto"/>
        </w:rPr>
      </w:pPr>
      <w:r>
        <w:rPr>
          <w:rFonts w:ascii="Arial" w:cs="Arial" w:eastAsia="Arial" w:hAnsi="Arial"/>
          <w:sz w:val="20"/>
          <w:szCs w:val="20"/>
          <w:color w:val="auto"/>
        </w:rPr>
        <w:t>Participate in the valuation of any of our assets at a value other than that required by law;</w:t>
      </w:r>
    </w:p>
    <w:p>
      <w:pPr>
        <w:ind w:left="2280" w:hanging="327"/>
        <w:spacing w:after="0"/>
        <w:tabs>
          <w:tab w:leader="none" w:pos="2280" w:val="left"/>
        </w:tabs>
        <w:numPr>
          <w:ilvl w:val="2"/>
          <w:numId w:val="48"/>
        </w:numPr>
        <w:rPr>
          <w:rFonts w:ascii="Arial" w:cs="Arial" w:eastAsia="Arial" w:hAnsi="Arial"/>
          <w:sz w:val="18"/>
          <w:szCs w:val="18"/>
          <w:color w:val="auto"/>
        </w:rPr>
      </w:pPr>
      <w:r>
        <w:rPr>
          <w:rFonts w:ascii="Arial" w:cs="Arial" w:eastAsia="Arial" w:hAnsi="Arial"/>
          <w:sz w:val="20"/>
          <w:szCs w:val="20"/>
          <w:color w:val="auto"/>
        </w:rPr>
        <w:t>Maintain any undisclosed or unrecorded funds or off the book assets;</w:t>
      </w:r>
    </w:p>
    <w:p>
      <w:pPr>
        <w:ind w:left="2280" w:right="580" w:hanging="327"/>
        <w:spacing w:after="0" w:line="239" w:lineRule="auto"/>
        <w:tabs>
          <w:tab w:leader="none" w:pos="2280" w:val="left"/>
        </w:tabs>
        <w:numPr>
          <w:ilvl w:val="2"/>
          <w:numId w:val="48"/>
        </w:numPr>
        <w:rPr>
          <w:rFonts w:ascii="Arial" w:cs="Arial" w:eastAsia="Arial" w:hAnsi="Arial"/>
          <w:sz w:val="18"/>
          <w:szCs w:val="18"/>
          <w:color w:val="auto"/>
        </w:rPr>
      </w:pPr>
      <w:r>
        <w:rPr>
          <w:rFonts w:ascii="Arial" w:cs="Arial" w:eastAsia="Arial" w:hAnsi="Arial"/>
          <w:sz w:val="20"/>
          <w:szCs w:val="20"/>
          <w:color w:val="auto"/>
        </w:rPr>
        <w:t>Establish or maintain improper, misleading, incomplete or fraudulent accounting documentation or financial reporting;</w:t>
      </w:r>
    </w:p>
    <w:p>
      <w:pPr>
        <w:spacing w:after="0" w:line="1" w:lineRule="exact"/>
        <w:rPr>
          <w:rFonts w:ascii="Arial" w:cs="Arial" w:eastAsia="Arial" w:hAnsi="Arial"/>
          <w:sz w:val="18"/>
          <w:szCs w:val="18"/>
          <w:color w:val="auto"/>
        </w:rPr>
      </w:pPr>
    </w:p>
    <w:p>
      <w:pPr>
        <w:ind w:left="2280" w:hanging="327"/>
        <w:spacing w:after="0"/>
        <w:tabs>
          <w:tab w:leader="none" w:pos="2280" w:val="left"/>
        </w:tabs>
        <w:numPr>
          <w:ilvl w:val="2"/>
          <w:numId w:val="48"/>
        </w:numPr>
        <w:rPr>
          <w:rFonts w:ascii="Arial" w:cs="Arial" w:eastAsia="Arial" w:hAnsi="Arial"/>
          <w:sz w:val="18"/>
          <w:szCs w:val="18"/>
          <w:color w:val="auto"/>
        </w:rPr>
      </w:pPr>
      <w:r>
        <w:rPr>
          <w:rFonts w:ascii="Arial" w:cs="Arial" w:eastAsia="Arial" w:hAnsi="Arial"/>
          <w:sz w:val="20"/>
          <w:szCs w:val="20"/>
          <w:color w:val="auto"/>
        </w:rPr>
        <w:t>Make any payment for purposes other than those described in the documents supporting the payment;</w:t>
      </w:r>
    </w:p>
    <w:p>
      <w:pPr>
        <w:ind w:left="2280" w:right="440" w:hanging="327"/>
        <w:spacing w:after="0" w:line="239" w:lineRule="auto"/>
        <w:tabs>
          <w:tab w:leader="none" w:pos="2280" w:val="left"/>
        </w:tabs>
        <w:numPr>
          <w:ilvl w:val="2"/>
          <w:numId w:val="48"/>
        </w:numPr>
        <w:rPr>
          <w:rFonts w:ascii="Arial" w:cs="Arial" w:eastAsia="Arial" w:hAnsi="Arial"/>
          <w:sz w:val="18"/>
          <w:szCs w:val="18"/>
          <w:color w:val="auto"/>
        </w:rPr>
      </w:pPr>
      <w:r>
        <w:rPr>
          <w:rFonts w:ascii="Arial" w:cs="Arial" w:eastAsia="Arial" w:hAnsi="Arial"/>
          <w:sz w:val="20"/>
          <w:szCs w:val="20"/>
          <w:color w:val="auto"/>
        </w:rPr>
        <w:t>Submit or approve any expense report where you know or suspect that any portion of the underlying expenses were not incurred or are not accurate; or</w:t>
      </w:r>
    </w:p>
    <w:p>
      <w:pPr>
        <w:spacing w:after="0" w:line="1" w:lineRule="exact"/>
        <w:rPr>
          <w:rFonts w:ascii="Arial" w:cs="Arial" w:eastAsia="Arial" w:hAnsi="Arial"/>
          <w:sz w:val="18"/>
          <w:szCs w:val="18"/>
          <w:color w:val="auto"/>
        </w:rPr>
      </w:pPr>
    </w:p>
    <w:p>
      <w:pPr>
        <w:ind w:left="2280" w:hanging="327"/>
        <w:spacing w:after="0"/>
        <w:tabs>
          <w:tab w:leader="none" w:pos="2280" w:val="left"/>
        </w:tabs>
        <w:numPr>
          <w:ilvl w:val="2"/>
          <w:numId w:val="48"/>
        </w:numPr>
        <w:rPr>
          <w:rFonts w:ascii="Arial" w:cs="Arial" w:eastAsia="Arial" w:hAnsi="Arial"/>
          <w:sz w:val="18"/>
          <w:szCs w:val="18"/>
          <w:color w:val="auto"/>
        </w:rPr>
      </w:pPr>
      <w:r>
        <w:rPr>
          <w:rFonts w:ascii="Arial" w:cs="Arial" w:eastAsia="Arial" w:hAnsi="Arial"/>
          <w:sz w:val="20"/>
          <w:szCs w:val="20"/>
          <w:color w:val="auto"/>
        </w:rPr>
        <w:t>Sign any documents believed to be inaccurate or untruthful.</w:t>
      </w:r>
    </w:p>
    <w:p>
      <w:pPr>
        <w:sectPr>
          <w:pgSz w:w="11900" w:h="16838" w:orient="portrait"/>
          <w:cols w:equalWidth="0" w:num="1">
            <w:col w:w="11420"/>
          </w:cols>
          <w:pgMar w:left="240" w:top="582" w:right="239" w:bottom="1440" w:gutter="0" w:footer="0" w:header="0"/>
        </w:sectPr>
      </w:pPr>
    </w:p>
    <w:bookmarkStart w:id="58" w:name="page59"/>
    <w:bookmarkEnd w:id="58"/>
    <w:p>
      <w:pPr>
        <w:jc w:val="both"/>
        <w:ind w:left="644"/>
        <w:spacing w:after="0" w:line="278" w:lineRule="auto"/>
        <w:rPr>
          <w:sz w:val="20"/>
          <w:szCs w:val="20"/>
          <w:color w:val="auto"/>
        </w:rPr>
      </w:pPr>
      <w:r>
        <w:rPr>
          <w:rFonts w:ascii="Arial" w:cs="Arial" w:eastAsia="Arial" w:hAnsi="Arial"/>
          <w:sz w:val="18"/>
          <w:szCs w:val="18"/>
          <w:color w:val="auto"/>
        </w:rPr>
        <w:t>AGNC people who exercise supervisory duties over our assets or records are expected to establish and implement appropriate internal controls over all areas of their responsibility. This will help ensure the safeguarding of AGNC’s assets and the accuracy of our financial records and reports. We have adopted and will continue to adopt various types of internal controls and procedures as required to meet internal needs and applicable laws and regulations. We expect you to follow these controls and procedures to the extent they apply to you, to assure the complete and accurate recording of all transactions.</w:t>
      </w:r>
    </w:p>
    <w:p>
      <w:pPr>
        <w:spacing w:after="0" w:line="165" w:lineRule="exact"/>
        <w:rPr>
          <w:sz w:val="20"/>
          <w:szCs w:val="20"/>
          <w:color w:val="auto"/>
        </w:rPr>
      </w:pPr>
    </w:p>
    <w:p>
      <w:pPr>
        <w:jc w:val="both"/>
        <w:ind w:left="644"/>
        <w:spacing w:after="0" w:line="291" w:lineRule="auto"/>
        <w:rPr>
          <w:sz w:val="20"/>
          <w:szCs w:val="20"/>
          <w:color w:val="auto"/>
        </w:rPr>
      </w:pPr>
      <w:r>
        <w:rPr>
          <w:rFonts w:ascii="Arial" w:cs="Arial" w:eastAsia="Arial" w:hAnsi="Arial"/>
          <w:sz w:val="18"/>
          <w:szCs w:val="18"/>
          <w:color w:val="auto"/>
        </w:rPr>
        <w:t>Any accounting entries or adjustments that materially depart from generally accepted accounting principles must be approved by our Audit Committee and reported to our independent auditors. You must not interfere with or seek to influence improperly (directly or indirectly) the review or auditing of our financial records by our Audit Committee or independent auditors.</w:t>
      </w:r>
    </w:p>
    <w:p>
      <w:pPr>
        <w:spacing w:after="0" w:line="152" w:lineRule="exact"/>
        <w:rPr>
          <w:sz w:val="20"/>
          <w:szCs w:val="20"/>
          <w:color w:val="auto"/>
        </w:rPr>
      </w:pPr>
    </w:p>
    <w:p>
      <w:pPr>
        <w:jc w:val="both"/>
        <w:ind w:left="644"/>
        <w:spacing w:after="0" w:line="243" w:lineRule="auto"/>
        <w:rPr>
          <w:sz w:val="20"/>
          <w:szCs w:val="20"/>
          <w:color w:val="auto"/>
        </w:rPr>
      </w:pPr>
      <w:r>
        <w:rPr>
          <w:rFonts w:ascii="Arial" w:cs="Arial" w:eastAsia="Arial" w:hAnsi="Arial"/>
          <w:sz w:val="20"/>
          <w:szCs w:val="20"/>
          <w:color w:val="auto"/>
        </w:rPr>
        <w:t>If you become aware of any questionable transaction or accounting practice concerning AGNC, our investments or our other assets, we expect you to report the matter immediately to our Chief Compliance Officer or to a member of our Audit Committee. In addition, we expect you to report all material off-balance-sheet transactions, arrangements and obligations, contingent or otherwise, and other AGNC relationships outside the ordinary course of business with unconsolidated entities or other persons that may have material current or future effects on our financial condition or results of operations to our Chief Compliance Officer or to a member of our Audit Committee.</w:t>
      </w:r>
    </w:p>
    <w:p>
      <w:pPr>
        <w:spacing w:after="0" w:line="197" w:lineRule="exact"/>
        <w:rPr>
          <w:sz w:val="20"/>
          <w:szCs w:val="20"/>
          <w:color w:val="auto"/>
        </w:rPr>
      </w:pPr>
    </w:p>
    <w:p>
      <w:pPr>
        <w:jc w:val="both"/>
        <w:ind w:left="644"/>
        <w:spacing w:after="0" w:line="260" w:lineRule="auto"/>
        <w:rPr>
          <w:sz w:val="20"/>
          <w:szCs w:val="20"/>
          <w:color w:val="auto"/>
        </w:rPr>
      </w:pPr>
      <w:r>
        <w:rPr>
          <w:rFonts w:ascii="Arial" w:cs="Arial" w:eastAsia="Arial" w:hAnsi="Arial"/>
          <w:sz w:val="20"/>
          <w:szCs w:val="20"/>
          <w:color w:val="auto"/>
        </w:rPr>
        <w:t>Section F.2 of this Code describes the procedure for making these reports. You may also make an anonymous report under Section F.2 if you are not comfortable revealing your identity when making a report.</w:t>
      </w:r>
    </w:p>
    <w:p>
      <w:pPr>
        <w:spacing w:after="0" w:line="171" w:lineRule="exact"/>
        <w:rPr>
          <w:sz w:val="20"/>
          <w:szCs w:val="20"/>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20"/>
          <w:szCs w:val="20"/>
          <w:b w:val="1"/>
          <w:bCs w:val="1"/>
          <w:color w:val="auto"/>
        </w:rPr>
        <w:t>DISCLOSURES TO INVESTORS</w:t>
      </w:r>
    </w:p>
    <w:p>
      <w:pPr>
        <w:spacing w:after="0" w:line="21" w:lineRule="exact"/>
        <w:rPr>
          <w:rFonts w:ascii="Arial" w:cs="Arial" w:eastAsia="Arial" w:hAnsi="Arial"/>
          <w:sz w:val="18"/>
          <w:szCs w:val="18"/>
          <w:color w:val="auto"/>
        </w:rPr>
      </w:pPr>
    </w:p>
    <w:p>
      <w:pPr>
        <w:jc w:val="both"/>
        <w:ind w:left="644"/>
        <w:spacing w:after="0" w:line="272" w:lineRule="auto"/>
        <w:rPr>
          <w:rFonts w:ascii="Arial" w:cs="Arial" w:eastAsia="Arial" w:hAnsi="Arial"/>
          <w:sz w:val="18"/>
          <w:szCs w:val="18"/>
          <w:color w:val="auto"/>
        </w:rPr>
      </w:pPr>
      <w:r>
        <w:rPr>
          <w:rFonts w:ascii="Arial" w:cs="Arial" w:eastAsia="Arial" w:hAnsi="Arial"/>
          <w:sz w:val="18"/>
          <w:szCs w:val="18"/>
          <w:color w:val="auto"/>
        </w:rPr>
        <w:t>We are required under U.S. federal securities laws to provide the public with periodic disclosure regarding our business and financial condition (such as quarterly and annual reports and materials for our annual stockholders’ meeting). We provide additional disclosures to the public through our quarterly earnings calls and press releases and provide disclosures to our lenders and other credit providers through various means. All AGNC people who participate in the preparation or dissemination of these disclosures, or who provide information that they know may be used in the preparation of these disclosures, have a legal and ethical duty to ensure that the content of the disclosures is accurate, complete and timely.</w:t>
      </w:r>
    </w:p>
    <w:p>
      <w:pPr>
        <w:spacing w:after="0" w:line="170" w:lineRule="exact"/>
        <w:rPr>
          <w:rFonts w:ascii="Arial" w:cs="Arial" w:eastAsia="Arial" w:hAnsi="Arial"/>
          <w:sz w:val="18"/>
          <w:szCs w:val="18"/>
          <w:color w:val="auto"/>
        </w:rPr>
      </w:pPr>
    </w:p>
    <w:p>
      <w:pPr>
        <w:jc w:val="both"/>
        <w:ind w:left="644"/>
        <w:spacing w:after="0" w:line="246" w:lineRule="auto"/>
        <w:rPr>
          <w:rFonts w:ascii="Arial" w:cs="Arial" w:eastAsia="Arial" w:hAnsi="Arial"/>
          <w:sz w:val="18"/>
          <w:szCs w:val="18"/>
          <w:color w:val="auto"/>
        </w:rPr>
      </w:pPr>
      <w:r>
        <w:rPr>
          <w:rFonts w:ascii="Arial" w:cs="Arial" w:eastAsia="Arial" w:hAnsi="Arial"/>
          <w:sz w:val="20"/>
          <w:szCs w:val="20"/>
          <w:color w:val="auto"/>
        </w:rPr>
        <w:t>We have created and will continue to create disclosure controls and procedures that are designed to ensure that all such disclosures are accurate, complete and timely. If you become aware that our disclosures are not accurate, complete and timely, or become aware of a transaction or development you believe may require disclosure, you should report the matter immediately to our Chief Compliance Officer or a member of the Audit Committee.</w:t>
      </w:r>
    </w:p>
    <w:p>
      <w:pPr>
        <w:spacing w:after="0" w:line="185" w:lineRule="exact"/>
        <w:rPr>
          <w:rFonts w:ascii="Arial" w:cs="Arial" w:eastAsia="Arial" w:hAnsi="Arial"/>
          <w:sz w:val="18"/>
          <w:szCs w:val="18"/>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20"/>
          <w:szCs w:val="20"/>
          <w:b w:val="1"/>
          <w:bCs w:val="1"/>
          <w:color w:val="auto"/>
        </w:rPr>
        <w:t>RETENTION OF DOCUMENTS</w:t>
      </w:r>
    </w:p>
    <w:p>
      <w:pPr>
        <w:spacing w:after="0" w:line="21" w:lineRule="exact"/>
        <w:rPr>
          <w:rFonts w:ascii="Arial" w:cs="Arial" w:eastAsia="Arial" w:hAnsi="Arial"/>
          <w:sz w:val="18"/>
          <w:szCs w:val="18"/>
          <w:color w:val="auto"/>
        </w:rPr>
      </w:pPr>
    </w:p>
    <w:p>
      <w:pPr>
        <w:jc w:val="both"/>
        <w:ind w:left="644"/>
        <w:spacing w:after="0" w:line="272" w:lineRule="auto"/>
        <w:rPr>
          <w:rFonts w:ascii="Arial" w:cs="Arial" w:eastAsia="Arial" w:hAnsi="Arial"/>
          <w:sz w:val="18"/>
          <w:szCs w:val="18"/>
          <w:color w:val="auto"/>
        </w:rPr>
      </w:pPr>
      <w:r>
        <w:rPr>
          <w:rFonts w:ascii="Arial" w:cs="Arial" w:eastAsia="Arial" w:hAnsi="Arial"/>
          <w:sz w:val="18"/>
          <w:szCs w:val="18"/>
          <w:color w:val="auto"/>
        </w:rPr>
        <w:t>Certain types of documents and records (including, for example, e-mails) must be retained for specific periods of time, because of legal and regulatory requirements, or contractual obligations to our providers of capital or others. These periods of time, and the types of documents and records covered, may vary from time to time and will be announced as appropriate. We expect you to comply with the document retention requirements that apply to you. If you are working with these types of documents and records, or are uncertain whether the documents or records you are working with are subject to these retention requirements, please consult with your supervisor, a member of our Legal team or our Chief Compliance Officer.</w:t>
      </w:r>
    </w:p>
    <w:p>
      <w:pPr>
        <w:spacing w:after="0" w:line="170" w:lineRule="exact"/>
        <w:rPr>
          <w:rFonts w:ascii="Arial" w:cs="Arial" w:eastAsia="Arial" w:hAnsi="Arial"/>
          <w:sz w:val="18"/>
          <w:szCs w:val="18"/>
          <w:color w:val="auto"/>
        </w:rPr>
      </w:pPr>
    </w:p>
    <w:p>
      <w:pPr>
        <w:jc w:val="both"/>
        <w:ind w:left="644"/>
        <w:spacing w:after="0" w:line="250" w:lineRule="auto"/>
        <w:rPr>
          <w:rFonts w:ascii="Arial" w:cs="Arial" w:eastAsia="Arial" w:hAnsi="Arial"/>
          <w:sz w:val="18"/>
          <w:szCs w:val="18"/>
          <w:color w:val="auto"/>
        </w:rPr>
      </w:pPr>
      <w:r>
        <w:rPr>
          <w:rFonts w:ascii="Arial" w:cs="Arial" w:eastAsia="Arial" w:hAnsi="Arial"/>
          <w:sz w:val="20"/>
          <w:szCs w:val="20"/>
          <w:color w:val="auto"/>
        </w:rPr>
        <w:t>Whenever you become aware that documents or records of any type may be required in connection with a lawsuit or government investigation, you must preserve all possibly relevant documents. This means that you must immediately stop disposing of or altering those documents pertaining to the</w:t>
      </w:r>
    </w:p>
    <w:p>
      <w:pPr>
        <w:sectPr>
          <w:pgSz w:w="11900" w:h="16838" w:orient="portrait"/>
          <w:cols w:equalWidth="0" w:num="1">
            <w:col w:w="10764"/>
          </w:cols>
          <w:pgMar w:left="896" w:top="582" w:right="239" w:bottom="1440" w:gutter="0" w:footer="0" w:header="0"/>
        </w:sectPr>
      </w:pPr>
    </w:p>
    <w:bookmarkStart w:id="59" w:name="page60"/>
    <w:bookmarkEnd w:id="59"/>
    <w:p>
      <w:pPr>
        <w:jc w:val="both"/>
        <w:ind w:left="1300"/>
        <w:spacing w:after="0" w:line="250" w:lineRule="auto"/>
        <w:rPr>
          <w:sz w:val="20"/>
          <w:szCs w:val="20"/>
          <w:color w:val="auto"/>
        </w:rPr>
      </w:pPr>
      <w:r>
        <w:rPr>
          <w:rFonts w:ascii="Arial" w:cs="Arial" w:eastAsia="Arial" w:hAnsi="Arial"/>
          <w:sz w:val="20"/>
          <w:szCs w:val="20"/>
          <w:color w:val="auto"/>
        </w:rPr>
        <w:t>subjects of the litigation or investigation, even if that activity is ordinary or routine. If you are uncertain whether documents or records under your control should be preserved because they might relate to a lawsuit or investigation, you should contact a member of our Legal team or our Chief Compliance Officer.</w:t>
      </w:r>
    </w:p>
    <w:p>
      <w:pPr>
        <w:spacing w:after="0" w:line="18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20"/>
          <w:szCs w:val="20"/>
          <w:b w:val="1"/>
          <w:bCs w:val="1"/>
          <w:color w:val="auto"/>
        </w:rPr>
        <w:t>PROTECTING CONFIDENTIAL INFORMATION</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20"/>
          <w:szCs w:val="20"/>
          <w:b w:val="1"/>
          <w:bCs w:val="1"/>
          <w:color w:val="auto"/>
        </w:rPr>
        <w:t>AGNC CONFIDENTIAL INFORMATION</w:t>
      </w:r>
    </w:p>
    <w:p>
      <w:pPr>
        <w:ind w:left="1300"/>
        <w:spacing w:after="0" w:line="244" w:lineRule="auto"/>
        <w:rPr>
          <w:rFonts w:ascii="Arial" w:cs="Arial" w:eastAsia="Arial" w:hAnsi="Arial"/>
          <w:sz w:val="18"/>
          <w:szCs w:val="18"/>
          <w:color w:val="auto"/>
        </w:rPr>
      </w:pPr>
      <w:r>
        <w:rPr>
          <w:rFonts w:ascii="Arial" w:cs="Arial" w:eastAsia="Arial" w:hAnsi="Arial"/>
          <w:sz w:val="20"/>
          <w:szCs w:val="20"/>
          <w:color w:val="auto"/>
        </w:rPr>
        <w:t>You will often have access to information that is private to AGNC, has not been made public and constitutes trade secrets or proprietary information. Protection of this information is critical to our ability to grow and compete.</w:t>
      </w:r>
    </w:p>
    <w:p>
      <w:pPr>
        <w:spacing w:after="0" w:line="191" w:lineRule="exact"/>
        <w:rPr>
          <w:rFonts w:ascii="Arial" w:cs="Arial" w:eastAsia="Arial" w:hAnsi="Arial"/>
          <w:sz w:val="18"/>
          <w:szCs w:val="18"/>
          <w:color w:val="auto"/>
        </w:rPr>
      </w:pPr>
    </w:p>
    <w:p>
      <w:pPr>
        <w:ind w:left="1300"/>
        <w:spacing w:after="0" w:line="260" w:lineRule="auto"/>
        <w:rPr>
          <w:rFonts w:ascii="Arial" w:cs="Arial" w:eastAsia="Arial" w:hAnsi="Arial"/>
          <w:sz w:val="18"/>
          <w:szCs w:val="18"/>
          <w:color w:val="auto"/>
        </w:rPr>
      </w:pPr>
      <w:r>
        <w:rPr>
          <w:rFonts w:ascii="Arial" w:cs="Arial" w:eastAsia="Arial" w:hAnsi="Arial"/>
          <w:sz w:val="20"/>
          <w:szCs w:val="20"/>
          <w:color w:val="auto"/>
        </w:rPr>
        <w:t>Under the laws of most jurisdictions where we do business, trade secrets are legally protected property as long as they remain secret (meaning not generally or publicly known).</w:t>
      </w:r>
    </w:p>
    <w:p>
      <w:pPr>
        <w:spacing w:after="0" w:line="17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Your obligations with respect to our confidential trade secrets and proprietary information are:</w:t>
      </w:r>
    </w:p>
    <w:p>
      <w:pPr>
        <w:spacing w:after="0" w:line="215" w:lineRule="exact"/>
        <w:rPr>
          <w:rFonts w:ascii="Arial" w:cs="Arial" w:eastAsia="Arial" w:hAnsi="Arial"/>
          <w:sz w:val="18"/>
          <w:szCs w:val="18"/>
          <w:color w:val="auto"/>
        </w:rPr>
      </w:pPr>
    </w:p>
    <w:p>
      <w:pPr>
        <w:ind w:left="2280" w:hanging="327"/>
        <w:spacing w:after="0"/>
        <w:tabs>
          <w:tab w:leader="none" w:pos="2280" w:val="left"/>
        </w:tabs>
        <w:numPr>
          <w:ilvl w:val="2"/>
          <w:numId w:val="50"/>
        </w:numPr>
        <w:rPr>
          <w:rFonts w:ascii="Arial" w:cs="Arial" w:eastAsia="Arial" w:hAnsi="Arial"/>
          <w:sz w:val="18"/>
          <w:szCs w:val="18"/>
          <w:color w:val="auto"/>
        </w:rPr>
      </w:pPr>
      <w:r>
        <w:rPr>
          <w:rFonts w:ascii="Arial" w:cs="Arial" w:eastAsia="Arial" w:hAnsi="Arial"/>
          <w:sz w:val="20"/>
          <w:szCs w:val="20"/>
          <w:color w:val="auto"/>
        </w:rPr>
        <w:t>Not to disclose the information outside of AGNC;</w:t>
      </w:r>
    </w:p>
    <w:p>
      <w:pPr>
        <w:spacing w:after="0" w:line="15" w:lineRule="exact"/>
        <w:rPr>
          <w:rFonts w:ascii="Arial" w:cs="Arial" w:eastAsia="Arial" w:hAnsi="Arial"/>
          <w:sz w:val="18"/>
          <w:szCs w:val="18"/>
          <w:color w:val="auto"/>
        </w:rPr>
      </w:pPr>
    </w:p>
    <w:p>
      <w:pPr>
        <w:ind w:left="2280" w:hanging="327"/>
        <w:spacing w:after="0"/>
        <w:tabs>
          <w:tab w:leader="none" w:pos="2280" w:val="left"/>
        </w:tabs>
        <w:numPr>
          <w:ilvl w:val="2"/>
          <w:numId w:val="50"/>
        </w:numPr>
        <w:rPr>
          <w:rFonts w:ascii="Arial" w:cs="Arial" w:eastAsia="Arial" w:hAnsi="Arial"/>
          <w:sz w:val="18"/>
          <w:szCs w:val="18"/>
          <w:color w:val="auto"/>
        </w:rPr>
      </w:pPr>
      <w:r>
        <w:rPr>
          <w:rFonts w:ascii="Arial" w:cs="Arial" w:eastAsia="Arial" w:hAnsi="Arial"/>
          <w:sz w:val="20"/>
          <w:szCs w:val="20"/>
          <w:color w:val="auto"/>
        </w:rPr>
        <w:t>Not to use the information for any purpose except to benefit AGNC’s business; and</w:t>
      </w:r>
    </w:p>
    <w:p>
      <w:pPr>
        <w:ind w:left="2280" w:hanging="327"/>
        <w:spacing w:after="0"/>
        <w:tabs>
          <w:tab w:leader="none" w:pos="2280" w:val="left"/>
        </w:tabs>
        <w:numPr>
          <w:ilvl w:val="2"/>
          <w:numId w:val="50"/>
        </w:numPr>
        <w:rPr>
          <w:rFonts w:ascii="Arial" w:cs="Arial" w:eastAsia="Arial" w:hAnsi="Arial"/>
          <w:sz w:val="17"/>
          <w:szCs w:val="17"/>
          <w:color w:val="auto"/>
        </w:rPr>
      </w:pPr>
      <w:r>
        <w:rPr>
          <w:rFonts w:ascii="Arial" w:cs="Arial" w:eastAsia="Arial" w:hAnsi="Arial"/>
          <w:sz w:val="19"/>
          <w:szCs w:val="19"/>
          <w:color w:val="auto"/>
        </w:rPr>
        <w:t>Not to disclose the information within AGNC, except to other AGNC people who need to know, or use, the</w:t>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information and are aware that it constitutes a trade secret or proprietary information.</w:t>
      </w:r>
    </w:p>
    <w:p>
      <w:pPr>
        <w:jc w:val="both"/>
        <w:ind w:left="1300"/>
        <w:spacing w:after="0" w:line="276" w:lineRule="auto"/>
        <w:rPr>
          <w:sz w:val="20"/>
          <w:szCs w:val="20"/>
          <w:color w:val="auto"/>
        </w:rPr>
      </w:pPr>
      <w:r>
        <w:rPr>
          <w:rFonts w:ascii="Arial" w:cs="Arial" w:eastAsia="Arial" w:hAnsi="Arial"/>
          <w:sz w:val="18"/>
          <w:szCs w:val="18"/>
          <w:color w:val="auto"/>
        </w:rPr>
        <w:t>These obligations continue even after you leave AGNC, until the information becomes publicly available or until we no longer consider it a trade secret or proprietary information. Any documents, papers or records that contain trade secrets or proprietary information are our property and must remain at the company. In certain cases, AGNC people have executed nondisclosure agreements, employment agreements or other similar agreements that govern their obligations with respect to our information.</w:t>
      </w:r>
    </w:p>
    <w:p>
      <w:pPr>
        <w:spacing w:after="0" w:line="166"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Our confidential trade secrets and proprietary information may include, among other things, information regarding our operations, business plans, investments, customers, strategies, trade secrets, records, finances, assets, data or other information that reveals the processes, methodologies or know how by which our existing or future investments, services or methods of operation are developed, conducted or operated.</w:t>
      </w:r>
    </w:p>
    <w:p>
      <w:pPr>
        <w:spacing w:after="0" w:line="186"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20"/>
          <w:szCs w:val="20"/>
          <w:b w:val="1"/>
          <w:bCs w:val="1"/>
          <w:color w:val="auto"/>
        </w:rPr>
        <w:t>CONFIDENTIAL INFORMATION OF OTHERS</w:t>
      </w:r>
    </w:p>
    <w:p>
      <w:pPr>
        <w:spacing w:after="0" w:line="21" w:lineRule="exact"/>
        <w:rPr>
          <w:rFonts w:ascii="Arial" w:cs="Arial" w:eastAsia="Arial" w:hAnsi="Arial"/>
          <w:sz w:val="18"/>
          <w:szCs w:val="18"/>
          <w:color w:val="auto"/>
        </w:rPr>
      </w:pPr>
    </w:p>
    <w:p>
      <w:pPr>
        <w:jc w:val="both"/>
        <w:ind w:left="1300"/>
        <w:spacing w:after="0" w:line="241" w:lineRule="auto"/>
        <w:rPr>
          <w:rFonts w:ascii="Arial" w:cs="Arial" w:eastAsia="Arial" w:hAnsi="Arial"/>
          <w:sz w:val="18"/>
          <w:szCs w:val="18"/>
          <w:color w:val="auto"/>
        </w:rPr>
      </w:pPr>
      <w:r>
        <w:rPr>
          <w:rFonts w:ascii="Arial" w:cs="Arial" w:eastAsia="Arial" w:hAnsi="Arial"/>
          <w:sz w:val="20"/>
          <w:szCs w:val="20"/>
          <w:color w:val="auto"/>
        </w:rPr>
        <w:t>In the normal course of business, you will acquire information about many other organizations, including clients, suppliers and competitors. This is a normal business activity and is not unethical in itself. We properly gather this kind of information for such purposes as evaluating investments. We also collect information on competitors from a variety of legitimate sources to evaluate the relative merits of our own investments and other business practices.</w:t>
      </w:r>
    </w:p>
    <w:p>
      <w:pPr>
        <w:spacing w:after="0" w:line="194" w:lineRule="exact"/>
        <w:rPr>
          <w:rFonts w:ascii="Arial" w:cs="Arial" w:eastAsia="Arial" w:hAnsi="Arial"/>
          <w:sz w:val="18"/>
          <w:szCs w:val="18"/>
          <w:color w:val="auto"/>
        </w:rPr>
      </w:pPr>
    </w:p>
    <w:p>
      <w:pPr>
        <w:jc w:val="both"/>
        <w:ind w:left="1300"/>
        <w:spacing w:after="0" w:line="250" w:lineRule="auto"/>
        <w:rPr>
          <w:rFonts w:ascii="Arial" w:cs="Arial" w:eastAsia="Arial" w:hAnsi="Arial"/>
          <w:sz w:val="18"/>
          <w:szCs w:val="18"/>
          <w:color w:val="auto"/>
        </w:rPr>
      </w:pPr>
      <w:r>
        <w:rPr>
          <w:rFonts w:ascii="Arial" w:cs="Arial" w:eastAsia="Arial" w:hAnsi="Arial"/>
          <w:sz w:val="20"/>
          <w:szCs w:val="20"/>
          <w:color w:val="auto"/>
        </w:rPr>
        <w:t>There are, however, limits to the ways that this information should be acquired and used. When working with sensitive information about our customers or suppliers, you should use that information only for the purposes for which it was disclosed to you and make it available only to other AGNC people with a legitimate need to know.</w:t>
      </w:r>
    </w:p>
    <w:p>
      <w:pPr>
        <w:spacing w:after="0" w:line="186" w:lineRule="exact"/>
        <w:rPr>
          <w:rFonts w:ascii="Arial" w:cs="Arial" w:eastAsia="Arial" w:hAnsi="Arial"/>
          <w:sz w:val="18"/>
          <w:szCs w:val="18"/>
          <w:color w:val="auto"/>
        </w:rPr>
      </w:pPr>
    </w:p>
    <w:p>
      <w:pPr>
        <w:jc w:val="both"/>
        <w:ind w:left="1300"/>
        <w:spacing w:after="0" w:line="244" w:lineRule="auto"/>
        <w:rPr>
          <w:rFonts w:ascii="Arial" w:cs="Arial" w:eastAsia="Arial" w:hAnsi="Arial"/>
          <w:sz w:val="18"/>
          <w:szCs w:val="18"/>
          <w:color w:val="auto"/>
        </w:rPr>
      </w:pPr>
      <w:r>
        <w:rPr>
          <w:rFonts w:ascii="Arial" w:cs="Arial" w:eastAsia="Arial" w:hAnsi="Arial"/>
          <w:sz w:val="20"/>
          <w:szCs w:val="20"/>
          <w:color w:val="auto"/>
        </w:rPr>
        <w:t>You should not use illegitimate means to acquire a competitor’s trade secrets or other confidential information. Illegal practices such as trespassing, burglary, wiretapping, bribery and stealing are obviously wrong. We will not tolerate any form of questionable intelligence-gathering. In addition, we strive to protect the privacy of personal information of others. We will only collect, use, process, and disclose an individual’s personal information in accordance with applicable law and our internal policies.</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20"/>
          <w:szCs w:val="20"/>
          <w:b w:val="1"/>
          <w:bCs w:val="1"/>
          <w:color w:val="auto"/>
        </w:rPr>
        <w:t>INADVERTENT DISCLOSURE</w:t>
      </w:r>
    </w:p>
    <w:p>
      <w:pPr>
        <w:sectPr>
          <w:pgSz w:w="11900" w:h="16838" w:orient="portrait"/>
          <w:cols w:equalWidth="0" w:num="1">
            <w:col w:w="11420"/>
          </w:cols>
          <w:pgMar w:left="240" w:top="582" w:right="239" w:bottom="1440" w:gutter="0" w:footer="0" w:header="0"/>
        </w:sectPr>
      </w:pPr>
    </w:p>
    <w:bookmarkStart w:id="60" w:name="page61"/>
    <w:bookmarkEnd w:id="60"/>
    <w:p>
      <w:pPr>
        <w:jc w:val="both"/>
        <w:ind w:left="1292"/>
        <w:spacing w:after="0" w:line="259" w:lineRule="auto"/>
        <w:rPr>
          <w:sz w:val="20"/>
          <w:szCs w:val="20"/>
          <w:color w:val="auto"/>
        </w:rPr>
      </w:pPr>
      <w:r>
        <w:rPr>
          <w:rFonts w:ascii="Arial" w:cs="Arial" w:eastAsia="Arial" w:hAnsi="Arial"/>
          <w:sz w:val="19"/>
          <w:szCs w:val="19"/>
          <w:color w:val="auto"/>
        </w:rPr>
        <w:t>You should be careful to avoid the inadvertent disclosure of proprietary information. To avoid inadvertent disclosure, you should never discuss with any unauthorized person proprietary information that AGNC considers confidential or that we have not made public. You also should not discuss this information even with authorized AGNC people if you are in locations where unauthorized people may overhear you, such as airplanes or elevators, or when using non-secure electronic bulletin boards or databases. You should also not discuss this information with family members or with friends, because they may innocently or unintentionally pass the information on to someone else.</w:t>
      </w:r>
    </w:p>
    <w:p>
      <w:pPr>
        <w:spacing w:after="0" w:line="173" w:lineRule="exact"/>
        <w:rPr>
          <w:sz w:val="20"/>
          <w:szCs w:val="20"/>
          <w:color w:val="auto"/>
        </w:rPr>
      </w:pPr>
    </w:p>
    <w:p>
      <w:pPr>
        <w:ind w:left="1292" w:hanging="644"/>
        <w:spacing w:after="0"/>
        <w:tabs>
          <w:tab w:leader="none" w:pos="1292" w:val="left"/>
        </w:tabs>
        <w:numPr>
          <w:ilvl w:val="1"/>
          <w:numId w:val="52"/>
        </w:numPr>
        <w:rPr>
          <w:rFonts w:ascii="Arial" w:cs="Arial" w:eastAsia="Arial" w:hAnsi="Arial"/>
          <w:sz w:val="18"/>
          <w:szCs w:val="18"/>
          <w:color w:val="auto"/>
        </w:rPr>
      </w:pPr>
      <w:r>
        <w:rPr>
          <w:rFonts w:ascii="Arial" w:cs="Arial" w:eastAsia="Arial" w:hAnsi="Arial"/>
          <w:sz w:val="20"/>
          <w:szCs w:val="20"/>
          <w:b w:val="1"/>
          <w:bCs w:val="1"/>
          <w:color w:val="auto"/>
        </w:rPr>
        <w:t>CONTACTS WITH REPORTERS, ANALYSTS AND OTHER MEDIA</w:t>
      </w:r>
    </w:p>
    <w:p>
      <w:pPr>
        <w:spacing w:after="0" w:line="21" w:lineRule="exact"/>
        <w:rPr>
          <w:rFonts w:ascii="Arial" w:cs="Arial" w:eastAsia="Arial" w:hAnsi="Arial"/>
          <w:sz w:val="18"/>
          <w:szCs w:val="18"/>
          <w:color w:val="auto"/>
        </w:rPr>
      </w:pPr>
    </w:p>
    <w:p>
      <w:pPr>
        <w:jc w:val="both"/>
        <w:ind w:left="1292"/>
        <w:spacing w:after="0" w:line="270" w:lineRule="auto"/>
        <w:rPr>
          <w:rFonts w:ascii="Arial" w:cs="Arial" w:eastAsia="Arial" w:hAnsi="Arial"/>
          <w:sz w:val="18"/>
          <w:szCs w:val="18"/>
          <w:color w:val="auto"/>
        </w:rPr>
      </w:pPr>
      <w:r>
        <w:rPr>
          <w:rFonts w:ascii="Arial" w:cs="Arial" w:eastAsia="Arial" w:hAnsi="Arial"/>
          <w:sz w:val="18"/>
          <w:szCs w:val="18"/>
          <w:color w:val="auto"/>
        </w:rPr>
        <w:t>Because of the importance of the legal requirements regarding disclosure of certain information to our investors, we must make certain that any information regarding our business, financial condition or operating results that is released to the public is accurate and consistent. As a result, you should not discuss internal AGNC matters with anyone outside of AGNC, except as clearly required in the performance of your job duties. This prohibition applies particularly to inquiries about AGNC made by the news media, securities analysts or investors. All responses to these inquiries must be made only by our executive officers (and individuals specifically designated by them, including members of our Investor Relations and Corporate Communications staffs), who are authorized to discuss information about AGNC with the news media, securities analysts and investors. If you receive inquiries from these sources, you should immediately refer them to one of these authorized spokespersons.</w:t>
      </w:r>
    </w:p>
    <w:p>
      <w:pPr>
        <w:spacing w:after="0" w:line="173" w:lineRule="exact"/>
        <w:rPr>
          <w:rFonts w:ascii="Arial" w:cs="Arial" w:eastAsia="Arial" w:hAnsi="Arial"/>
          <w:sz w:val="18"/>
          <w:szCs w:val="18"/>
          <w:color w:val="auto"/>
        </w:rPr>
      </w:pPr>
    </w:p>
    <w:p>
      <w:pPr>
        <w:ind w:left="1292" w:right="20"/>
        <w:spacing w:after="0" w:line="260" w:lineRule="auto"/>
        <w:rPr>
          <w:rFonts w:ascii="Arial" w:cs="Arial" w:eastAsia="Arial" w:hAnsi="Arial"/>
          <w:sz w:val="18"/>
          <w:szCs w:val="18"/>
          <w:color w:val="auto"/>
        </w:rPr>
      </w:pPr>
      <w:r>
        <w:rPr>
          <w:rFonts w:ascii="Arial" w:cs="Arial" w:eastAsia="Arial" w:hAnsi="Arial"/>
          <w:sz w:val="20"/>
          <w:szCs w:val="20"/>
          <w:color w:val="auto"/>
        </w:rPr>
        <w:t>It should also be noted that the foregoing restrictions also apply with regard to the disclosure of information through other media, including but not limited to bulletin boards, internet chat rooms and social media..</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3"/>
        </w:numPr>
        <w:rPr>
          <w:rFonts w:ascii="Arial" w:cs="Arial" w:eastAsia="Arial" w:hAnsi="Arial"/>
          <w:sz w:val="18"/>
          <w:szCs w:val="18"/>
          <w:color w:val="auto"/>
        </w:rPr>
      </w:pPr>
      <w:r>
        <w:rPr>
          <w:rFonts w:ascii="Arial" w:cs="Arial" w:eastAsia="Arial" w:hAnsi="Arial"/>
          <w:sz w:val="20"/>
          <w:szCs w:val="20"/>
          <w:b w:val="1"/>
          <w:bCs w:val="1"/>
          <w:color w:val="auto"/>
        </w:rPr>
        <w:t>ADMINISTRATION OF THIS CODE</w:t>
      </w:r>
    </w:p>
    <w:p>
      <w:pPr>
        <w:spacing w:after="0" w:line="21" w:lineRule="exact"/>
        <w:rPr>
          <w:rFonts w:ascii="Arial" w:cs="Arial" w:eastAsia="Arial" w:hAnsi="Arial"/>
          <w:sz w:val="18"/>
          <w:szCs w:val="18"/>
          <w:color w:val="auto"/>
        </w:rPr>
      </w:pPr>
    </w:p>
    <w:p>
      <w:pPr>
        <w:ind w:left="1292" w:hanging="644"/>
        <w:spacing w:after="0"/>
        <w:tabs>
          <w:tab w:leader="none" w:pos="1292" w:val="left"/>
        </w:tabs>
        <w:numPr>
          <w:ilvl w:val="1"/>
          <w:numId w:val="53"/>
        </w:numPr>
        <w:rPr>
          <w:rFonts w:ascii="Arial" w:cs="Arial" w:eastAsia="Arial" w:hAnsi="Arial"/>
          <w:sz w:val="18"/>
          <w:szCs w:val="18"/>
          <w:color w:val="auto"/>
        </w:rPr>
      </w:pPr>
      <w:r>
        <w:rPr>
          <w:rFonts w:ascii="Arial" w:cs="Arial" w:eastAsia="Arial" w:hAnsi="Arial"/>
          <w:sz w:val="20"/>
          <w:szCs w:val="20"/>
          <w:b w:val="1"/>
          <w:bCs w:val="1"/>
          <w:color w:val="auto"/>
        </w:rPr>
        <w:t>ONGOING REVIEW OF COMPLIANCE</w:t>
      </w:r>
    </w:p>
    <w:p>
      <w:pPr>
        <w:jc w:val="both"/>
        <w:ind w:left="1292"/>
        <w:spacing w:after="0"/>
        <w:rPr>
          <w:rFonts w:ascii="Arial" w:cs="Arial" w:eastAsia="Arial" w:hAnsi="Arial"/>
          <w:sz w:val="18"/>
          <w:szCs w:val="18"/>
          <w:color w:val="auto"/>
        </w:rPr>
      </w:pPr>
      <w:r>
        <w:rPr>
          <w:rFonts w:ascii="Arial" w:cs="Arial" w:eastAsia="Arial" w:hAnsi="Arial"/>
          <w:sz w:val="20"/>
          <w:szCs w:val="20"/>
          <w:color w:val="auto"/>
        </w:rPr>
        <w:t>We require all AGNC people to comply with this Code. Upon your receipt of this Code, and also from time to time as we deem to be necessary, we may require you to sign an acknowledgement confirming that you have read and understood this Code and agree to comply with its provisions. We reserve the right to monitor your continuing compliance with the provisions of this Code and to investigate any suspected violations. If substantiated, these violations could result in disciplinary action, as described more fully in the following sections.</w:t>
      </w:r>
    </w:p>
    <w:p>
      <w:pPr>
        <w:spacing w:after="0" w:line="192" w:lineRule="exact"/>
        <w:rPr>
          <w:rFonts w:ascii="Arial" w:cs="Arial" w:eastAsia="Arial" w:hAnsi="Arial"/>
          <w:sz w:val="18"/>
          <w:szCs w:val="18"/>
          <w:color w:val="auto"/>
        </w:rPr>
      </w:pPr>
    </w:p>
    <w:p>
      <w:pPr>
        <w:ind w:left="1292" w:hanging="644"/>
        <w:spacing w:after="0"/>
        <w:tabs>
          <w:tab w:leader="none" w:pos="1292" w:val="left"/>
        </w:tabs>
        <w:numPr>
          <w:ilvl w:val="1"/>
          <w:numId w:val="53"/>
        </w:numPr>
        <w:rPr>
          <w:rFonts w:ascii="Arial" w:cs="Arial" w:eastAsia="Arial" w:hAnsi="Arial"/>
          <w:sz w:val="18"/>
          <w:szCs w:val="18"/>
          <w:color w:val="auto"/>
        </w:rPr>
      </w:pPr>
      <w:r>
        <w:rPr>
          <w:rFonts w:ascii="Arial" w:cs="Arial" w:eastAsia="Arial" w:hAnsi="Arial"/>
          <w:sz w:val="20"/>
          <w:szCs w:val="20"/>
          <w:b w:val="1"/>
          <w:bCs w:val="1"/>
          <w:color w:val="auto"/>
        </w:rPr>
        <w:t>REPORTING OF SUSPECTED VIOLATIONS</w:t>
      </w:r>
    </w:p>
    <w:p>
      <w:pPr>
        <w:spacing w:after="0" w:line="21" w:lineRule="exact"/>
        <w:rPr>
          <w:rFonts w:ascii="Arial" w:cs="Arial" w:eastAsia="Arial" w:hAnsi="Arial"/>
          <w:sz w:val="18"/>
          <w:szCs w:val="18"/>
          <w:color w:val="auto"/>
        </w:rPr>
      </w:pPr>
    </w:p>
    <w:p>
      <w:pPr>
        <w:jc w:val="both"/>
        <w:ind w:left="1292"/>
        <w:spacing w:after="0"/>
        <w:rPr>
          <w:rFonts w:ascii="Arial" w:cs="Arial" w:eastAsia="Arial" w:hAnsi="Arial"/>
          <w:sz w:val="18"/>
          <w:szCs w:val="18"/>
          <w:color w:val="auto"/>
        </w:rPr>
      </w:pPr>
      <w:r>
        <w:rPr>
          <w:rFonts w:ascii="Arial" w:cs="Arial" w:eastAsia="Arial" w:hAnsi="Arial"/>
          <w:sz w:val="20"/>
          <w:szCs w:val="20"/>
          <w:color w:val="auto"/>
        </w:rPr>
        <w:t>We expect you to bring to the attention of the Chief Compliance Officer (or any people that the Chief Compliance Officer designates) information about suspected violations of this Code by any other AGNC person as promptly as practicable. Additionally, we may designate a third-party hotline provider to which information about suspected violations of the Code may be reported. If you have information about suspected improper accounting or auditing matters, you should bring such information to the attention of our Chief Compliance Officer or a member of our Audit Committee directly. To contact our Audit Committee or to submit a report to them, please contact them at the contact information that we will distribute periodically.</w:t>
      </w:r>
    </w:p>
    <w:p>
      <w:pPr>
        <w:spacing w:after="0" w:line="197" w:lineRule="exact"/>
        <w:rPr>
          <w:rFonts w:ascii="Arial" w:cs="Arial" w:eastAsia="Arial" w:hAnsi="Arial"/>
          <w:sz w:val="18"/>
          <w:szCs w:val="18"/>
          <w:color w:val="auto"/>
        </w:rPr>
      </w:pPr>
    </w:p>
    <w:p>
      <w:pPr>
        <w:ind w:left="1292" w:right="20"/>
        <w:spacing w:after="0" w:line="260" w:lineRule="auto"/>
        <w:rPr>
          <w:rFonts w:ascii="Arial" w:cs="Arial" w:eastAsia="Arial" w:hAnsi="Arial"/>
          <w:sz w:val="18"/>
          <w:szCs w:val="18"/>
          <w:color w:val="auto"/>
        </w:rPr>
      </w:pPr>
      <w:r>
        <w:rPr>
          <w:rFonts w:ascii="Arial" w:cs="Arial" w:eastAsia="Arial" w:hAnsi="Arial"/>
          <w:sz w:val="20"/>
          <w:szCs w:val="20"/>
          <w:color w:val="auto"/>
        </w:rPr>
        <w:t>If you are not comfortable revealing your identity when making a report, you can also make an anonymous report with our Chief Compliance Officer, the hotline or our Audit Committee.</w:t>
      </w:r>
    </w:p>
    <w:p>
      <w:pPr>
        <w:spacing w:after="0" w:line="176" w:lineRule="exact"/>
        <w:rPr>
          <w:rFonts w:ascii="Arial" w:cs="Arial" w:eastAsia="Arial" w:hAnsi="Arial"/>
          <w:sz w:val="18"/>
          <w:szCs w:val="18"/>
          <w:color w:val="auto"/>
        </w:rPr>
      </w:pPr>
    </w:p>
    <w:p>
      <w:pPr>
        <w:jc w:val="both"/>
        <w:ind w:left="1292"/>
        <w:spacing w:after="0" w:line="250" w:lineRule="auto"/>
        <w:rPr>
          <w:rFonts w:ascii="Arial" w:cs="Arial" w:eastAsia="Arial" w:hAnsi="Arial"/>
          <w:sz w:val="18"/>
          <w:szCs w:val="18"/>
          <w:color w:val="auto"/>
        </w:rPr>
      </w:pPr>
      <w:r>
        <w:rPr>
          <w:rFonts w:ascii="Arial" w:cs="Arial" w:eastAsia="Arial" w:hAnsi="Arial"/>
          <w:sz w:val="20"/>
          <w:szCs w:val="20"/>
          <w:color w:val="auto"/>
        </w:rPr>
        <w:t>You should feel safe in reporting this information, without regard to the identity or position of the suspected offender. We will treat the information in a confidential manner (consistent with appropriate evaluation and investigation) and will not take any acts of retribution or retaliation against you for making a report.</w:t>
      </w:r>
    </w:p>
    <w:p>
      <w:pPr>
        <w:spacing w:after="0" w:line="186" w:lineRule="exact"/>
        <w:rPr>
          <w:rFonts w:ascii="Arial" w:cs="Arial" w:eastAsia="Arial" w:hAnsi="Arial"/>
          <w:sz w:val="18"/>
          <w:szCs w:val="18"/>
          <w:color w:val="auto"/>
        </w:rPr>
      </w:pPr>
    </w:p>
    <w:p>
      <w:pPr>
        <w:ind w:left="1292"/>
        <w:spacing w:after="0" w:line="260" w:lineRule="auto"/>
        <w:rPr>
          <w:rFonts w:ascii="Arial" w:cs="Arial" w:eastAsia="Arial" w:hAnsi="Arial"/>
          <w:sz w:val="18"/>
          <w:szCs w:val="18"/>
          <w:color w:val="auto"/>
        </w:rPr>
      </w:pPr>
      <w:r>
        <w:rPr>
          <w:rFonts w:ascii="Arial" w:cs="Arial" w:eastAsia="Arial" w:hAnsi="Arial"/>
          <w:sz w:val="20"/>
          <w:szCs w:val="20"/>
          <w:color w:val="auto"/>
        </w:rPr>
        <w:t>Because failure to report criminal activity can itself be understood to condone the crime, we emphasize the importance of prompt reporting. For both criminal activity and other violations of this Code,</w:t>
      </w:r>
    </w:p>
    <w:p>
      <w:pPr>
        <w:sectPr>
          <w:pgSz w:w="11900" w:h="16838" w:orient="portrait"/>
          <w:cols w:equalWidth="0" w:num="1">
            <w:col w:w="11412"/>
          </w:cols>
          <w:pgMar w:left="248" w:top="582" w:right="239" w:bottom="1440" w:gutter="0" w:footer="0" w:header="0"/>
        </w:sectPr>
      </w:pPr>
    </w:p>
    <w:bookmarkStart w:id="61" w:name="page62"/>
    <w:bookmarkEnd w:id="61"/>
    <w:p>
      <w:pPr>
        <w:ind w:left="644"/>
        <w:spacing w:after="0"/>
        <w:rPr>
          <w:sz w:val="20"/>
          <w:szCs w:val="20"/>
          <w:color w:val="auto"/>
        </w:rPr>
      </w:pPr>
      <w:r>
        <w:rPr>
          <w:rFonts w:ascii="Arial" w:cs="Arial" w:eastAsia="Arial" w:hAnsi="Arial"/>
          <w:sz w:val="20"/>
          <w:szCs w:val="20"/>
          <w:color w:val="auto"/>
        </w:rPr>
        <w:t>failure to report knowledge of wrongdoing may result in disciplinary action against those who fail to report.</w:t>
      </w:r>
    </w:p>
    <w:p>
      <w:pPr>
        <w:spacing w:after="0" w:line="210" w:lineRule="exact"/>
        <w:rPr>
          <w:sz w:val="20"/>
          <w:szCs w:val="20"/>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20"/>
          <w:szCs w:val="20"/>
          <w:b w:val="1"/>
          <w:bCs w:val="1"/>
          <w:color w:val="auto"/>
        </w:rPr>
        <w:t>NON-RETALIATION</w:t>
      </w:r>
    </w:p>
    <w:p>
      <w:pPr>
        <w:spacing w:after="0" w:line="21" w:lineRule="exact"/>
        <w:rPr>
          <w:rFonts w:ascii="Arial" w:cs="Arial" w:eastAsia="Arial" w:hAnsi="Arial"/>
          <w:sz w:val="18"/>
          <w:szCs w:val="18"/>
          <w:color w:val="auto"/>
        </w:rPr>
      </w:pPr>
    </w:p>
    <w:p>
      <w:pPr>
        <w:jc w:val="both"/>
        <w:ind w:left="644"/>
        <w:spacing w:after="0" w:line="282" w:lineRule="auto"/>
        <w:rPr>
          <w:rFonts w:ascii="Arial" w:cs="Arial" w:eastAsia="Arial" w:hAnsi="Arial"/>
          <w:sz w:val="18"/>
          <w:szCs w:val="18"/>
          <w:color w:val="auto"/>
        </w:rPr>
      </w:pPr>
      <w:r>
        <w:rPr>
          <w:rFonts w:ascii="Arial" w:cs="Arial" w:eastAsia="Arial" w:hAnsi="Arial"/>
          <w:sz w:val="18"/>
          <w:szCs w:val="18"/>
          <w:color w:val="auto"/>
        </w:rPr>
        <w:t>Nothing in this Code shall prohibit you from reporting any possible violation of federal law or regulation to any governmental agency. Further, nothing shall restrict you from communicating with such agency in the course of its investigation or from making disclosures that are protected pursuant to the whistleblower provisions of federal law and regulation.</w:t>
      </w:r>
    </w:p>
    <w:p>
      <w:pPr>
        <w:spacing w:after="0" w:line="159" w:lineRule="exact"/>
        <w:rPr>
          <w:rFonts w:ascii="Arial" w:cs="Arial" w:eastAsia="Arial" w:hAnsi="Arial"/>
          <w:sz w:val="18"/>
          <w:szCs w:val="18"/>
          <w:color w:val="auto"/>
        </w:rPr>
      </w:pPr>
    </w:p>
    <w:p>
      <w:pPr>
        <w:jc w:val="both"/>
        <w:ind w:left="644"/>
        <w:spacing w:after="0" w:line="291" w:lineRule="auto"/>
        <w:rPr>
          <w:rFonts w:ascii="Arial" w:cs="Arial" w:eastAsia="Arial" w:hAnsi="Arial"/>
          <w:sz w:val="18"/>
          <w:szCs w:val="18"/>
          <w:color w:val="auto"/>
        </w:rPr>
      </w:pPr>
      <w:r>
        <w:rPr>
          <w:rFonts w:ascii="Arial" w:cs="Arial" w:eastAsia="Arial" w:hAnsi="Arial"/>
          <w:sz w:val="18"/>
          <w:szCs w:val="18"/>
          <w:color w:val="auto"/>
        </w:rPr>
        <w:t>Retaliation in any form against an AGNC person who reports a violation of this Code (even if the report is mistaken but was submitted in the good faith belief it was correct) or who assists in the investigation of a reported violation is itself a serious violation of this Code. Acts of retaliation should be reported immediately and may result in severe disciplinary action.</w:t>
      </w:r>
    </w:p>
    <w:p>
      <w:pPr>
        <w:spacing w:after="0" w:line="145"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20"/>
          <w:szCs w:val="20"/>
          <w:b w:val="1"/>
          <w:bCs w:val="1"/>
          <w:color w:val="auto"/>
        </w:rPr>
        <w:t>INVESTIGATION OF SUSPECTED VIOLATIONS</w:t>
      </w:r>
    </w:p>
    <w:p>
      <w:pPr>
        <w:spacing w:after="0" w:line="21" w:lineRule="exact"/>
        <w:rPr>
          <w:rFonts w:ascii="Arial" w:cs="Arial" w:eastAsia="Arial" w:hAnsi="Arial"/>
          <w:sz w:val="18"/>
          <w:szCs w:val="18"/>
          <w:color w:val="auto"/>
        </w:rPr>
      </w:pPr>
    </w:p>
    <w:p>
      <w:pPr>
        <w:jc w:val="both"/>
        <w:ind w:left="644"/>
        <w:spacing w:after="0" w:line="272" w:lineRule="auto"/>
        <w:rPr>
          <w:rFonts w:ascii="Arial" w:cs="Arial" w:eastAsia="Arial" w:hAnsi="Arial"/>
          <w:sz w:val="18"/>
          <w:szCs w:val="18"/>
          <w:color w:val="auto"/>
        </w:rPr>
      </w:pPr>
      <w:r>
        <w:rPr>
          <w:rFonts w:ascii="Arial" w:cs="Arial" w:eastAsia="Arial" w:hAnsi="Arial"/>
          <w:sz w:val="18"/>
          <w:szCs w:val="18"/>
          <w:color w:val="auto"/>
        </w:rPr>
        <w:t>Suspected violations will be investigated under the supervision of our Chief Compliance Officer or the Audit Committee, in such manner as the Chief Compliance Officer or the Audit Committee, as applicable, deems appropriate. You are expected to cooperate in the investigation of reported violations. When practical and appropriate under the circumstances, and in order to protect the privacy of the persons involved, those people investigating the suspected violation will attempt to keep confidential the identity of someone who reports a suspected violation or who participates in the investigation. There may be situations, however, when this information must be disclosed as part of our investigation.</w:t>
      </w:r>
    </w:p>
    <w:p>
      <w:pPr>
        <w:spacing w:after="0" w:line="170" w:lineRule="exact"/>
        <w:rPr>
          <w:rFonts w:ascii="Arial" w:cs="Arial" w:eastAsia="Arial" w:hAnsi="Arial"/>
          <w:sz w:val="18"/>
          <w:szCs w:val="18"/>
          <w:color w:val="auto"/>
        </w:rPr>
      </w:pPr>
    </w:p>
    <w:p>
      <w:pPr>
        <w:jc w:val="both"/>
        <w:ind w:left="644"/>
        <w:spacing w:after="0" w:line="260" w:lineRule="auto"/>
        <w:rPr>
          <w:rFonts w:ascii="Arial" w:cs="Arial" w:eastAsia="Arial" w:hAnsi="Arial"/>
          <w:sz w:val="18"/>
          <w:szCs w:val="18"/>
          <w:color w:val="auto"/>
        </w:rPr>
      </w:pPr>
      <w:r>
        <w:rPr>
          <w:rFonts w:ascii="Arial" w:cs="Arial" w:eastAsia="Arial" w:hAnsi="Arial"/>
          <w:sz w:val="19"/>
          <w:szCs w:val="19"/>
          <w:color w:val="auto"/>
        </w:rPr>
        <w:t>The Chief Compliance Officer may call upon members of our Legal team to participate in any investigations. You should be aware that our Chief Compliance Officer and the members of our Legal team are legally obligated to act in the best interests of AGNC as a company. They do not act as lawyers or personal representatives for any individual AGNC person, including our executive officers. Our Board of Directors (the “Board”) has ultimate responsibility for final interpretation of this Code and for determining whether any violations of this Code have occurred.</w:t>
      </w:r>
    </w:p>
    <w:p>
      <w:pPr>
        <w:spacing w:after="0" w:line="174"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20"/>
          <w:szCs w:val="20"/>
          <w:b w:val="1"/>
          <w:bCs w:val="1"/>
          <w:color w:val="auto"/>
        </w:rPr>
        <w:t>DISCIPLINARY ACTION</w:t>
      </w:r>
    </w:p>
    <w:p>
      <w:pPr>
        <w:spacing w:after="0" w:line="21" w:lineRule="exact"/>
        <w:rPr>
          <w:rFonts w:ascii="Arial" w:cs="Arial" w:eastAsia="Arial" w:hAnsi="Arial"/>
          <w:sz w:val="18"/>
          <w:szCs w:val="18"/>
          <w:color w:val="auto"/>
        </w:rPr>
      </w:pPr>
    </w:p>
    <w:p>
      <w:pPr>
        <w:jc w:val="both"/>
        <w:ind w:left="644"/>
        <w:spacing w:after="0" w:line="282" w:lineRule="auto"/>
        <w:rPr>
          <w:rFonts w:ascii="Arial" w:cs="Arial" w:eastAsia="Arial" w:hAnsi="Arial"/>
          <w:sz w:val="18"/>
          <w:szCs w:val="18"/>
          <w:color w:val="auto"/>
        </w:rPr>
      </w:pPr>
      <w:r>
        <w:rPr>
          <w:rFonts w:ascii="Arial" w:cs="Arial" w:eastAsia="Arial" w:hAnsi="Arial"/>
          <w:sz w:val="18"/>
          <w:szCs w:val="18"/>
          <w:color w:val="auto"/>
        </w:rPr>
        <w:t>If our Chief Compliance Officer or our Board (or those acting under their supervision) determine, in their good faith discretion, that you have violated any provision of this Code, you may be subject to disciplinary action, up to and including termination of your employment or contract without prior warning and referral for criminal prosecution and fines.</w:t>
      </w:r>
    </w:p>
    <w:p>
      <w:pPr>
        <w:spacing w:after="0" w:line="153"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20"/>
          <w:szCs w:val="20"/>
          <w:b w:val="1"/>
          <w:bCs w:val="1"/>
          <w:color w:val="auto"/>
        </w:rPr>
        <w:t>SPECIAL PROVISIONS APPLICABLE TO CERTAIN FINANCIAL EXECUTIVES</w:t>
      </w:r>
    </w:p>
    <w:p>
      <w:pPr>
        <w:spacing w:after="0" w:line="21" w:lineRule="exact"/>
        <w:rPr>
          <w:rFonts w:ascii="Arial" w:cs="Arial" w:eastAsia="Arial" w:hAnsi="Arial"/>
          <w:sz w:val="18"/>
          <w:szCs w:val="18"/>
          <w:color w:val="auto"/>
        </w:rPr>
      </w:pPr>
    </w:p>
    <w:p>
      <w:pPr>
        <w:jc w:val="both"/>
        <w:ind w:left="644"/>
        <w:spacing w:after="0" w:line="271" w:lineRule="auto"/>
        <w:rPr>
          <w:rFonts w:ascii="Arial" w:cs="Arial" w:eastAsia="Arial" w:hAnsi="Arial"/>
          <w:sz w:val="18"/>
          <w:szCs w:val="18"/>
          <w:color w:val="auto"/>
        </w:rPr>
      </w:pPr>
      <w:r>
        <w:rPr>
          <w:rFonts w:ascii="Arial" w:cs="Arial" w:eastAsia="Arial" w:hAnsi="Arial"/>
          <w:sz w:val="18"/>
          <w:szCs w:val="18"/>
          <w:color w:val="auto"/>
        </w:rPr>
        <w:t>Given the important position of trust and authority that they occupy, our Chief Executive Officer, President, Chief Operating Officer, Chief Investment Officer, Chief Financial Officer, Chief Accounting Officer, Controller, directors and certain other persons who may be designated by the Board or the Audit Committee (collectively, the “Financial Executives”) should act extremely cautiously in interpreting and applying this Code. Financial Executives should consult with our Chief Compliance Officer with respect to any proposed actions or arrangements that are not clearly consistent with the Code. In the event that a Financial Executive wishes to engage in a proposed action or arrangement that is not consistent with the Code, the Financial Executive must obtain a waiver of the relevant Code provisions in advance from the Board.</w:t>
      </w:r>
    </w:p>
    <w:p>
      <w:pPr>
        <w:spacing w:after="0" w:line="171" w:lineRule="exact"/>
        <w:rPr>
          <w:rFonts w:ascii="Arial" w:cs="Arial" w:eastAsia="Arial" w:hAnsi="Arial"/>
          <w:sz w:val="18"/>
          <w:szCs w:val="18"/>
          <w:color w:val="auto"/>
        </w:rPr>
      </w:pPr>
    </w:p>
    <w:p>
      <w:pPr>
        <w:jc w:val="both"/>
        <w:ind w:left="644" w:right="20"/>
        <w:spacing w:after="0" w:line="246" w:lineRule="auto"/>
        <w:rPr>
          <w:rFonts w:ascii="Arial" w:cs="Arial" w:eastAsia="Arial" w:hAnsi="Arial"/>
          <w:sz w:val="18"/>
          <w:szCs w:val="18"/>
          <w:color w:val="auto"/>
        </w:rPr>
      </w:pPr>
      <w:r>
        <w:rPr>
          <w:rFonts w:ascii="Arial" w:cs="Arial" w:eastAsia="Arial" w:hAnsi="Arial"/>
          <w:sz w:val="20"/>
          <w:szCs w:val="20"/>
          <w:color w:val="auto"/>
        </w:rPr>
        <w:t>The Sarbanes-Oxley Act of 2002 imposes certain reporting requirements on AGNC with respect to our Financial Executives’ compliance with the Code. In accordance with these requirements, we will publicly report on a Current Report on Form 8-K any waivers of any provision of the Code granted by our Board to any Financial Executive. Violations of the Code by our Financial Executives may also be immediately reported on Form 8-K.</w:t>
      </w:r>
    </w:p>
    <w:p>
      <w:pPr>
        <w:sectPr>
          <w:pgSz w:w="11900" w:h="16838" w:orient="portrait"/>
          <w:cols w:equalWidth="0" w:num="1">
            <w:col w:w="10764"/>
          </w:cols>
          <w:pgMar w:left="896" w:top="582" w:right="239" w:bottom="1440" w:gutter="0" w:footer="0" w:header="0"/>
        </w:sectPr>
      </w:pPr>
    </w:p>
    <w:bookmarkStart w:id="62" w:name="page63"/>
    <w:bookmarkEnd w:id="62"/>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20"/>
          <w:szCs w:val="20"/>
          <w:b w:val="1"/>
          <w:bCs w:val="1"/>
          <w:color w:val="auto"/>
        </w:rPr>
        <w:t>REVISIONS AND UPDATES TO THIS CODE</w:t>
      </w:r>
    </w:p>
    <w:p>
      <w:pPr>
        <w:spacing w:after="0" w:line="21" w:lineRule="exact"/>
        <w:rPr>
          <w:rFonts w:ascii="Arial" w:cs="Arial" w:eastAsia="Arial" w:hAnsi="Arial"/>
          <w:sz w:val="18"/>
          <w:szCs w:val="18"/>
          <w:color w:val="auto"/>
        </w:rPr>
      </w:pPr>
    </w:p>
    <w:p>
      <w:pPr>
        <w:jc w:val="both"/>
        <w:ind w:left="644"/>
        <w:spacing w:after="0" w:line="241" w:lineRule="auto"/>
        <w:rPr>
          <w:rFonts w:ascii="Arial" w:cs="Arial" w:eastAsia="Arial" w:hAnsi="Arial"/>
          <w:sz w:val="18"/>
          <w:szCs w:val="18"/>
          <w:color w:val="auto"/>
        </w:rPr>
      </w:pPr>
      <w:r>
        <w:rPr>
          <w:rFonts w:ascii="Arial" w:cs="Arial" w:eastAsia="Arial" w:hAnsi="Arial"/>
          <w:sz w:val="20"/>
          <w:szCs w:val="20"/>
          <w:color w:val="auto"/>
        </w:rPr>
        <w:t>This Code may be revised, changed or amended at any time by our Board. Following any material revisions or updates, an updated version of this Code will be distributed to you, and will supersede the prior version of this Code effective upon distribution. We may ask you to sign an acknowledgement confirming that you have read and understood the revised version of the Code, and that you agree to comply with its provisions.</w:t>
      </w:r>
    </w:p>
    <w:p>
      <w:pPr>
        <w:spacing w:after="0" w:line="188"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20"/>
          <w:szCs w:val="20"/>
          <w:b w:val="1"/>
          <w:bCs w:val="1"/>
          <w:color w:val="auto"/>
        </w:rPr>
        <w:t>IMPORTANT DISCLAIMERS</w:t>
      </w:r>
    </w:p>
    <w:p>
      <w:pPr>
        <w:spacing w:after="0" w:line="21" w:lineRule="exact"/>
        <w:rPr>
          <w:rFonts w:ascii="Arial" w:cs="Arial" w:eastAsia="Arial" w:hAnsi="Arial"/>
          <w:sz w:val="18"/>
          <w:szCs w:val="18"/>
          <w:color w:val="auto"/>
        </w:rPr>
      </w:pPr>
    </w:p>
    <w:p>
      <w:pPr>
        <w:jc w:val="both"/>
        <w:ind w:left="644"/>
        <w:spacing w:after="0" w:line="241" w:lineRule="auto"/>
        <w:rPr>
          <w:rFonts w:ascii="Arial" w:cs="Arial" w:eastAsia="Arial" w:hAnsi="Arial"/>
          <w:sz w:val="18"/>
          <w:szCs w:val="18"/>
          <w:color w:val="auto"/>
        </w:rPr>
      </w:pPr>
      <w:r>
        <w:rPr>
          <w:rFonts w:ascii="Arial" w:cs="Arial" w:eastAsia="Arial" w:hAnsi="Arial"/>
          <w:sz w:val="20"/>
          <w:szCs w:val="20"/>
          <w:color w:val="auto"/>
        </w:rPr>
        <w:t>This Code reflects general principles to guide you in making ethical decisions and cannot, and is not intended to, address every specific situation in which we may find it appropriate to take disciplinary action. This Code is not intended to create any contract (express or implied) with you, including without limitation any employment contract, or to constitute any promise with regard to the length and terms of your employment.</w:t>
      </w:r>
    </w:p>
    <w:p>
      <w:pPr>
        <w:sectPr>
          <w:pgSz w:w="11900" w:h="16838" w:orient="portrait"/>
          <w:cols w:equalWidth="0" w:num="1">
            <w:col w:w="10764"/>
          </w:cols>
          <w:pgMar w:left="896" w:top="576" w:right="239" w:bottom="1440" w:gutter="0" w:footer="0" w:header="0"/>
        </w:sectPr>
      </w:pPr>
    </w:p>
    <w:bookmarkStart w:id="63" w:name="page64"/>
    <w:bookmarkEnd w:id="63"/>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860" w:hanging="467"/>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2018</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D.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Chief Investment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00"/>
          </w:cols>
          <w:pgMar w:left="260" w:top="584" w:right="239" w:bottom="1440" w:gutter="0" w:footer="0" w:header="0"/>
        </w:sectPr>
      </w:pPr>
    </w:p>
    <w:bookmarkStart w:id="64" w:name="page65"/>
    <w:bookmarkEnd w:id="64"/>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860" w:hanging="46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2018</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Bernice E. Bell</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60" w:top="58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3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2018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August 6, 2018</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August 6, 2018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1)"/>
      <w:numFmt w:val="lowerRoman"/>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2"/>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4"/>
    </w:lvl>
  </w:abstractNum>
  <w:abstractNum w:abstractNumId="35">
    <w:nsid w:val="6DE91B18"/>
    <w:multiLevelType w:val="hybridMultilevel"/>
    <w:lvl w:ilvl="0">
      <w:lvlJc w:val="left"/>
      <w:lvlText w:val="**"/>
      <w:numFmt w:val="bullet"/>
      <w:start w:val="1"/>
    </w:lvl>
    <w:lvl w:ilvl="1">
      <w:lvlJc w:val="left"/>
      <w:lvlText w:val="(%2)"/>
      <w:numFmt w:val="lowerLetter"/>
      <w:start w:val="2"/>
    </w:lvl>
  </w:abstractNum>
  <w:abstractNum w:abstractNumId="36">
    <w:nsid w:val="38437FDB"/>
    <w:multiLevelType w:val="hybridMultilevel"/>
    <w:lvl w:ilvl="0">
      <w:lvlJc w:val="left"/>
      <w:lvlText w:val="%1."/>
      <w:numFmt w:val="upperLetter"/>
      <w:start w:val="1"/>
    </w:lvl>
    <w:lvl w:ilvl="1">
      <w:lvlJc w:val="left"/>
      <w:lvlText w:val="◦"/>
      <w:numFmt w:val="bullet"/>
      <w:start w:val="1"/>
    </w:lvl>
  </w:abstractNum>
  <w:abstractNum w:abstractNumId="37">
    <w:nsid w:val="7644A45C"/>
    <w:multiLevelType w:val="hybridMultilevel"/>
    <w:lvl w:ilvl="0">
      <w:lvlJc w:val="left"/>
      <w:lvlText w:val="%1."/>
      <w:numFmt w:val="upperLetter"/>
      <w:start w:val="2"/>
    </w:lvl>
    <w:lvl w:ilvl="1">
      <w:lvlJc w:val="left"/>
      <w:lvlText w:val="%2."/>
      <w:numFmt w:val="decimal"/>
      <w:start w:val="1"/>
    </w:lvl>
  </w:abstractNum>
  <w:abstractNum w:abstractNumId="38">
    <w:nsid w:val="32FFF902"/>
    <w:multiLevelType w:val="hybridMultilevel"/>
    <w:lvl w:ilvl="0">
      <w:lvlJc w:val="left"/>
      <w:lvlText w:val="%1."/>
      <w:numFmt w:val="decimal"/>
      <w:start w:val="3"/>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decimal"/>
      <w:start w:val="6"/>
    </w:lvl>
    <w:lvl w:ilvl="1">
      <w:lvlJc w:val="left"/>
      <w:lvlText w:val="%2."/>
      <w:numFmt w:val="lowerLetter"/>
      <w:start w:val="1"/>
    </w:lvl>
  </w:abstractNum>
  <w:abstractNum w:abstractNumId="41">
    <w:nsid w:val="749ABB4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decimal"/>
      <w:start w:val="1"/>
    </w:lvl>
  </w:abstractNum>
  <w:abstractNum w:abstractNumId="42">
    <w:nsid w:val="3DC240FB"/>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2"/>
    </w:lvl>
    <w:lvl w:ilvl="1">
      <w:lvlJc w:val="left"/>
      <w:lvlText w:val="%2."/>
      <w:numFmt w:val="lowerLetter"/>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lowerLetter"/>
      <w:start w:val="2"/>
    </w:lvl>
    <w:lvl w:ilvl="1">
      <w:lvlJc w:val="left"/>
      <w:lvlText w:val="▪"/>
      <w:numFmt w:val="bullet"/>
      <w:start w:val="1"/>
    </w:lvl>
  </w:abstractNum>
  <w:abstractNum w:abstractNumId="47">
    <w:nsid w:val="70C6A529"/>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48">
    <w:nsid w:val="520EEDD1"/>
    <w:multiLevelType w:val="hybridMultilevel"/>
    <w:lvl w:ilvl="0">
      <w:lvlJc w:val="left"/>
      <w:lvlText w:val="%1."/>
      <w:numFmt w:val="decimal"/>
      <w:start w:val="2"/>
    </w:lvl>
  </w:abstractNum>
  <w:abstractNum w:abstractNumId="49">
    <w:nsid w:val="374A3FE6"/>
    <w:multiLevelType w:val="hybridMultilevel"/>
    <w:lvl w:ilvl="0">
      <w:lvlJc w:val="left"/>
      <w:lvlText w:val="%1."/>
      <w:numFmt w:val="upperLetter"/>
      <w:start w:val="5"/>
    </w:lvl>
    <w:lvl w:ilvl="1">
      <w:lvlJc w:val="left"/>
      <w:lvlText w:val="%2."/>
      <w:numFmt w:val="decimal"/>
      <w:start w:val="1"/>
    </w:lvl>
    <w:lvl w:ilvl="2">
      <w:lvlJc w:val="left"/>
      <w:lvlText w:val="▪"/>
      <w:numFmt w:val="bullet"/>
      <w:start w:val="1"/>
    </w:lvl>
  </w:abstractNum>
  <w:abstractNum w:abstractNumId="50">
    <w:nsid w:val="4F4EF005"/>
    <w:multiLevelType w:val="hybridMultilevel"/>
    <w:lvl w:ilvl="0">
      <w:lvlJc w:val="left"/>
      <w:lvlText w:val="%1."/>
      <w:numFmt w:val="decimal"/>
      <w:start w:val="2"/>
    </w:lvl>
  </w:abstractNum>
  <w:abstractNum w:abstractNumId="51">
    <w:nsid w:val="23F9C13C"/>
    <w:multiLevelType w:val="hybridMultilevel"/>
    <w:lvl w:ilvl="0">
      <w:lvlJc w:val="left"/>
      <w:lvlText w:val="%1"/>
      <w:numFmt w:val="upperLetter"/>
      <w:start w:val="1"/>
    </w:lvl>
    <w:lvl w:ilvl="1">
      <w:lvlJc w:val="left"/>
      <w:lvlText w:val="%2."/>
      <w:numFmt w:val="decimal"/>
      <w:start w:val="4"/>
    </w:lvl>
  </w:abstractNum>
  <w:abstractNum w:abstractNumId="52">
    <w:nsid w:val="649BB77C"/>
    <w:multiLevelType w:val="hybridMultilevel"/>
    <w:lvl w:ilvl="0">
      <w:lvlJc w:val="left"/>
      <w:lvlText w:val="%1."/>
      <w:numFmt w:val="upperLetter"/>
      <w:start w:val="6"/>
    </w:lvl>
    <w:lvl w:ilvl="1">
      <w:lvlJc w:val="left"/>
      <w:lvlText w:val="%2."/>
      <w:numFmt w:val="decimal"/>
      <w:start w:val="1"/>
    </w:lvl>
  </w:abstractNum>
  <w:abstractNum w:abstractNumId="53">
    <w:nsid w:val="275AC794"/>
    <w:multiLevelType w:val="hybridMultilevel"/>
    <w:lvl w:ilvl="0">
      <w:lvlJc w:val="left"/>
      <w:lvlText w:val="%1."/>
      <w:numFmt w:val="decimal"/>
      <w:start w:val="3"/>
    </w:lvl>
  </w:abstractNum>
  <w:abstractNum w:abstractNumId="54">
    <w:nsid w:val="39386575"/>
    <w:multiLevelType w:val="hybridMultilevel"/>
    <w:lvl w:ilvl="0">
      <w:lvlJc w:val="left"/>
      <w:lvlText w:val="%1."/>
      <w:numFmt w:val="decimal"/>
      <w:start w:val="7"/>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28" Type="http://schemas.openxmlformats.org/officeDocument/2006/relationships/hyperlink" Target="http://www.sec.gov/Archives/edgar/data/1423689/000142368918000016/agncexhibit313311810-q.htm" TargetMode="External"/><Relationship Id="rId29" Type="http://schemas.openxmlformats.org/officeDocument/2006/relationships/hyperlink" Target="http://www.sec.gov/Archives/edgar/data/1423689/000142368916000104/agncexhibit329301610-qbyla.htm" TargetMode="External"/><Relationship Id="rId30" Type="http://schemas.openxmlformats.org/officeDocument/2006/relationships/hyperlink" Target="http://www.sec.gov/Archives/edgar/data/1423689/000142368914000023/exh34certificateofdesignat.htm" TargetMode="External"/><Relationship Id="rId31" Type="http://schemas.openxmlformats.org/officeDocument/2006/relationships/hyperlink" Target="http://www.sec.gov/Archives/edgar/data/1423689/000142368917000044/ex35certificateofdesignati.htm" TargetMode="External"/><Relationship Id="rId32" Type="http://schemas.openxmlformats.org/officeDocument/2006/relationships/hyperlink" Target="http://www.sec.gov/Archives/edgar/data/1423689/000142368917000065/certificateofelimination.htm" TargetMode="External"/><Relationship Id="rId33" Type="http://schemas.openxmlformats.org/officeDocument/2006/relationships/hyperlink" Target="http://www.sec.gov/Archives/edgar/data/1423689/000142368916000104/agncexhibit319301610-q.htm" TargetMode="External"/><Relationship Id="rId34" Type="http://schemas.openxmlformats.org/officeDocument/2006/relationships/hyperlink" Target="http://www.sec.gov/Archives/edgar/data/1423689/000142368916000104/agncexhibit43.htm" TargetMode="External"/><Relationship Id="rId35" Type="http://schemas.openxmlformats.org/officeDocument/2006/relationships/hyperlink" Target="http://www.sec.gov/Archives/edgar/data/1423689/000142368914000023/agncspecimenseriesbcumul.htm" TargetMode="External"/><Relationship Id="rId36" Type="http://schemas.openxmlformats.org/officeDocument/2006/relationships/hyperlink" Target="http://www.sec.gov/Archives/edgar/data/1423689/000142368917000044/exhibit41.htm" TargetMode="External"/><Relationship Id="rId37" Type="http://schemas.openxmlformats.org/officeDocument/2006/relationships/hyperlink" Target="http://www.sec.gov/Archives/edgar/data/1423689/000142368914000026/exhibit42depositagreement.htm" TargetMode="External"/><Relationship Id="rId38" Type="http://schemas.openxmlformats.org/officeDocument/2006/relationships/hyperlink" Target="http://www.sec.gov/Archives/edgar/data/1423689/000142368917000049/depos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2019-12-28T20:33:51Z</dcterms:created>
  <dcterms:modified xsi:type="dcterms:W3CDTF">2019-12-28T20:33:51Z</dcterms:modified>
</cp:coreProperties>
</file>