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852170</wp:posOffset>
            </wp:positionH>
            <wp:positionV relativeFrom="page">
              <wp:posOffset>534670</wp:posOffset>
            </wp:positionV>
            <wp:extent cx="585724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57240" cy="8890"/>
                    </a:xfrm>
                    <a:prstGeom prst="rect">
                      <a:avLst/>
                    </a:prstGeom>
                    <a:noFill/>
                  </pic:spPr>
                </pic:pic>
              </a:graphicData>
            </a:graphic>
          </wp:anchor>
        </w:drawing>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699770</wp:posOffset>
            </wp:positionH>
            <wp:positionV relativeFrom="paragraph">
              <wp:posOffset>-199390</wp:posOffset>
            </wp:positionV>
            <wp:extent cx="585724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57240" cy="8890"/>
                    </a:xfrm>
                    <a:prstGeom prst="rect">
                      <a:avLst/>
                    </a:prstGeom>
                    <a:noFill/>
                  </pic:spPr>
                </pic:pic>
              </a:graphicData>
            </a:graphic>
          </wp:anchor>
        </w:drawing>
      </w:r>
    </w:p>
    <w:p>
      <w:pPr>
        <w:spacing w:after="0" w:line="16"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SECURITIES AND EXCHANGE COMMISSION</w:t>
      </w:r>
    </w:p>
    <w:p>
      <w:pPr>
        <w:spacing w:after="0" w:line="3" w:lineRule="exact"/>
        <w:rPr>
          <w:sz w:val="24"/>
          <w:szCs w:val="24"/>
          <w:color w:val="auto"/>
        </w:rPr>
      </w:pPr>
    </w:p>
    <w:p>
      <w:pPr>
        <w:jc w:val="center"/>
        <w:ind w:right="-19"/>
        <w:spacing w:after="0"/>
        <w:rPr>
          <w:sz w:val="20"/>
          <w:szCs w:val="20"/>
          <w:color w:val="auto"/>
        </w:rPr>
      </w:pPr>
      <w:r>
        <w:rPr>
          <w:rFonts w:ascii="Arial" w:cs="Arial" w:eastAsia="Arial" w:hAnsi="Arial"/>
          <w:sz w:val="20"/>
          <w:szCs w:val="20"/>
          <w:b w:val="1"/>
          <w:bCs w:val="1"/>
          <w:color w:val="auto"/>
        </w:rPr>
        <w:t>Washington, D.C. 20549</w:t>
      </w:r>
    </w:p>
    <w:p>
      <w:pPr>
        <w:spacing w:after="0" w:line="4" w:lineRule="exact"/>
        <w:rPr>
          <w:sz w:val="24"/>
          <w:szCs w:val="24"/>
          <w:color w:val="auto"/>
        </w:rPr>
      </w:pPr>
    </w:p>
    <w:p>
      <w:pPr>
        <w:ind w:left="3660"/>
        <w:spacing w:after="0"/>
        <w:rPr>
          <w:sz w:val="20"/>
          <w:szCs w:val="20"/>
          <w:color w:val="auto"/>
        </w:rPr>
      </w:pPr>
      <w:r>
        <w:rPr>
          <w:rFonts w:ascii="Arial" w:cs="Arial" w:eastAsia="Arial" w:hAnsi="Arial"/>
          <w:sz w:val="16"/>
          <w:szCs w:val="16"/>
          <w:color w:val="auto"/>
        </w:rPr>
        <w:t>__________________________________________________</w:t>
      </w:r>
    </w:p>
    <w:p>
      <w:pPr>
        <w:spacing w:after="0" w:line="22"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FORM 8-K</w:t>
      </w:r>
    </w:p>
    <w:p>
      <w:pPr>
        <w:spacing w:after="0" w:line="14" w:lineRule="exact"/>
        <w:rPr>
          <w:sz w:val="24"/>
          <w:szCs w:val="24"/>
          <w:color w:val="auto"/>
        </w:rPr>
      </w:pPr>
    </w:p>
    <w:p>
      <w:pPr>
        <w:ind w:left="3700"/>
        <w:spacing w:after="0"/>
        <w:rPr>
          <w:sz w:val="20"/>
          <w:szCs w:val="20"/>
          <w:color w:val="auto"/>
        </w:rPr>
      </w:pPr>
      <w:r>
        <w:rPr>
          <w:rFonts w:ascii="Arial" w:cs="Arial" w:eastAsia="Arial" w:hAnsi="Arial"/>
          <w:sz w:val="16"/>
          <w:szCs w:val="16"/>
          <w:color w:val="auto"/>
        </w:rPr>
        <w:t>__________________________________________________</w:t>
      </w:r>
    </w:p>
    <w:p>
      <w:pPr>
        <w:spacing w:after="0" w:line="41" w:lineRule="exact"/>
        <w:rPr>
          <w:sz w:val="24"/>
          <w:szCs w:val="24"/>
          <w:color w:val="auto"/>
        </w:rPr>
      </w:pPr>
    </w:p>
    <w:p>
      <w:pPr>
        <w:jc w:val="center"/>
        <w:ind w:right="-59"/>
        <w:spacing w:after="0"/>
        <w:rPr>
          <w:sz w:val="20"/>
          <w:szCs w:val="20"/>
          <w:color w:val="auto"/>
        </w:rPr>
      </w:pPr>
      <w:r>
        <w:rPr>
          <w:rFonts w:ascii="Arial" w:cs="Arial" w:eastAsia="Arial" w:hAnsi="Arial"/>
          <w:sz w:val="16"/>
          <w:szCs w:val="16"/>
          <w:b w:val="1"/>
          <w:bCs w:val="1"/>
          <w:color w:val="auto"/>
        </w:rPr>
        <w:t>CURRENT REPORT</w:t>
      </w:r>
    </w:p>
    <w:p>
      <w:pPr>
        <w:spacing w:after="0" w:line="208"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Pursuant to Section 13 or 15(d) of the Securities Exchange Act of 1934</w:t>
      </w:r>
    </w:p>
    <w:p>
      <w:pPr>
        <w:spacing w:after="0" w:line="181"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Date of Report (Date of earliest event reported): July 24, 2019</w:t>
      </w:r>
    </w:p>
    <w:p>
      <w:pPr>
        <w:spacing w:after="0" w:line="26" w:lineRule="exact"/>
        <w:rPr>
          <w:sz w:val="24"/>
          <w:szCs w:val="24"/>
          <w:color w:val="auto"/>
        </w:rPr>
      </w:pPr>
    </w:p>
    <w:p>
      <w:pPr>
        <w:ind w:left="3680"/>
        <w:spacing w:after="0"/>
        <w:rPr>
          <w:sz w:val="20"/>
          <w:szCs w:val="20"/>
          <w:color w:val="auto"/>
        </w:rPr>
      </w:pPr>
      <w:r>
        <w:rPr>
          <w:rFonts w:ascii="Arial" w:cs="Arial" w:eastAsia="Arial" w:hAnsi="Arial"/>
          <w:sz w:val="16"/>
          <w:szCs w:val="16"/>
          <w:color w:val="auto"/>
        </w:rPr>
        <w:t>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6985</wp:posOffset>
            </wp:positionV>
            <wp:extent cx="1835150" cy="5575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35150" cy="557530"/>
                    </a:xfrm>
                    <a:prstGeom prst="rect">
                      <a:avLst/>
                    </a:prstGeom>
                    <a:noFill/>
                  </pic:spPr>
                </pic:pic>
              </a:graphicData>
            </a:graphic>
          </wp:anchor>
        </w:drawing>
      </w:r>
    </w:p>
    <w:p>
      <w:pPr>
        <w:sectPr>
          <w:pgSz w:w="11900" w:h="16838" w:orient="portrait"/>
          <w:cols w:equalWidth="0" w:num="1">
            <w:col w:w="11420"/>
          </w:cols>
          <w:pgMar w:left="240" w:top="958" w:right="23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7" w:lineRule="exact"/>
        <w:rPr>
          <w:sz w:val="24"/>
          <w:szCs w:val="24"/>
          <w:color w:val="auto"/>
        </w:rPr>
      </w:pPr>
    </w:p>
    <w:p>
      <w:pPr>
        <w:jc w:val="center"/>
        <w:ind w:left="460"/>
        <w:spacing w:after="0"/>
        <w:rPr>
          <w:sz w:val="20"/>
          <w:szCs w:val="20"/>
          <w:color w:val="auto"/>
        </w:rPr>
      </w:pPr>
      <w:r>
        <w:rPr>
          <w:rFonts w:ascii="Arial" w:cs="Arial" w:eastAsia="Arial" w:hAnsi="Arial"/>
          <w:sz w:val="16"/>
          <w:szCs w:val="16"/>
          <w:b w:val="1"/>
          <w:bCs w:val="1"/>
          <w:color w:val="auto"/>
        </w:rPr>
        <w:t>Delaware</w:t>
      </w:r>
    </w:p>
    <w:p>
      <w:pPr>
        <w:spacing w:after="0" w:line="68" w:lineRule="exact"/>
        <w:rPr>
          <w:sz w:val="24"/>
          <w:szCs w:val="24"/>
          <w:color w:val="auto"/>
        </w:rPr>
      </w:pPr>
    </w:p>
    <w:p>
      <w:pPr>
        <w:jc w:val="both"/>
        <w:ind w:left="700" w:right="240" w:firstLine="32"/>
        <w:spacing w:after="0" w:line="327" w:lineRule="auto"/>
        <w:rPr>
          <w:sz w:val="20"/>
          <w:szCs w:val="20"/>
          <w:color w:val="auto"/>
        </w:rPr>
      </w:pPr>
      <w:r>
        <w:rPr>
          <w:rFonts w:ascii="Arial" w:cs="Arial" w:eastAsia="Arial" w:hAnsi="Arial"/>
          <w:sz w:val="11"/>
          <w:szCs w:val="11"/>
          <w:b w:val="1"/>
          <w:bCs w:val="1"/>
          <w:color w:val="auto"/>
        </w:rPr>
        <w:t>(State or Other Jurisdiction of Incorporation or Organization)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4" w:lineRule="exact"/>
        <w:rPr>
          <w:sz w:val="24"/>
          <w:szCs w:val="24"/>
          <w:color w:val="auto"/>
        </w:rPr>
      </w:pPr>
    </w:p>
    <w:p>
      <w:pPr>
        <w:jc w:val="center"/>
        <w:ind w:right="3340"/>
        <w:spacing w:after="0"/>
        <w:rPr>
          <w:sz w:val="20"/>
          <w:szCs w:val="20"/>
          <w:color w:val="auto"/>
        </w:rPr>
      </w:pPr>
      <w:r>
        <w:rPr>
          <w:rFonts w:ascii="Arial" w:cs="Arial" w:eastAsia="Arial" w:hAnsi="Arial"/>
          <w:sz w:val="36"/>
          <w:szCs w:val="36"/>
          <w:b w:val="1"/>
          <w:bCs w:val="1"/>
          <w:color w:val="auto"/>
        </w:rPr>
        <w:t>AGNC INVESTMENT CORP.</w:t>
      </w:r>
    </w:p>
    <w:p>
      <w:pPr>
        <w:spacing w:after="0" w:line="48" w:lineRule="exact"/>
        <w:rPr>
          <w:sz w:val="24"/>
          <w:szCs w:val="24"/>
          <w:color w:val="auto"/>
        </w:rPr>
      </w:pPr>
    </w:p>
    <w:p>
      <w:pPr>
        <w:jc w:val="center"/>
        <w:ind w:right="3340"/>
        <w:spacing w:after="0"/>
        <w:rPr>
          <w:sz w:val="20"/>
          <w:szCs w:val="20"/>
          <w:color w:val="auto"/>
        </w:rPr>
      </w:pPr>
      <w:r>
        <w:rPr>
          <w:rFonts w:ascii="Arial" w:cs="Arial" w:eastAsia="Arial" w:hAnsi="Arial"/>
          <w:sz w:val="16"/>
          <w:szCs w:val="16"/>
          <w:b w:val="1"/>
          <w:bCs w:val="1"/>
          <w:color w:val="auto"/>
        </w:rPr>
        <w:t>(Exact name of registrant as specified in its charter)</w:t>
      </w:r>
    </w:p>
    <w:p>
      <w:pPr>
        <w:spacing w:after="0" w:line="5" w:lineRule="exact"/>
        <w:rPr>
          <w:sz w:val="24"/>
          <w:szCs w:val="24"/>
          <w:color w:val="auto"/>
        </w:rPr>
      </w:pPr>
    </w:p>
    <w:p>
      <w:pPr>
        <w:ind w:left="340"/>
        <w:spacing w:after="0"/>
        <w:rPr>
          <w:sz w:val="20"/>
          <w:szCs w:val="20"/>
          <w:color w:val="auto"/>
        </w:rPr>
      </w:pPr>
      <w:r>
        <w:rPr>
          <w:rFonts w:ascii="Arial" w:cs="Arial" w:eastAsia="Arial" w:hAnsi="Arial"/>
          <w:sz w:val="16"/>
          <w:szCs w:val="16"/>
          <w:color w:val="auto"/>
        </w:rPr>
        <w:t>__________________________________________________</w:t>
      </w:r>
    </w:p>
    <w:p>
      <w:pPr>
        <w:spacing w:after="0" w:line="149" w:lineRule="exact"/>
        <w:rPr>
          <w:sz w:val="24"/>
          <w:szCs w:val="24"/>
          <w:color w:val="auto"/>
        </w:rPr>
      </w:pPr>
    </w:p>
    <w:tbl>
      <w:tblPr>
        <w:tblLayout w:type="fixed"/>
        <w:tblInd w:w="540" w:type="dxa"/>
        <w:tblCellMar>
          <w:top w:w="0" w:type="dxa"/>
          <w:left w:w="0" w:type="dxa"/>
          <w:bottom w:w="0" w:type="dxa"/>
          <w:right w:w="0" w:type="dxa"/>
        </w:tblCellMar>
      </w:tblPr>
      <w:tr>
        <w:trPr>
          <w:trHeight w:val="210"/>
        </w:trPr>
        <w:tc>
          <w:tcPr>
            <w:tcW w:w="2380" w:type="dxa"/>
            <w:vAlign w:val="bottom"/>
          </w:tcPr>
          <w:p>
            <w:pPr>
              <w:jc w:val="right"/>
              <w:ind w:right="1228"/>
              <w:spacing w:after="0"/>
              <w:rPr>
                <w:sz w:val="20"/>
                <w:szCs w:val="20"/>
                <w:color w:val="auto"/>
              </w:rPr>
            </w:pPr>
            <w:r>
              <w:rPr>
                <w:rFonts w:ascii="Arial" w:cs="Arial" w:eastAsia="Arial" w:hAnsi="Arial"/>
                <w:sz w:val="16"/>
                <w:szCs w:val="16"/>
                <w:b w:val="1"/>
                <w:bCs w:val="1"/>
                <w:color w:val="auto"/>
              </w:rPr>
              <w:t>001-34057</w:t>
            </w:r>
          </w:p>
        </w:tc>
        <w:tc>
          <w:tcPr>
            <w:tcW w:w="1900" w:type="dxa"/>
            <w:vAlign w:val="bottom"/>
          </w:tcPr>
          <w:p>
            <w:pPr>
              <w:jc w:val="center"/>
              <w:ind w:left="851"/>
              <w:spacing w:after="0"/>
              <w:rPr>
                <w:sz w:val="20"/>
                <w:szCs w:val="20"/>
                <w:color w:val="auto"/>
              </w:rPr>
            </w:pPr>
            <w:r>
              <w:rPr>
                <w:rFonts w:ascii="Arial" w:cs="Arial" w:eastAsia="Arial" w:hAnsi="Arial"/>
                <w:sz w:val="16"/>
                <w:szCs w:val="16"/>
                <w:b w:val="1"/>
                <w:bCs w:val="1"/>
                <w:color w:val="auto"/>
                <w:w w:val="91"/>
              </w:rPr>
              <w:t>26-1701984</w:t>
            </w:r>
          </w:p>
        </w:tc>
      </w:tr>
      <w:tr>
        <w:trPr>
          <w:trHeight w:val="177"/>
        </w:trPr>
        <w:tc>
          <w:tcPr>
            <w:tcW w:w="2380" w:type="dxa"/>
            <w:vAlign w:val="bottom"/>
          </w:tcPr>
          <w:p>
            <w:pPr>
              <w:spacing w:after="0"/>
              <w:rPr>
                <w:sz w:val="15"/>
                <w:szCs w:val="15"/>
                <w:color w:val="auto"/>
              </w:rPr>
            </w:pPr>
          </w:p>
        </w:tc>
        <w:tc>
          <w:tcPr>
            <w:tcW w:w="1900" w:type="dxa"/>
            <w:vAlign w:val="bottom"/>
          </w:tcPr>
          <w:p>
            <w:pPr>
              <w:jc w:val="center"/>
              <w:ind w:left="851"/>
              <w:spacing w:after="0"/>
              <w:rPr>
                <w:sz w:val="20"/>
                <w:szCs w:val="20"/>
                <w:color w:val="auto"/>
              </w:rPr>
            </w:pPr>
            <w:r>
              <w:rPr>
                <w:rFonts w:ascii="Arial" w:cs="Arial" w:eastAsia="Arial" w:hAnsi="Arial"/>
                <w:sz w:val="13"/>
                <w:szCs w:val="13"/>
                <w:b w:val="1"/>
                <w:bCs w:val="1"/>
                <w:color w:val="auto"/>
                <w:w w:val="90"/>
              </w:rPr>
              <w:t>(I.R.S. Employer</w:t>
            </w:r>
          </w:p>
        </w:tc>
      </w:tr>
      <w:tr>
        <w:trPr>
          <w:trHeight w:val="178"/>
        </w:trPr>
        <w:tc>
          <w:tcPr>
            <w:tcW w:w="2380" w:type="dxa"/>
            <w:vAlign w:val="bottom"/>
          </w:tcPr>
          <w:p>
            <w:pPr>
              <w:jc w:val="center"/>
              <w:ind w:right="848"/>
              <w:spacing w:after="0"/>
              <w:rPr>
                <w:sz w:val="20"/>
                <w:szCs w:val="20"/>
                <w:color w:val="auto"/>
              </w:rPr>
            </w:pPr>
            <w:r>
              <w:rPr>
                <w:rFonts w:ascii="Arial" w:cs="Arial" w:eastAsia="Arial" w:hAnsi="Arial"/>
                <w:sz w:val="13"/>
                <w:szCs w:val="13"/>
                <w:b w:val="1"/>
                <w:bCs w:val="1"/>
                <w:color w:val="auto"/>
                <w:w w:val="88"/>
              </w:rPr>
              <w:t>(Commission File Number)</w:t>
            </w:r>
          </w:p>
        </w:tc>
        <w:tc>
          <w:tcPr>
            <w:tcW w:w="1900" w:type="dxa"/>
            <w:vAlign w:val="bottom"/>
          </w:tcPr>
          <w:p>
            <w:pPr>
              <w:jc w:val="center"/>
              <w:ind w:left="851"/>
              <w:spacing w:after="0"/>
              <w:rPr>
                <w:sz w:val="20"/>
                <w:szCs w:val="20"/>
                <w:color w:val="auto"/>
              </w:rPr>
            </w:pPr>
            <w:r>
              <w:rPr>
                <w:rFonts w:ascii="Arial" w:cs="Arial" w:eastAsia="Arial" w:hAnsi="Arial"/>
                <w:sz w:val="13"/>
                <w:szCs w:val="13"/>
                <w:b w:val="1"/>
                <w:bCs w:val="1"/>
                <w:color w:val="auto"/>
                <w:w w:val="89"/>
              </w:rPr>
              <w:t>Identification No.)</w:t>
            </w:r>
          </w:p>
        </w:tc>
      </w:tr>
    </w:tbl>
    <w:p>
      <w:pPr>
        <w:spacing w:after="0" w:line="55" w:lineRule="exact"/>
        <w:rPr>
          <w:sz w:val="24"/>
          <w:szCs w:val="24"/>
          <w:color w:val="auto"/>
        </w:rPr>
      </w:pPr>
    </w:p>
    <w:p>
      <w:pPr>
        <w:sectPr>
          <w:pgSz w:w="11900" w:h="16838" w:orient="portrait"/>
          <w:cols w:equalWidth="0" w:num="2">
            <w:col w:w="2620" w:space="720"/>
            <w:col w:w="8080"/>
          </w:cols>
          <w:pgMar w:left="240" w:top="958" w:right="239" w:bottom="1440" w:gutter="0" w:footer="0" w:header="0"/>
          <w:type w:val="continuous"/>
        </w:sectPr>
      </w:pPr>
    </w:p>
    <w:p>
      <w:pPr>
        <w:jc w:val="center"/>
        <w:ind w:right="-19"/>
        <w:spacing w:after="0"/>
        <w:rPr>
          <w:sz w:val="20"/>
          <w:szCs w:val="20"/>
          <w:color w:val="auto"/>
        </w:rPr>
      </w:pPr>
      <w:r>
        <w:rPr>
          <w:rFonts w:ascii="Arial" w:cs="Arial" w:eastAsia="Arial" w:hAnsi="Arial"/>
          <w:sz w:val="16"/>
          <w:szCs w:val="16"/>
          <w:b w:val="1"/>
          <w:bCs w:val="1"/>
          <w:color w:val="auto"/>
        </w:rPr>
        <w:t>2 Bethesda Metro Center, 12th Floor</w:t>
      </w:r>
    </w:p>
    <w:p>
      <w:pPr>
        <w:spacing w:after="0" w:line="20"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Bethesda, Maryland 20814</w:t>
      </w:r>
    </w:p>
    <w:p>
      <w:pPr>
        <w:jc w:val="center"/>
        <w:ind w:right="-19"/>
        <w:spacing w:after="0"/>
        <w:rPr>
          <w:sz w:val="20"/>
          <w:szCs w:val="20"/>
          <w:color w:val="auto"/>
        </w:rPr>
      </w:pPr>
      <w:r>
        <w:rPr>
          <w:rFonts w:ascii="Arial" w:cs="Arial" w:eastAsia="Arial" w:hAnsi="Arial"/>
          <w:sz w:val="13"/>
          <w:szCs w:val="13"/>
          <w:b w:val="1"/>
          <w:bCs w:val="1"/>
          <w:color w:val="auto"/>
        </w:rPr>
        <w:t>(Address of principal executive offices)</w:t>
      </w:r>
    </w:p>
    <w:p>
      <w:pPr>
        <w:spacing w:after="0" w:line="201" w:lineRule="exact"/>
        <w:rPr>
          <w:sz w:val="24"/>
          <w:szCs w:val="24"/>
          <w:color w:val="auto"/>
        </w:rPr>
      </w:pPr>
    </w:p>
    <w:p>
      <w:pPr>
        <w:jc w:val="center"/>
        <w:ind w:right="-19"/>
        <w:spacing w:after="0"/>
        <w:rPr>
          <w:sz w:val="20"/>
          <w:szCs w:val="20"/>
          <w:color w:val="auto"/>
        </w:rPr>
      </w:pPr>
      <w:r>
        <w:rPr>
          <w:rFonts w:ascii="Arial" w:cs="Arial" w:eastAsia="Arial" w:hAnsi="Arial"/>
          <w:sz w:val="13"/>
          <w:szCs w:val="13"/>
          <w:b w:val="1"/>
          <w:bCs w:val="1"/>
          <w:color w:val="auto"/>
        </w:rPr>
        <w:t>Registrant’s telephone number, including area code:</w:t>
      </w:r>
    </w:p>
    <w:p>
      <w:pPr>
        <w:spacing w:after="0" w:line="15"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(301) 968-9300</w:t>
      </w:r>
    </w:p>
    <w:p>
      <w:pPr>
        <w:spacing w:after="0" w:line="210"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N/A</w:t>
      </w:r>
    </w:p>
    <w:p>
      <w:pPr>
        <w:spacing w:after="0" w:line="15" w:lineRule="exact"/>
        <w:rPr>
          <w:sz w:val="24"/>
          <w:szCs w:val="24"/>
          <w:color w:val="auto"/>
        </w:rPr>
      </w:pPr>
    </w:p>
    <w:p>
      <w:pPr>
        <w:jc w:val="center"/>
        <w:ind w:right="-19"/>
        <w:spacing w:after="0"/>
        <w:rPr>
          <w:sz w:val="20"/>
          <w:szCs w:val="20"/>
          <w:color w:val="auto"/>
        </w:rPr>
      </w:pPr>
      <w:r>
        <w:rPr>
          <w:rFonts w:ascii="Arial" w:cs="Arial" w:eastAsia="Arial" w:hAnsi="Arial"/>
          <w:sz w:val="13"/>
          <w:szCs w:val="13"/>
          <w:b w:val="1"/>
          <w:bCs w:val="1"/>
          <w:color w:val="auto"/>
        </w:rPr>
        <w:t>(Former name or former address, if changed since last report)</w:t>
      </w:r>
    </w:p>
    <w:p>
      <w:pPr>
        <w:spacing w:after="0" w:line="1" w:lineRule="exact"/>
        <w:rPr>
          <w:sz w:val="24"/>
          <w:szCs w:val="24"/>
          <w:color w:val="auto"/>
        </w:rPr>
      </w:pPr>
    </w:p>
    <w:p>
      <w:pPr>
        <w:ind w:left="3480"/>
        <w:spacing w:after="0"/>
        <w:rPr>
          <w:sz w:val="20"/>
          <w:szCs w:val="20"/>
          <w:color w:val="auto"/>
        </w:rPr>
      </w:pPr>
      <w:r>
        <w:rPr>
          <w:rFonts w:ascii="Arial" w:cs="Arial" w:eastAsia="Arial" w:hAnsi="Arial"/>
          <w:sz w:val="18"/>
          <w:szCs w:val="18"/>
          <w:color w:val="auto"/>
        </w:rPr>
        <w:t>__________________________________________________</w:t>
      </w:r>
    </w:p>
    <w:p>
      <w:pPr>
        <w:spacing w:after="0" w:line="173" w:lineRule="exact"/>
        <w:rPr>
          <w:sz w:val="24"/>
          <w:szCs w:val="24"/>
          <w:color w:val="auto"/>
        </w:rPr>
      </w:pPr>
    </w:p>
    <w:p>
      <w:pPr>
        <w:spacing w:after="0"/>
        <w:rPr>
          <w:sz w:val="20"/>
          <w:szCs w:val="20"/>
          <w:color w:val="auto"/>
        </w:rPr>
      </w:pPr>
      <w:r>
        <w:rPr>
          <w:rFonts w:ascii="Arial" w:cs="Arial" w:eastAsia="Arial" w:hAnsi="Arial"/>
          <w:sz w:val="12"/>
          <w:szCs w:val="12"/>
          <w:color w:val="auto"/>
        </w:rPr>
        <w:t>Check the appropriate box below if the Form 8-K filing is intended to simultaneously satisfy the filing obligation of the registrant under any of the following provisions:</w:t>
      </w:r>
    </w:p>
    <w:p>
      <w:pPr>
        <w:spacing w:after="0" w:line="243" w:lineRule="exact"/>
        <w:rPr>
          <w:sz w:val="24"/>
          <w:szCs w:val="24"/>
          <w:color w:val="auto"/>
        </w:rPr>
      </w:pPr>
    </w:p>
    <w:p>
      <w:pPr>
        <w:ind w:left="1220"/>
        <w:spacing w:after="0"/>
        <w:tabs>
          <w:tab w:leader="none" w:pos="330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Arial" w:cs="Arial" w:eastAsia="Arial" w:hAnsi="Arial"/>
          <w:sz w:val="13"/>
          <w:szCs w:val="13"/>
          <w:color w:val="auto"/>
        </w:rPr>
        <w:t>Written communications pursuant to Rule 425 under the Securities Act (17 CFR 230.425)</w:t>
      </w:r>
    </w:p>
    <w:p>
      <w:pPr>
        <w:spacing w:after="0" w:line="256" w:lineRule="exact"/>
        <w:rPr>
          <w:sz w:val="24"/>
          <w:szCs w:val="24"/>
          <w:color w:val="auto"/>
        </w:rPr>
      </w:pPr>
    </w:p>
    <w:p>
      <w:pPr>
        <w:ind w:left="120"/>
        <w:spacing w:after="0"/>
        <w:tabs>
          <w:tab w:leader="none" w:pos="220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Arial" w:cs="Arial" w:eastAsia="Arial" w:hAnsi="Arial"/>
          <w:sz w:val="13"/>
          <w:szCs w:val="13"/>
          <w:color w:val="auto"/>
        </w:rPr>
        <w:t>Soliciting material pursuant to Rule 14a-12 under the Exchange Act (17 CFR 240.14a-12)</w:t>
      </w:r>
    </w:p>
    <w:p>
      <w:pPr>
        <w:spacing w:after="0" w:line="256" w:lineRule="exact"/>
        <w:rPr>
          <w:sz w:val="24"/>
          <w:szCs w:val="24"/>
          <w:color w:val="auto"/>
        </w:rPr>
      </w:pPr>
    </w:p>
    <w:p>
      <w:pPr>
        <w:jc w:val="both"/>
        <w:ind w:left="1220"/>
        <w:spacing w:after="0"/>
        <w:tabs>
          <w:tab w:leader="none" w:pos="330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Arial" w:cs="Arial" w:eastAsia="Arial" w:hAnsi="Arial"/>
          <w:sz w:val="13"/>
          <w:szCs w:val="13"/>
          <w:color w:val="auto"/>
        </w:rPr>
        <w:t xml:space="preserve">Pre-commencement communications pursuant to Rule 14d-2(b) under the Exchange Act </w:t>
      </w:r>
      <w:r>
        <w:rPr>
          <w:rFonts w:ascii="Arial" w:cs="Arial" w:eastAsia="Arial" w:hAnsi="Arial"/>
          <w:sz w:val="13"/>
          <w:szCs w:val="13"/>
          <w:i w:val="1"/>
          <w:iCs w:val="1"/>
          <w:color w:val="auto"/>
        </w:rPr>
        <w:t>(</w:t>
      </w:r>
      <w:r>
        <w:rPr>
          <w:rFonts w:ascii="Arial" w:cs="Arial" w:eastAsia="Arial" w:hAnsi="Arial"/>
          <w:sz w:val="13"/>
          <w:szCs w:val="13"/>
          <w:color w:val="auto"/>
        </w:rPr>
        <w:t>17 CFR 240.14d-2(b))</w:t>
      </w:r>
    </w:p>
    <w:p>
      <w:pPr>
        <w:sectPr>
          <w:pgSz w:w="11900" w:h="16838" w:orient="portrait"/>
          <w:cols w:equalWidth="0" w:num="1">
            <w:col w:w="11420"/>
          </w:cols>
          <w:pgMar w:left="240" w:top="958" w:right="239" w:bottom="1440" w:gutter="0" w:footer="0" w:header="0"/>
          <w:type w:val="continuous"/>
        </w:sectPr>
      </w:pPr>
    </w:p>
    <w:p>
      <w:pPr>
        <w:spacing w:after="0" w:line="256" w:lineRule="exact"/>
        <w:rPr>
          <w:sz w:val="24"/>
          <w:szCs w:val="24"/>
          <w:color w:val="auto"/>
        </w:rPr>
      </w:pPr>
    </w:p>
    <w:p>
      <w:pPr>
        <w:ind w:left="1220"/>
        <w:spacing w:after="0" w:line="131" w:lineRule="exact"/>
        <w:rPr>
          <w:sz w:val="20"/>
          <w:szCs w:val="20"/>
          <w:color w:val="auto"/>
        </w:rPr>
      </w:pPr>
      <w:r>
        <w:rPr>
          <w:rFonts w:ascii="MS PGothic" w:cs="MS PGothic" w:eastAsia="MS PGothic" w:hAnsi="MS PGothic"/>
          <w:sz w:val="13"/>
          <w:szCs w:val="13"/>
          <w:color w:val="auto"/>
        </w:rPr>
        <w:t>☐</w:t>
      </w:r>
    </w:p>
    <w:p>
      <w:pPr>
        <w:spacing w:after="0" w:line="192" w:lineRule="exact"/>
        <w:rPr>
          <w:sz w:val="24"/>
          <w:szCs w:val="24"/>
          <w:color w:val="auto"/>
        </w:rPr>
      </w:pPr>
    </w:p>
    <w:p>
      <w:pPr>
        <w:spacing w:after="0"/>
        <w:rPr>
          <w:sz w:val="20"/>
          <w:szCs w:val="20"/>
          <w:color w:val="auto"/>
        </w:rPr>
      </w:pPr>
      <w:r>
        <w:rPr>
          <w:rFonts w:ascii="Arial" w:cs="Arial" w:eastAsia="Arial" w:hAnsi="Arial"/>
          <w:sz w:val="11"/>
          <w:szCs w:val="11"/>
          <w:color w:val="auto"/>
        </w:rPr>
        <w:t>Securities registered pursuant to Section 12(b) of the Act:</w:t>
      </w:r>
    </w:p>
    <w:p>
      <w:pPr>
        <w:spacing w:after="0" w:line="20" w:lineRule="exact"/>
        <w:rPr>
          <w:sz w:val="24"/>
          <w:szCs w:val="24"/>
          <w:color w:val="auto"/>
        </w:rPr>
      </w:pPr>
      <w:r>
        <w:rPr>
          <w:sz w:val="24"/>
          <w:szCs w:val="24"/>
          <w:color w:val="auto"/>
        </w:rPr>
        <w:br w:type="column"/>
      </w:r>
    </w:p>
    <w:p>
      <w:pPr>
        <w:spacing w:after="0" w:line="260" w:lineRule="exact"/>
        <w:rPr>
          <w:sz w:val="24"/>
          <w:szCs w:val="24"/>
          <w:color w:val="auto"/>
        </w:rPr>
      </w:pPr>
    </w:p>
    <w:p>
      <w:pPr>
        <w:spacing w:after="0"/>
        <w:rPr>
          <w:sz w:val="20"/>
          <w:szCs w:val="20"/>
          <w:color w:val="auto"/>
        </w:rPr>
      </w:pPr>
      <w:r>
        <w:rPr>
          <w:rFonts w:ascii="Arial" w:cs="Arial" w:eastAsia="Arial" w:hAnsi="Arial"/>
          <w:sz w:val="11"/>
          <w:szCs w:val="11"/>
          <w:color w:val="auto"/>
        </w:rPr>
        <w:t>Pre-commencement communications pursuant to Rule 13e-4(c) under the Exchange Act (17 CFR 240.13e-4(c))</w:t>
      </w:r>
    </w:p>
    <w:p>
      <w:pPr>
        <w:spacing w:after="0" w:line="497" w:lineRule="exact"/>
        <w:rPr>
          <w:sz w:val="24"/>
          <w:szCs w:val="24"/>
          <w:color w:val="auto"/>
        </w:rPr>
      </w:pPr>
    </w:p>
    <w:p>
      <w:pPr>
        <w:sectPr>
          <w:pgSz w:w="11900" w:h="16838" w:orient="portrait"/>
          <w:cols w:equalWidth="0" w:num="2">
            <w:col w:w="2920" w:space="400"/>
            <w:col w:w="8100"/>
          </w:cols>
          <w:pgMar w:left="240" w:top="958" w:right="239" w:bottom="1440" w:gutter="0" w:footer="0" w:header="0"/>
          <w:type w:val="continuous"/>
        </w:sectPr>
      </w:pPr>
    </w:p>
    <w:p>
      <w:pPr>
        <w:spacing w:after="0" w:line="61" w:lineRule="exact"/>
        <w:rPr>
          <w:sz w:val="24"/>
          <w:szCs w:val="24"/>
          <w:color w:val="auto"/>
        </w:rPr>
      </w:pPr>
    </w:p>
    <w:tbl>
      <w:tblPr>
        <w:tblLayout w:type="fixed"/>
        <w:tblInd w:w="0" w:type="dxa"/>
        <w:tblCellMar>
          <w:top w:w="0" w:type="dxa"/>
          <w:left w:w="0" w:type="dxa"/>
          <w:bottom w:w="0" w:type="dxa"/>
          <w:right w:w="0" w:type="dxa"/>
        </w:tblCellMar>
      </w:tblPr>
      <w:tr>
        <w:trPr>
          <w:trHeight w:val="174"/>
        </w:trPr>
        <w:tc>
          <w:tcPr>
            <w:tcW w:w="526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6"/>
              </w:rPr>
              <w:t>Title of Each Class</w:t>
            </w:r>
          </w:p>
        </w:tc>
        <w:tc>
          <w:tcPr>
            <w:tcW w:w="120" w:type="dxa"/>
            <w:vAlign w:val="bottom"/>
          </w:tcPr>
          <w:p>
            <w:pPr>
              <w:spacing w:after="0"/>
              <w:rPr>
                <w:sz w:val="15"/>
                <w:szCs w:val="15"/>
                <w:color w:val="auto"/>
              </w:rPr>
            </w:pPr>
          </w:p>
        </w:tc>
        <w:tc>
          <w:tcPr>
            <w:tcW w:w="160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7"/>
              </w:rPr>
              <w:t>Trading Symbol(s)</w:t>
            </w:r>
          </w:p>
        </w:tc>
        <w:tc>
          <w:tcPr>
            <w:tcW w:w="100" w:type="dxa"/>
            <w:vAlign w:val="bottom"/>
          </w:tcPr>
          <w:p>
            <w:pPr>
              <w:spacing w:after="0"/>
              <w:rPr>
                <w:sz w:val="15"/>
                <w:szCs w:val="15"/>
                <w:color w:val="auto"/>
              </w:rPr>
            </w:pPr>
          </w:p>
        </w:tc>
        <w:tc>
          <w:tcPr>
            <w:tcW w:w="434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6"/>
              </w:rPr>
              <w:t>Name of Exchange on Which Registered</w:t>
            </w:r>
          </w:p>
        </w:tc>
        <w:tc>
          <w:tcPr>
            <w:tcW w:w="0" w:type="dxa"/>
            <w:vAlign w:val="bottom"/>
          </w:tcPr>
          <w:p>
            <w:pPr>
              <w:spacing w:after="0"/>
              <w:rPr>
                <w:sz w:val="1"/>
                <w:szCs w:val="1"/>
                <w:color w:val="auto"/>
              </w:rPr>
            </w:pPr>
          </w:p>
        </w:tc>
      </w:tr>
      <w:tr>
        <w:trPr>
          <w:trHeight w:val="200"/>
        </w:trPr>
        <w:tc>
          <w:tcPr>
            <w:tcW w:w="5380" w:type="dxa"/>
            <w:vAlign w:val="bottom"/>
            <w:gridSpan w:val="2"/>
          </w:tcPr>
          <w:p>
            <w:pPr>
              <w:jc w:val="center"/>
              <w:ind w:right="100"/>
              <w:spacing w:after="0"/>
              <w:rPr>
                <w:sz w:val="20"/>
                <w:szCs w:val="20"/>
                <w:color w:val="auto"/>
              </w:rPr>
            </w:pPr>
            <w:r>
              <w:rPr>
                <w:rFonts w:ascii="Arial" w:cs="Arial" w:eastAsia="Arial" w:hAnsi="Arial"/>
                <w:sz w:val="13"/>
                <w:szCs w:val="13"/>
                <w:color w:val="auto"/>
                <w:w w:val="86"/>
              </w:rPr>
              <w:t>Common Stock, par value $0.01 per share</w:t>
            </w:r>
          </w:p>
        </w:tc>
        <w:tc>
          <w:tcPr>
            <w:tcW w:w="1700" w:type="dxa"/>
            <w:vAlign w:val="bottom"/>
            <w:gridSpan w:val="2"/>
          </w:tcPr>
          <w:p>
            <w:pPr>
              <w:jc w:val="center"/>
              <w:ind w:right="100"/>
              <w:spacing w:after="0"/>
              <w:rPr>
                <w:sz w:val="20"/>
                <w:szCs w:val="20"/>
                <w:color w:val="auto"/>
              </w:rPr>
            </w:pPr>
            <w:r>
              <w:rPr>
                <w:rFonts w:ascii="Arial" w:cs="Arial" w:eastAsia="Arial" w:hAnsi="Arial"/>
                <w:sz w:val="13"/>
                <w:szCs w:val="13"/>
                <w:color w:val="auto"/>
                <w:w w:val="95"/>
              </w:rPr>
              <w:t>AGNC</w:t>
            </w:r>
          </w:p>
        </w:tc>
        <w:tc>
          <w:tcPr>
            <w:tcW w:w="4340" w:type="dxa"/>
            <w:vAlign w:val="bottom"/>
          </w:tcPr>
          <w:p>
            <w:pPr>
              <w:jc w:val="center"/>
              <w:spacing w:after="0"/>
              <w:rPr>
                <w:sz w:val="20"/>
                <w:szCs w:val="20"/>
                <w:color w:val="auto"/>
              </w:rPr>
            </w:pPr>
            <w:r>
              <w:rPr>
                <w:rFonts w:ascii="Arial" w:cs="Arial" w:eastAsia="Arial" w:hAnsi="Arial"/>
                <w:sz w:val="13"/>
                <w:szCs w:val="13"/>
                <w:color w:val="auto"/>
                <w:w w:val="87"/>
              </w:rPr>
              <w:t>The Nasdaq Global Select Market</w:t>
            </w:r>
          </w:p>
        </w:tc>
        <w:tc>
          <w:tcPr>
            <w:tcW w:w="0" w:type="dxa"/>
            <w:vAlign w:val="bottom"/>
          </w:tcPr>
          <w:p>
            <w:pPr>
              <w:spacing w:after="0"/>
              <w:rPr>
                <w:sz w:val="1"/>
                <w:szCs w:val="1"/>
                <w:color w:val="auto"/>
              </w:rPr>
            </w:pPr>
          </w:p>
        </w:tc>
      </w:tr>
      <w:tr>
        <w:trPr>
          <w:trHeight w:val="326"/>
        </w:trPr>
        <w:tc>
          <w:tcPr>
            <w:tcW w:w="5380" w:type="dxa"/>
            <w:vAlign w:val="bottom"/>
            <w:gridSpan w:val="2"/>
          </w:tcPr>
          <w:p>
            <w:pPr>
              <w:jc w:val="center"/>
              <w:ind w:right="100"/>
              <w:spacing w:after="0"/>
              <w:rPr>
                <w:sz w:val="20"/>
                <w:szCs w:val="20"/>
                <w:color w:val="auto"/>
              </w:rPr>
            </w:pPr>
            <w:r>
              <w:rPr>
                <w:rFonts w:ascii="Arial" w:cs="Arial" w:eastAsia="Arial" w:hAnsi="Arial"/>
                <w:sz w:val="13"/>
                <w:szCs w:val="13"/>
                <w:color w:val="auto"/>
                <w:w w:val="86"/>
              </w:rPr>
              <w:t>Depository shares each representing a 1/1,000th interest in a share of 7.750% Series B Cumulative</w:t>
            </w:r>
          </w:p>
        </w:tc>
        <w:tc>
          <w:tcPr>
            <w:tcW w:w="1700" w:type="dxa"/>
            <w:vAlign w:val="bottom"/>
            <w:gridSpan w:val="2"/>
            <w:vMerge w:val="restart"/>
          </w:tcPr>
          <w:p>
            <w:pPr>
              <w:jc w:val="center"/>
              <w:ind w:right="100"/>
              <w:spacing w:after="0"/>
              <w:rPr>
                <w:sz w:val="20"/>
                <w:szCs w:val="20"/>
                <w:color w:val="auto"/>
              </w:rPr>
            </w:pPr>
            <w:r>
              <w:rPr>
                <w:rFonts w:ascii="Arial" w:cs="Arial" w:eastAsia="Arial" w:hAnsi="Arial"/>
                <w:sz w:val="13"/>
                <w:szCs w:val="13"/>
                <w:color w:val="auto"/>
                <w:w w:val="95"/>
              </w:rPr>
              <w:t>AGNCB</w:t>
            </w:r>
          </w:p>
        </w:tc>
        <w:tc>
          <w:tcPr>
            <w:tcW w:w="4340" w:type="dxa"/>
            <w:vAlign w:val="bottom"/>
            <w:vMerge w:val="restart"/>
          </w:tcPr>
          <w:p>
            <w:pPr>
              <w:jc w:val="center"/>
              <w:spacing w:after="0"/>
              <w:rPr>
                <w:sz w:val="20"/>
                <w:szCs w:val="20"/>
                <w:color w:val="auto"/>
              </w:rPr>
            </w:pPr>
            <w:r>
              <w:rPr>
                <w:rFonts w:ascii="Arial" w:cs="Arial" w:eastAsia="Arial" w:hAnsi="Arial"/>
                <w:sz w:val="13"/>
                <w:szCs w:val="13"/>
                <w:color w:val="auto"/>
                <w:w w:val="87"/>
              </w:rPr>
              <w:t>The Nasdaq Global Select Market</w:t>
            </w:r>
          </w:p>
        </w:tc>
        <w:tc>
          <w:tcPr>
            <w:tcW w:w="0" w:type="dxa"/>
            <w:vAlign w:val="bottom"/>
          </w:tcPr>
          <w:p>
            <w:pPr>
              <w:spacing w:after="0"/>
              <w:rPr>
                <w:sz w:val="1"/>
                <w:szCs w:val="1"/>
                <w:color w:val="auto"/>
              </w:rPr>
            </w:pPr>
          </w:p>
        </w:tc>
      </w:tr>
      <w:tr>
        <w:trPr>
          <w:trHeight w:val="93"/>
        </w:trPr>
        <w:tc>
          <w:tcPr>
            <w:tcW w:w="5380" w:type="dxa"/>
            <w:vAlign w:val="bottom"/>
            <w:gridSpan w:val="2"/>
            <w:vMerge w:val="restart"/>
          </w:tcPr>
          <w:p>
            <w:pPr>
              <w:jc w:val="center"/>
              <w:ind w:right="100"/>
              <w:spacing w:after="0"/>
              <w:rPr>
                <w:sz w:val="20"/>
                <w:szCs w:val="20"/>
                <w:color w:val="auto"/>
              </w:rPr>
            </w:pPr>
            <w:r>
              <w:rPr>
                <w:rFonts w:ascii="Arial" w:cs="Arial" w:eastAsia="Arial" w:hAnsi="Arial"/>
                <w:sz w:val="13"/>
                <w:szCs w:val="13"/>
                <w:color w:val="auto"/>
                <w:w w:val="85"/>
              </w:rPr>
              <w:t>Redeemable Preferred Stock</w:t>
            </w:r>
          </w:p>
        </w:tc>
        <w:tc>
          <w:tcPr>
            <w:tcW w:w="1700" w:type="dxa"/>
            <w:vAlign w:val="bottom"/>
            <w:gridSpan w:val="2"/>
            <w:vMerge w:val="continue"/>
          </w:tcPr>
          <w:p>
            <w:pPr>
              <w:spacing w:after="0"/>
              <w:rPr>
                <w:sz w:val="8"/>
                <w:szCs w:val="8"/>
                <w:color w:val="auto"/>
              </w:rPr>
            </w:pPr>
          </w:p>
        </w:tc>
        <w:tc>
          <w:tcPr>
            <w:tcW w:w="43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5380" w:type="dxa"/>
            <w:vAlign w:val="bottom"/>
            <w:gridSpan w:val="2"/>
            <w:vMerge w:val="continue"/>
          </w:tcPr>
          <w:p>
            <w:pPr>
              <w:spacing w:after="0"/>
              <w:rPr>
                <w:sz w:val="5"/>
                <w:szCs w:val="5"/>
                <w:color w:val="auto"/>
              </w:rPr>
            </w:pPr>
          </w:p>
        </w:tc>
        <w:tc>
          <w:tcPr>
            <w:tcW w:w="1600" w:type="dxa"/>
            <w:vAlign w:val="bottom"/>
          </w:tcPr>
          <w:p>
            <w:pPr>
              <w:spacing w:after="0"/>
              <w:rPr>
                <w:sz w:val="5"/>
                <w:szCs w:val="5"/>
                <w:color w:val="auto"/>
              </w:rPr>
            </w:pPr>
          </w:p>
        </w:tc>
        <w:tc>
          <w:tcPr>
            <w:tcW w:w="100" w:type="dxa"/>
            <w:vAlign w:val="bottom"/>
          </w:tcPr>
          <w:p>
            <w:pPr>
              <w:spacing w:after="0"/>
              <w:rPr>
                <w:sz w:val="5"/>
                <w:szCs w:val="5"/>
                <w:color w:val="auto"/>
              </w:rPr>
            </w:pPr>
          </w:p>
        </w:tc>
        <w:tc>
          <w:tcPr>
            <w:tcW w:w="43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85"/>
        </w:trPr>
        <w:tc>
          <w:tcPr>
            <w:tcW w:w="5380" w:type="dxa"/>
            <w:vAlign w:val="bottom"/>
            <w:gridSpan w:val="2"/>
          </w:tcPr>
          <w:p>
            <w:pPr>
              <w:jc w:val="center"/>
              <w:ind w:right="100"/>
              <w:spacing w:after="0"/>
              <w:rPr>
                <w:sz w:val="20"/>
                <w:szCs w:val="20"/>
                <w:color w:val="auto"/>
              </w:rPr>
            </w:pPr>
            <w:r>
              <w:rPr>
                <w:rFonts w:ascii="Arial" w:cs="Arial" w:eastAsia="Arial" w:hAnsi="Arial"/>
                <w:sz w:val="13"/>
                <w:szCs w:val="13"/>
                <w:color w:val="auto"/>
                <w:w w:val="86"/>
              </w:rPr>
              <w:t>Depository shares each representing a 1/1,000th interest in a share of 7.000% Series C Fixed-to-</w:t>
            </w:r>
          </w:p>
        </w:tc>
        <w:tc>
          <w:tcPr>
            <w:tcW w:w="1700" w:type="dxa"/>
            <w:vAlign w:val="bottom"/>
            <w:gridSpan w:val="2"/>
            <w:vMerge w:val="restart"/>
          </w:tcPr>
          <w:p>
            <w:pPr>
              <w:jc w:val="center"/>
              <w:ind w:right="100"/>
              <w:spacing w:after="0"/>
              <w:rPr>
                <w:sz w:val="20"/>
                <w:szCs w:val="20"/>
                <w:color w:val="auto"/>
              </w:rPr>
            </w:pPr>
            <w:r>
              <w:rPr>
                <w:rFonts w:ascii="Arial" w:cs="Arial" w:eastAsia="Arial" w:hAnsi="Arial"/>
                <w:sz w:val="13"/>
                <w:szCs w:val="13"/>
                <w:color w:val="auto"/>
                <w:w w:val="93"/>
              </w:rPr>
              <w:t>AGNCN</w:t>
            </w:r>
          </w:p>
        </w:tc>
        <w:tc>
          <w:tcPr>
            <w:tcW w:w="4340" w:type="dxa"/>
            <w:vAlign w:val="bottom"/>
            <w:vMerge w:val="restart"/>
          </w:tcPr>
          <w:p>
            <w:pPr>
              <w:jc w:val="center"/>
              <w:spacing w:after="0"/>
              <w:rPr>
                <w:sz w:val="20"/>
                <w:szCs w:val="20"/>
                <w:color w:val="auto"/>
              </w:rPr>
            </w:pPr>
            <w:r>
              <w:rPr>
                <w:rFonts w:ascii="Arial" w:cs="Arial" w:eastAsia="Arial" w:hAnsi="Arial"/>
                <w:sz w:val="13"/>
                <w:szCs w:val="13"/>
                <w:color w:val="auto"/>
                <w:w w:val="87"/>
              </w:rPr>
              <w:t>The Nasdaq Global Select Market</w:t>
            </w:r>
          </w:p>
        </w:tc>
        <w:tc>
          <w:tcPr>
            <w:tcW w:w="0" w:type="dxa"/>
            <w:vAlign w:val="bottom"/>
          </w:tcPr>
          <w:p>
            <w:pPr>
              <w:spacing w:after="0"/>
              <w:rPr>
                <w:sz w:val="1"/>
                <w:szCs w:val="1"/>
                <w:color w:val="auto"/>
              </w:rPr>
            </w:pPr>
          </w:p>
        </w:tc>
      </w:tr>
      <w:tr>
        <w:trPr>
          <w:trHeight w:val="93"/>
        </w:trPr>
        <w:tc>
          <w:tcPr>
            <w:tcW w:w="5380" w:type="dxa"/>
            <w:vAlign w:val="bottom"/>
            <w:gridSpan w:val="2"/>
            <w:vMerge w:val="restart"/>
          </w:tcPr>
          <w:p>
            <w:pPr>
              <w:jc w:val="center"/>
              <w:ind w:right="120"/>
              <w:spacing w:after="0"/>
              <w:rPr>
                <w:sz w:val="20"/>
                <w:szCs w:val="20"/>
                <w:color w:val="auto"/>
              </w:rPr>
            </w:pPr>
            <w:r>
              <w:rPr>
                <w:rFonts w:ascii="Arial" w:cs="Arial" w:eastAsia="Arial" w:hAnsi="Arial"/>
                <w:sz w:val="13"/>
                <w:szCs w:val="13"/>
                <w:color w:val="auto"/>
                <w:w w:val="87"/>
              </w:rPr>
              <w:t>Floating Rate Cumulative Redeemable Preferred Stock</w:t>
            </w:r>
          </w:p>
        </w:tc>
        <w:tc>
          <w:tcPr>
            <w:tcW w:w="1700" w:type="dxa"/>
            <w:vAlign w:val="bottom"/>
            <w:gridSpan w:val="2"/>
            <w:vMerge w:val="continue"/>
          </w:tcPr>
          <w:p>
            <w:pPr>
              <w:spacing w:after="0"/>
              <w:rPr>
                <w:sz w:val="8"/>
                <w:szCs w:val="8"/>
                <w:color w:val="auto"/>
              </w:rPr>
            </w:pPr>
          </w:p>
        </w:tc>
        <w:tc>
          <w:tcPr>
            <w:tcW w:w="43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5380" w:type="dxa"/>
            <w:vAlign w:val="bottom"/>
            <w:gridSpan w:val="2"/>
            <w:vMerge w:val="continue"/>
          </w:tcPr>
          <w:p>
            <w:pPr>
              <w:spacing w:after="0"/>
              <w:rPr>
                <w:sz w:val="5"/>
                <w:szCs w:val="5"/>
                <w:color w:val="auto"/>
              </w:rPr>
            </w:pPr>
          </w:p>
        </w:tc>
        <w:tc>
          <w:tcPr>
            <w:tcW w:w="1600" w:type="dxa"/>
            <w:vAlign w:val="bottom"/>
          </w:tcPr>
          <w:p>
            <w:pPr>
              <w:spacing w:after="0"/>
              <w:rPr>
                <w:sz w:val="5"/>
                <w:szCs w:val="5"/>
                <w:color w:val="auto"/>
              </w:rPr>
            </w:pPr>
          </w:p>
        </w:tc>
        <w:tc>
          <w:tcPr>
            <w:tcW w:w="100" w:type="dxa"/>
            <w:vAlign w:val="bottom"/>
          </w:tcPr>
          <w:p>
            <w:pPr>
              <w:spacing w:after="0"/>
              <w:rPr>
                <w:sz w:val="5"/>
                <w:szCs w:val="5"/>
                <w:color w:val="auto"/>
              </w:rPr>
            </w:pPr>
          </w:p>
        </w:tc>
        <w:tc>
          <w:tcPr>
            <w:tcW w:w="43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85"/>
        </w:trPr>
        <w:tc>
          <w:tcPr>
            <w:tcW w:w="5380" w:type="dxa"/>
            <w:vAlign w:val="bottom"/>
            <w:gridSpan w:val="2"/>
          </w:tcPr>
          <w:p>
            <w:pPr>
              <w:jc w:val="center"/>
              <w:ind w:right="120"/>
              <w:spacing w:after="0"/>
              <w:rPr>
                <w:sz w:val="20"/>
                <w:szCs w:val="20"/>
                <w:color w:val="auto"/>
              </w:rPr>
            </w:pPr>
            <w:r>
              <w:rPr>
                <w:rFonts w:ascii="Arial" w:cs="Arial" w:eastAsia="Arial" w:hAnsi="Arial"/>
                <w:sz w:val="13"/>
                <w:szCs w:val="13"/>
                <w:color w:val="auto"/>
                <w:w w:val="87"/>
              </w:rPr>
              <w:t>Depository shares each representing a 1/1,000th interest in a share of 6.875% Series D Fixed-to-</w:t>
            </w:r>
          </w:p>
        </w:tc>
        <w:tc>
          <w:tcPr>
            <w:tcW w:w="1700" w:type="dxa"/>
            <w:vAlign w:val="bottom"/>
            <w:gridSpan w:val="2"/>
            <w:vMerge w:val="restart"/>
          </w:tcPr>
          <w:p>
            <w:pPr>
              <w:jc w:val="center"/>
              <w:ind w:right="100"/>
              <w:spacing w:after="0"/>
              <w:rPr>
                <w:sz w:val="20"/>
                <w:szCs w:val="20"/>
                <w:color w:val="auto"/>
              </w:rPr>
            </w:pPr>
            <w:r>
              <w:rPr>
                <w:rFonts w:ascii="Arial" w:cs="Arial" w:eastAsia="Arial" w:hAnsi="Arial"/>
                <w:sz w:val="13"/>
                <w:szCs w:val="13"/>
                <w:color w:val="auto"/>
                <w:w w:val="99"/>
              </w:rPr>
              <w:t>AGNCM</w:t>
            </w:r>
          </w:p>
        </w:tc>
        <w:tc>
          <w:tcPr>
            <w:tcW w:w="4340" w:type="dxa"/>
            <w:vAlign w:val="bottom"/>
            <w:vMerge w:val="restart"/>
          </w:tcPr>
          <w:p>
            <w:pPr>
              <w:jc w:val="center"/>
              <w:spacing w:after="0"/>
              <w:rPr>
                <w:sz w:val="20"/>
                <w:szCs w:val="20"/>
                <w:color w:val="auto"/>
              </w:rPr>
            </w:pPr>
            <w:r>
              <w:rPr>
                <w:rFonts w:ascii="Arial" w:cs="Arial" w:eastAsia="Arial" w:hAnsi="Arial"/>
                <w:sz w:val="13"/>
                <w:szCs w:val="13"/>
                <w:color w:val="auto"/>
                <w:w w:val="87"/>
              </w:rPr>
              <w:t>The Nasdaq Global Select Market</w:t>
            </w:r>
          </w:p>
        </w:tc>
        <w:tc>
          <w:tcPr>
            <w:tcW w:w="0" w:type="dxa"/>
            <w:vAlign w:val="bottom"/>
          </w:tcPr>
          <w:p>
            <w:pPr>
              <w:spacing w:after="0"/>
              <w:rPr>
                <w:sz w:val="1"/>
                <w:szCs w:val="1"/>
                <w:color w:val="auto"/>
              </w:rPr>
            </w:pPr>
          </w:p>
        </w:tc>
      </w:tr>
      <w:tr>
        <w:trPr>
          <w:trHeight w:val="93"/>
        </w:trPr>
        <w:tc>
          <w:tcPr>
            <w:tcW w:w="5380" w:type="dxa"/>
            <w:vAlign w:val="bottom"/>
            <w:gridSpan w:val="2"/>
            <w:vMerge w:val="restart"/>
          </w:tcPr>
          <w:p>
            <w:pPr>
              <w:jc w:val="center"/>
              <w:ind w:right="120"/>
              <w:spacing w:after="0"/>
              <w:rPr>
                <w:sz w:val="20"/>
                <w:szCs w:val="20"/>
                <w:color w:val="auto"/>
              </w:rPr>
            </w:pPr>
            <w:r>
              <w:rPr>
                <w:rFonts w:ascii="Arial" w:cs="Arial" w:eastAsia="Arial" w:hAnsi="Arial"/>
                <w:sz w:val="13"/>
                <w:szCs w:val="13"/>
                <w:color w:val="auto"/>
                <w:w w:val="87"/>
              </w:rPr>
              <w:t>Floating Rate Cumulative Redeemable Preferred Stock</w:t>
            </w:r>
          </w:p>
        </w:tc>
        <w:tc>
          <w:tcPr>
            <w:tcW w:w="1700" w:type="dxa"/>
            <w:vAlign w:val="bottom"/>
            <w:gridSpan w:val="2"/>
            <w:vMerge w:val="continue"/>
          </w:tcPr>
          <w:p>
            <w:pPr>
              <w:spacing w:after="0"/>
              <w:rPr>
                <w:sz w:val="8"/>
                <w:szCs w:val="8"/>
                <w:color w:val="auto"/>
              </w:rPr>
            </w:pPr>
          </w:p>
        </w:tc>
        <w:tc>
          <w:tcPr>
            <w:tcW w:w="43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5380" w:type="dxa"/>
            <w:vAlign w:val="bottom"/>
            <w:gridSpan w:val="2"/>
            <w:vMerge w:val="continue"/>
          </w:tcPr>
          <w:p>
            <w:pPr>
              <w:spacing w:after="0"/>
              <w:rPr>
                <w:sz w:val="5"/>
                <w:szCs w:val="5"/>
                <w:color w:val="auto"/>
              </w:rPr>
            </w:pPr>
          </w:p>
        </w:tc>
        <w:tc>
          <w:tcPr>
            <w:tcW w:w="1600" w:type="dxa"/>
            <w:vAlign w:val="bottom"/>
          </w:tcPr>
          <w:p>
            <w:pPr>
              <w:spacing w:after="0"/>
              <w:rPr>
                <w:sz w:val="5"/>
                <w:szCs w:val="5"/>
                <w:color w:val="auto"/>
              </w:rPr>
            </w:pPr>
          </w:p>
        </w:tc>
        <w:tc>
          <w:tcPr>
            <w:tcW w:w="100" w:type="dxa"/>
            <w:vAlign w:val="bottom"/>
          </w:tcPr>
          <w:p>
            <w:pPr>
              <w:spacing w:after="0"/>
              <w:rPr>
                <w:sz w:val="5"/>
                <w:szCs w:val="5"/>
                <w:color w:val="auto"/>
              </w:rPr>
            </w:pPr>
          </w:p>
        </w:tc>
        <w:tc>
          <w:tcPr>
            <w:tcW w:w="43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164" w:lineRule="exact"/>
        <w:rPr>
          <w:sz w:val="24"/>
          <w:szCs w:val="24"/>
          <w:color w:val="auto"/>
        </w:rPr>
      </w:pPr>
    </w:p>
    <w:p>
      <w:pPr>
        <w:ind w:left="40" w:right="2380"/>
        <w:spacing w:after="0" w:line="237" w:lineRule="auto"/>
        <w:rPr>
          <w:sz w:val="20"/>
          <w:szCs w:val="20"/>
          <w:color w:val="auto"/>
        </w:rPr>
      </w:pPr>
      <w:r>
        <w:rPr>
          <w:rFonts w:ascii="Arial" w:cs="Arial" w:eastAsia="Arial" w:hAnsi="Arial"/>
          <w:sz w:val="13"/>
          <w:szCs w:val="13"/>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7" w:lineRule="exact"/>
        <w:rPr>
          <w:sz w:val="24"/>
          <w:szCs w:val="24"/>
          <w:color w:val="auto"/>
        </w:rPr>
      </w:pPr>
    </w:p>
    <w:p>
      <w:pPr>
        <w:ind w:left="40"/>
        <w:spacing w:after="0"/>
        <w:tabs>
          <w:tab w:leader="none" w:pos="2260" w:val="left"/>
        </w:tabs>
        <w:rPr>
          <w:sz w:val="20"/>
          <w:szCs w:val="20"/>
          <w:color w:val="auto"/>
        </w:rPr>
      </w:pPr>
      <w:r>
        <w:rPr>
          <w:rFonts w:ascii="Arial" w:cs="Arial" w:eastAsia="Arial" w:hAnsi="Arial"/>
          <w:sz w:val="13"/>
          <w:szCs w:val="13"/>
          <w:color w:val="auto"/>
        </w:rPr>
        <w:t>Emerging Growth Company</w:t>
      </w:r>
      <w:r>
        <w:rPr>
          <w:sz w:val="20"/>
          <w:szCs w:val="20"/>
          <w:color w:val="auto"/>
        </w:rPr>
        <w:tab/>
      </w:r>
      <w:r>
        <w:rPr>
          <w:rFonts w:ascii="Arial" w:cs="Arial" w:eastAsia="Arial" w:hAnsi="Arial"/>
          <w:sz w:val="9"/>
          <w:szCs w:val="9"/>
          <w:color w:val="auto"/>
        </w:rPr>
        <w:t>o</w:t>
      </w:r>
    </w:p>
    <w:p>
      <w:pPr>
        <w:spacing w:after="0" w:line="13" w:lineRule="exact"/>
        <w:rPr>
          <w:sz w:val="24"/>
          <w:szCs w:val="24"/>
          <w:color w:val="auto"/>
        </w:rPr>
      </w:pPr>
    </w:p>
    <w:p>
      <w:pPr>
        <w:ind w:right="80"/>
        <w:spacing w:after="0" w:line="255" w:lineRule="auto"/>
        <w:rPr>
          <w:sz w:val="20"/>
          <w:szCs w:val="20"/>
          <w:color w:val="auto"/>
        </w:rPr>
      </w:pPr>
      <w:r>
        <w:rPr>
          <w:rFonts w:ascii="Arial" w:cs="Arial" w:eastAsia="Arial" w:hAnsi="Arial"/>
          <w:sz w:val="13"/>
          <w:szCs w:val="13"/>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699770</wp:posOffset>
            </wp:positionH>
            <wp:positionV relativeFrom="paragraph">
              <wp:posOffset>236220</wp:posOffset>
            </wp:positionV>
            <wp:extent cx="585724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857240" cy="8890"/>
                    </a:xfrm>
                    <a:prstGeom prst="rect">
                      <a:avLst/>
                    </a:prstGeom>
                    <a:noFill/>
                  </pic:spPr>
                </pic:pic>
              </a:graphicData>
            </a:graphic>
          </wp:anchor>
        </w:drawing>
        <w:drawing>
          <wp:anchor simplePos="0" relativeHeight="251657728" behindDoc="1" locked="0" layoutInCell="0" allowOverlap="1">
            <wp:simplePos x="0" y="0"/>
            <wp:positionH relativeFrom="column">
              <wp:posOffset>699770</wp:posOffset>
            </wp:positionH>
            <wp:positionV relativeFrom="paragraph">
              <wp:posOffset>150495</wp:posOffset>
            </wp:positionV>
            <wp:extent cx="585724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857240" cy="8890"/>
                    </a:xfrm>
                    <a:prstGeom prst="rect">
                      <a:avLst/>
                    </a:prstGeom>
                    <a:noFill/>
                  </pic:spPr>
                </pic:pic>
              </a:graphicData>
            </a:graphic>
          </wp:anchor>
        </w:drawing>
      </w:r>
    </w:p>
    <w:p>
      <w:pPr>
        <w:sectPr>
          <w:pgSz w:w="11900" w:h="16838" w:orient="portrait"/>
          <w:cols w:equalWidth="0" w:num="1">
            <w:col w:w="11420"/>
          </w:cols>
          <w:pgMar w:left="240" w:top="958" w:right="2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94"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On July 24, 2019, AGNC Investment Corp. issued a press release announcing its financial results for the quarter ended June 30, 2019. The text of the press release is included as exhibit 99.1 to this Form 8-K. Pursuant to the rules and regulations of the Securities and Exchange Commission, such exhibit and the information set forth therein and herein shall not be deemed to be filed for purposes of Section 18 of the Securities Exchange Act of 1934, as amended (the "Exchange Act"), and shall not be deemed to be incorporated by reference in any filing under the Securities Act of 1933, as amended, or the Exchange Act, except as shall be expressly set forth by specific reference in such a filing.</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94" w:lineRule="exact"/>
        <w:rPr>
          <w:sz w:val="20"/>
          <w:szCs w:val="20"/>
          <w:color w:val="auto"/>
        </w:rPr>
      </w:pPr>
    </w:p>
    <w:p>
      <w:pPr>
        <w:ind w:left="260" w:hanging="252"/>
        <w:spacing w:after="0"/>
        <w:tabs>
          <w:tab w:leader="none" w:pos="260" w:val="left"/>
        </w:tabs>
        <w:numPr>
          <w:ilvl w:val="0"/>
          <w:numId w:val="1"/>
        </w:numPr>
        <w:rPr>
          <w:rFonts w:ascii="Arial" w:cs="Arial" w:eastAsia="Arial" w:hAnsi="Arial"/>
          <w:sz w:val="18"/>
          <w:szCs w:val="18"/>
          <w:color w:val="auto"/>
        </w:rPr>
      </w:pPr>
      <w:r>
        <w:rPr>
          <w:rFonts w:ascii="Arial" w:cs="Arial" w:eastAsia="Arial" w:hAnsi="Arial"/>
          <w:sz w:val="18"/>
          <w:szCs w:val="18"/>
          <w:color w:val="auto"/>
        </w:rPr>
        <w:t>None.</w:t>
      </w:r>
    </w:p>
    <w:p>
      <w:pPr>
        <w:spacing w:after="0" w:line="171" w:lineRule="exact"/>
        <w:rPr>
          <w:rFonts w:ascii="Arial" w:cs="Arial" w:eastAsia="Arial" w:hAnsi="Arial"/>
          <w:sz w:val="18"/>
          <w:szCs w:val="18"/>
          <w:color w:val="auto"/>
        </w:rPr>
      </w:pPr>
    </w:p>
    <w:p>
      <w:pPr>
        <w:ind w:left="260" w:hanging="252"/>
        <w:spacing w:after="0"/>
        <w:tabs>
          <w:tab w:leader="none" w:pos="260" w:val="left"/>
        </w:tabs>
        <w:numPr>
          <w:ilvl w:val="0"/>
          <w:numId w:val="1"/>
        </w:numPr>
        <w:rPr>
          <w:rFonts w:ascii="Arial" w:cs="Arial" w:eastAsia="Arial" w:hAnsi="Arial"/>
          <w:sz w:val="18"/>
          <w:szCs w:val="18"/>
          <w:color w:val="auto"/>
        </w:rPr>
      </w:pPr>
      <w:r>
        <w:rPr>
          <w:rFonts w:ascii="Arial" w:cs="Arial" w:eastAsia="Arial" w:hAnsi="Arial"/>
          <w:sz w:val="18"/>
          <w:szCs w:val="18"/>
          <w:color w:val="auto"/>
        </w:rPr>
        <w:t>None.</w:t>
      </w:r>
    </w:p>
    <w:p>
      <w:pPr>
        <w:spacing w:after="0" w:line="171" w:lineRule="exact"/>
        <w:rPr>
          <w:rFonts w:ascii="Arial" w:cs="Arial" w:eastAsia="Arial" w:hAnsi="Arial"/>
          <w:sz w:val="18"/>
          <w:szCs w:val="18"/>
          <w:color w:val="auto"/>
        </w:rPr>
      </w:pPr>
    </w:p>
    <w:p>
      <w:pPr>
        <w:ind w:left="260" w:hanging="252"/>
        <w:spacing w:after="0"/>
        <w:tabs>
          <w:tab w:leader="none" w:pos="260" w:val="left"/>
        </w:tabs>
        <w:numPr>
          <w:ilvl w:val="0"/>
          <w:numId w:val="1"/>
        </w:numPr>
        <w:rPr>
          <w:rFonts w:ascii="Arial" w:cs="Arial" w:eastAsia="Arial" w:hAnsi="Arial"/>
          <w:sz w:val="18"/>
          <w:szCs w:val="18"/>
          <w:color w:val="auto"/>
        </w:rPr>
      </w:pPr>
      <w:r>
        <w:rPr>
          <w:rFonts w:ascii="Arial" w:cs="Arial" w:eastAsia="Arial" w:hAnsi="Arial"/>
          <w:sz w:val="18"/>
          <w:szCs w:val="18"/>
          <w:color w:val="auto"/>
        </w:rPr>
        <w:t>Exhibits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1280"/>
        <w:spacing w:after="0"/>
        <w:tabs>
          <w:tab w:leader="none" w:pos="2440" w:val="left"/>
        </w:tabs>
        <w:rPr>
          <w:sz w:val="20"/>
          <w:szCs w:val="20"/>
          <w:color w:val="auto"/>
        </w:rPr>
      </w:pPr>
      <w:r>
        <w:rPr>
          <w:rFonts w:ascii="Arial" w:cs="Arial" w:eastAsia="Arial" w:hAnsi="Arial"/>
          <w:sz w:val="18"/>
          <w:szCs w:val="18"/>
          <w:b w:val="1"/>
          <w:bCs w:val="1"/>
          <w:color w:val="auto"/>
        </w:rPr>
        <w:t>Exhibit No.</w:t>
      </w:r>
      <w:r>
        <w:rPr>
          <w:sz w:val="20"/>
          <w:szCs w:val="20"/>
          <w:color w:val="auto"/>
        </w:rPr>
        <w:tab/>
      </w:r>
      <w:r>
        <w:rPr>
          <w:rFonts w:ascii="Arial" w:cs="Arial" w:eastAsia="Arial" w:hAnsi="Arial"/>
          <w:sz w:val="16"/>
          <w:szCs w:val="16"/>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794385</wp:posOffset>
            </wp:positionH>
            <wp:positionV relativeFrom="paragraph">
              <wp:posOffset>34290</wp:posOffset>
            </wp:positionV>
            <wp:extent cx="566864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668645" cy="8890"/>
                    </a:xfrm>
                    <a:prstGeom prst="rect">
                      <a:avLst/>
                    </a:prstGeom>
                    <a:noFill/>
                  </pic:spPr>
                </pic:pic>
              </a:graphicData>
            </a:graphic>
          </wp:anchor>
        </w:drawing>
      </w:r>
    </w:p>
    <w:p>
      <w:pPr>
        <w:spacing w:after="0" w:line="61" w:lineRule="exact"/>
        <w:rPr>
          <w:sz w:val="20"/>
          <w:szCs w:val="20"/>
          <w:color w:val="auto"/>
        </w:rPr>
      </w:pPr>
    </w:p>
    <w:p>
      <w:pPr>
        <w:ind w:left="1940"/>
        <w:spacing w:after="0"/>
        <w:tabs>
          <w:tab w:leader="none" w:pos="2500" w:val="left"/>
        </w:tabs>
        <w:rPr>
          <w:rFonts w:ascii="Arial" w:cs="Arial" w:eastAsia="Arial" w:hAnsi="Arial"/>
          <w:sz w:val="15"/>
          <w:szCs w:val="15"/>
          <w:color w:val="auto"/>
        </w:rPr>
      </w:pPr>
      <w:hyperlink w:anchor="page4">
        <w:r>
          <w:rPr>
            <w:rFonts w:ascii="Arial" w:cs="Arial" w:eastAsia="Arial" w:hAnsi="Arial"/>
            <w:sz w:val="18"/>
            <w:szCs w:val="18"/>
            <w:color w:val="auto"/>
          </w:rPr>
          <w:t>99.1</w:t>
        </w:r>
      </w:hyperlink>
      <w:r>
        <w:rPr>
          <w:rFonts w:ascii="Arial" w:cs="Arial" w:eastAsia="Arial" w:hAnsi="Arial"/>
          <w:sz w:val="18"/>
          <w:szCs w:val="18"/>
          <w:color w:val="auto"/>
        </w:rPr>
        <w:tab/>
      </w:r>
      <w:hyperlink w:anchor="page4">
        <w:r>
          <w:rPr>
            <w:rFonts w:ascii="Arial" w:cs="Arial" w:eastAsia="Arial" w:hAnsi="Arial"/>
            <w:sz w:val="15"/>
            <w:szCs w:val="15"/>
            <w:color w:val="auto"/>
          </w:rPr>
          <w:t xml:space="preserve">Press Release dated </w:t>
        </w:r>
      </w:hyperlink>
      <w:r>
        <w:rPr>
          <w:rFonts w:ascii="Arial" w:cs="Arial" w:eastAsia="Arial" w:hAnsi="Arial"/>
          <w:sz w:val="15"/>
          <w:szCs w:val="15"/>
          <w:color w:val="auto"/>
        </w:rPr>
        <w:t>July 24, 2019</w:t>
      </w:r>
    </w:p>
    <w:p>
      <w:pPr>
        <w:sectPr>
          <w:pgSz w:w="11900" w:h="16838" w:orient="portrait"/>
          <w:cols w:equalWidth="0" w:num="1">
            <w:col w:w="11200"/>
          </w:cols>
          <w:pgMar w:left="240" w:top="580" w:right="459" w:bottom="1440" w:gutter="0" w:footer="0" w:header="0"/>
        </w:sectPr>
      </w:pPr>
    </w:p>
    <w:bookmarkStart w:id="2" w:name="page3"/>
    <w:bookmarkEnd w:id="2"/>
    <w:p>
      <w:pPr>
        <w:jc w:val="center"/>
        <w:ind w:right="-719"/>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264" w:lineRule="exact"/>
        <w:rPr>
          <w:sz w:val="20"/>
          <w:szCs w:val="20"/>
          <w:color w:val="auto"/>
        </w:rPr>
      </w:pPr>
    </w:p>
    <w:p>
      <w:pPr>
        <w:ind w:left="5260"/>
        <w:spacing w:after="0"/>
        <w:rPr>
          <w:sz w:val="20"/>
          <w:szCs w:val="20"/>
          <w:color w:val="auto"/>
        </w:rPr>
      </w:pPr>
      <w:r>
        <w:rPr>
          <w:rFonts w:ascii="Arial" w:cs="Arial" w:eastAsia="Arial" w:hAnsi="Arial"/>
          <w:sz w:val="18"/>
          <w:szCs w:val="18"/>
          <w:b w:val="1"/>
          <w:bCs w:val="1"/>
          <w:color w:val="auto"/>
        </w:rPr>
        <w:t>AGNC I</w:t>
      </w:r>
      <w:r>
        <w:rPr>
          <w:rFonts w:ascii="Arial" w:cs="Arial" w:eastAsia="Arial" w:hAnsi="Arial"/>
          <w:sz w:val="16"/>
          <w:szCs w:val="16"/>
          <w:b w:val="1"/>
          <w:bCs w:val="1"/>
          <w:color w:val="auto"/>
        </w:rPr>
        <w:t>NVESTMENT</w:t>
      </w:r>
      <w:r>
        <w:rPr>
          <w:rFonts w:ascii="Arial" w:cs="Arial" w:eastAsia="Arial" w:hAnsi="Arial"/>
          <w:sz w:val="18"/>
          <w:szCs w:val="18"/>
          <w:b w:val="1"/>
          <w:bCs w:val="1"/>
          <w:color w:val="auto"/>
        </w:rPr>
        <w:t xml:space="preserve"> C</w:t>
      </w:r>
      <w:r>
        <w:rPr>
          <w:rFonts w:ascii="Arial" w:cs="Arial" w:eastAsia="Arial" w:hAnsi="Arial"/>
          <w:sz w:val="16"/>
          <w:szCs w:val="16"/>
          <w:b w:val="1"/>
          <w:bCs w:val="1"/>
          <w:color w:val="auto"/>
        </w:rPr>
        <w:t>ORP</w:t>
      </w:r>
      <w:r>
        <w:rPr>
          <w:rFonts w:ascii="Arial" w:cs="Arial" w:eastAsia="Arial" w:hAnsi="Arial"/>
          <w:sz w:val="18"/>
          <w:szCs w:val="18"/>
          <w:b w:val="1"/>
          <w:bCs w:val="1"/>
          <w:color w:val="auto"/>
        </w:rPr>
        <w:t>.</w:t>
      </w:r>
    </w:p>
    <w:p>
      <w:pPr>
        <w:spacing w:after="0" w:line="189" w:lineRule="exact"/>
        <w:rPr>
          <w:sz w:val="20"/>
          <w:szCs w:val="20"/>
          <w:color w:val="auto"/>
        </w:rPr>
      </w:pPr>
    </w:p>
    <w:p>
      <w:pPr>
        <w:ind w:left="1120"/>
        <w:spacing w:after="0"/>
        <w:tabs>
          <w:tab w:leader="none" w:pos="1780" w:val="left"/>
          <w:tab w:leader="none" w:pos="4860" w:val="left"/>
          <w:tab w:leader="none" w:pos="5280" w:val="left"/>
        </w:tabs>
        <w:rPr>
          <w:sz w:val="20"/>
          <w:szCs w:val="20"/>
          <w:color w:val="auto"/>
        </w:rPr>
      </w:pPr>
      <w:r>
        <w:rPr>
          <w:rFonts w:ascii="Arial" w:cs="Arial" w:eastAsia="Arial" w:hAnsi="Arial"/>
          <w:sz w:val="18"/>
          <w:szCs w:val="18"/>
          <w:color w:val="auto"/>
        </w:rPr>
        <w:t>Dated:</w:t>
        <w:tab/>
        <w:t>July 24, 2019</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7"/>
          <w:szCs w:val="17"/>
          <w:color w:val="auto"/>
        </w:rPr>
        <w:t>/s/ B</w:t>
      </w:r>
      <w:r>
        <w:rPr>
          <w:rFonts w:ascii="Arial" w:cs="Arial" w:eastAsia="Arial" w:hAnsi="Arial"/>
          <w:sz w:val="13"/>
          <w:szCs w:val="13"/>
          <w:color w:val="auto"/>
        </w:rPr>
        <w:t>ERNICE</w:t>
      </w:r>
      <w:r>
        <w:rPr>
          <w:rFonts w:ascii="Arial" w:cs="Arial" w:eastAsia="Arial" w:hAnsi="Arial"/>
          <w:sz w:val="17"/>
          <w:szCs w:val="17"/>
          <w:color w:val="auto"/>
        </w:rPr>
        <w:t xml:space="preserve"> E. B</w:t>
      </w:r>
      <w:r>
        <w:rPr>
          <w:rFonts w:ascii="Arial" w:cs="Arial" w:eastAsia="Arial" w:hAnsi="Arial"/>
          <w:sz w:val="13"/>
          <w:szCs w:val="13"/>
          <w:color w:val="auto"/>
        </w:rPr>
        <w:t>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1128395</wp:posOffset>
            </wp:positionH>
            <wp:positionV relativeFrom="paragraph">
              <wp:posOffset>31750</wp:posOffset>
            </wp:positionV>
            <wp:extent cx="542861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428615" cy="8890"/>
                    </a:xfrm>
                    <a:prstGeom prst="rect">
                      <a:avLst/>
                    </a:prstGeom>
                    <a:noFill/>
                  </pic:spPr>
                </pic:pic>
              </a:graphicData>
            </a:graphic>
          </wp:anchor>
        </w:drawing>
      </w:r>
    </w:p>
    <w:p>
      <w:pPr>
        <w:spacing w:after="0" w:line="57" w:lineRule="exact"/>
        <w:rPr>
          <w:sz w:val="20"/>
          <w:szCs w:val="20"/>
          <w:color w:val="auto"/>
        </w:rPr>
      </w:pPr>
    </w:p>
    <w:p>
      <w:pPr>
        <w:ind w:left="5260"/>
        <w:spacing w:after="0"/>
        <w:rPr>
          <w:sz w:val="20"/>
          <w:szCs w:val="20"/>
          <w:color w:val="auto"/>
        </w:rPr>
      </w:pPr>
      <w:r>
        <w:rPr>
          <w:rFonts w:ascii="Arial" w:cs="Arial" w:eastAsia="Arial" w:hAnsi="Arial"/>
          <w:sz w:val="18"/>
          <w:szCs w:val="18"/>
          <w:color w:val="auto"/>
        </w:rPr>
        <w:t>Bernice E. Bell</w:t>
      </w:r>
    </w:p>
    <w:p>
      <w:pPr>
        <w:spacing w:after="0" w:line="63" w:lineRule="exact"/>
        <w:rPr>
          <w:sz w:val="20"/>
          <w:szCs w:val="20"/>
          <w:color w:val="auto"/>
        </w:rPr>
      </w:pPr>
    </w:p>
    <w:p>
      <w:pPr>
        <w:ind w:left="5260"/>
        <w:spacing w:after="0"/>
        <w:rPr>
          <w:sz w:val="20"/>
          <w:szCs w:val="20"/>
          <w:color w:val="auto"/>
        </w:rPr>
      </w:pPr>
      <w:r>
        <w:rPr>
          <w:rFonts w:ascii="Arial" w:cs="Arial" w:eastAsia="Arial" w:hAnsi="Arial"/>
          <w:sz w:val="18"/>
          <w:szCs w:val="18"/>
          <w:color w:val="auto"/>
        </w:rPr>
        <w:t>Senior Vice President and Chief Financial Officer</w:t>
      </w:r>
    </w:p>
    <w:p>
      <w:pPr>
        <w:sectPr>
          <w:pgSz w:w="11900" w:h="16838" w:orient="portrait"/>
          <w:cols w:equalWidth="0" w:num="1">
            <w:col w:w="10720"/>
          </w:cols>
          <w:pgMar w:left="240" w:top="580" w:right="939" w:bottom="1440" w:gutter="0" w:footer="0" w:header="0"/>
        </w:sectPr>
      </w:pPr>
    </w:p>
    <w:bookmarkStart w:id="3" w:name="page4"/>
    <w:bookmarkEnd w:id="3"/>
    <w:p>
      <w:pPr>
        <w:jc w:val="right"/>
        <w:spacing w:after="0"/>
        <w:rPr>
          <w:sz w:val="20"/>
          <w:szCs w:val="20"/>
          <w:color w:val="auto"/>
        </w:rPr>
      </w:pPr>
      <w:r>
        <w:rPr>
          <w:rFonts w:ascii="Arial" w:cs="Arial" w:eastAsia="Arial" w:hAnsi="Arial"/>
          <w:sz w:val="20"/>
          <w:szCs w:val="20"/>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3735705</wp:posOffset>
            </wp:positionH>
            <wp:positionV relativeFrom="paragraph">
              <wp:posOffset>2540</wp:posOffset>
            </wp:positionV>
            <wp:extent cx="2452370" cy="7543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2452370" cy="7543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22"/>
          <w:szCs w:val="22"/>
          <w:color w:val="auto"/>
        </w:rPr>
        <w:t>FOR IMMEDIATE RELEASE</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24, 2019</w:t>
      </w:r>
    </w:p>
    <w:p>
      <w:pPr>
        <w:spacing w:after="0" w:line="220" w:lineRule="exact"/>
        <w:rPr>
          <w:sz w:val="20"/>
          <w:szCs w:val="20"/>
          <w:color w:val="auto"/>
        </w:rPr>
      </w:pPr>
    </w:p>
    <w:p>
      <w:pPr>
        <w:spacing w:after="0"/>
        <w:rPr>
          <w:sz w:val="20"/>
          <w:szCs w:val="20"/>
          <w:color w:val="auto"/>
        </w:rPr>
      </w:pPr>
      <w:r>
        <w:rPr>
          <w:rFonts w:ascii="Arial" w:cs="Arial" w:eastAsia="Arial" w:hAnsi="Arial"/>
          <w:sz w:val="22"/>
          <w:szCs w:val="22"/>
          <w:color w:val="auto"/>
        </w:rPr>
        <w:t>CONTACT:</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u w:val="single" w:color="auto"/>
          <w:color w:val="auto"/>
        </w:rPr>
        <w:t>Investors</w:t>
      </w:r>
      <w:r>
        <w:rPr>
          <w:rFonts w:ascii="Arial" w:cs="Arial" w:eastAsia="Arial" w:hAnsi="Arial"/>
          <w:sz w:val="22"/>
          <w:szCs w:val="22"/>
          <w:color w:val="auto"/>
        </w:rPr>
        <w:t xml:space="preserve"> - (301) 968-9300</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u w:val="single" w:color="auto"/>
          <w:color w:val="auto"/>
        </w:rPr>
        <w:t>Media</w:t>
      </w:r>
      <w:r>
        <w:rPr>
          <w:rFonts w:ascii="Arial" w:cs="Arial" w:eastAsia="Arial" w:hAnsi="Arial"/>
          <w:sz w:val="22"/>
          <w:szCs w:val="22"/>
          <w:color w:val="auto"/>
        </w:rPr>
        <w:t xml:space="preserve"> - (301) 968-9303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AGNC INVESTMENT CORP.</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ANNOUNCES SECOND QUARTER 2019 FINANCIAL RESULTS</w:t>
      </w:r>
    </w:p>
    <w:p>
      <w:pPr>
        <w:spacing w:after="0" w:line="260" w:lineRule="exact"/>
        <w:rPr>
          <w:sz w:val="20"/>
          <w:szCs w:val="20"/>
          <w:color w:val="auto"/>
        </w:rPr>
      </w:pPr>
    </w:p>
    <w:p>
      <w:pPr>
        <w:spacing w:after="0" w:line="249" w:lineRule="auto"/>
        <w:rPr>
          <w:sz w:val="20"/>
          <w:szCs w:val="20"/>
          <w:color w:val="auto"/>
        </w:rPr>
      </w:pPr>
      <w:r>
        <w:rPr>
          <w:rFonts w:ascii="Arial" w:cs="Arial" w:eastAsia="Arial" w:hAnsi="Arial"/>
          <w:sz w:val="22"/>
          <w:szCs w:val="22"/>
          <w:color w:val="auto"/>
        </w:rPr>
        <w:t>Bethesda, MD - July 24, 2019 - AGNC Investment Corp. (“AGNC” or the “Company”) (Nasdaq: AGNC) today announced financial results for the quarter ended June 30, 2019.</w:t>
      </w:r>
    </w:p>
    <w:p>
      <w:pPr>
        <w:spacing w:after="0" w:line="21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SECOND QUARTER 2019 FINANCIAL HIGHLIGHTS</w:t>
      </w:r>
    </w:p>
    <w:p>
      <w:pPr>
        <w:spacing w:after="0" w:line="192" w:lineRule="exact"/>
        <w:rPr>
          <w:sz w:val="20"/>
          <w:szCs w:val="20"/>
          <w:color w:val="auto"/>
        </w:rPr>
      </w:pPr>
    </w:p>
    <w:p>
      <w:pPr>
        <w:ind w:left="180" w:hanging="172"/>
        <w:spacing w:after="0"/>
        <w:tabs>
          <w:tab w:leader="none" w:pos="180" w:val="left"/>
        </w:tabs>
        <w:numPr>
          <w:ilvl w:val="0"/>
          <w:numId w:val="2"/>
        </w:numPr>
        <w:rPr>
          <w:rFonts w:ascii="Arial" w:cs="Arial" w:eastAsia="Arial" w:hAnsi="Arial"/>
          <w:sz w:val="22"/>
          <w:szCs w:val="22"/>
          <w:color w:val="auto"/>
        </w:rPr>
      </w:pPr>
      <w:r>
        <w:rPr>
          <w:rFonts w:ascii="Arial" w:cs="Arial" w:eastAsia="Arial" w:hAnsi="Arial"/>
          <w:sz w:val="22"/>
          <w:szCs w:val="22"/>
          <w:color w:val="auto"/>
        </w:rPr>
        <w:t>$(0.15) comprehensive loss per common share, comprised of:</w:t>
      </w:r>
    </w:p>
    <w:p>
      <w:pPr>
        <w:spacing w:after="0" w:line="3" w:lineRule="exact"/>
        <w:rPr>
          <w:rFonts w:ascii="Arial" w:cs="Arial" w:eastAsia="Arial" w:hAnsi="Arial"/>
          <w:sz w:val="22"/>
          <w:szCs w:val="22"/>
          <w:color w:val="auto"/>
        </w:rPr>
      </w:pPr>
    </w:p>
    <w:p>
      <w:pPr>
        <w:ind w:left="500" w:hanging="249"/>
        <w:spacing w:after="0"/>
        <w:tabs>
          <w:tab w:leader="none" w:pos="500" w:val="left"/>
        </w:tabs>
        <w:numPr>
          <w:ilvl w:val="2"/>
          <w:numId w:val="2"/>
        </w:numPr>
        <w:rPr>
          <w:rFonts w:ascii="Arial" w:cs="Arial" w:eastAsia="Arial" w:hAnsi="Arial"/>
          <w:sz w:val="22"/>
          <w:szCs w:val="22"/>
          <w:color w:val="auto"/>
        </w:rPr>
      </w:pPr>
      <w:r>
        <w:rPr>
          <w:rFonts w:ascii="Arial" w:cs="Arial" w:eastAsia="Arial" w:hAnsi="Arial"/>
          <w:sz w:val="22"/>
          <w:szCs w:val="22"/>
          <w:color w:val="auto"/>
        </w:rPr>
        <w:t>$(0.85) net loss per common share</w:t>
      </w:r>
    </w:p>
    <w:p>
      <w:pPr>
        <w:spacing w:after="0" w:line="3" w:lineRule="exact"/>
        <w:rPr>
          <w:rFonts w:ascii="Arial" w:cs="Arial" w:eastAsia="Arial" w:hAnsi="Arial"/>
          <w:sz w:val="22"/>
          <w:szCs w:val="22"/>
          <w:color w:val="auto"/>
        </w:rPr>
      </w:pPr>
    </w:p>
    <w:p>
      <w:pPr>
        <w:ind w:left="500" w:hanging="249"/>
        <w:spacing w:after="0"/>
        <w:tabs>
          <w:tab w:leader="none" w:pos="500" w:val="left"/>
        </w:tabs>
        <w:numPr>
          <w:ilvl w:val="2"/>
          <w:numId w:val="2"/>
        </w:numPr>
        <w:rPr>
          <w:rFonts w:ascii="Arial" w:cs="Arial" w:eastAsia="Arial" w:hAnsi="Arial"/>
          <w:sz w:val="22"/>
          <w:szCs w:val="22"/>
          <w:color w:val="auto"/>
        </w:rPr>
      </w:pPr>
      <w:r>
        <w:rPr>
          <w:rFonts w:ascii="Arial" w:cs="Arial" w:eastAsia="Arial" w:hAnsi="Arial"/>
          <w:sz w:val="22"/>
          <w:szCs w:val="22"/>
          <w:color w:val="auto"/>
        </w:rPr>
        <w:t>$0.70 other comprehensive income ("OCI") per common share on investments marked-to-market through OCI</w:t>
      </w:r>
    </w:p>
    <w:p>
      <w:pPr>
        <w:spacing w:after="0" w:line="3" w:lineRule="exact"/>
        <w:rPr>
          <w:rFonts w:ascii="Arial" w:cs="Arial" w:eastAsia="Arial" w:hAnsi="Arial"/>
          <w:sz w:val="22"/>
          <w:szCs w:val="22"/>
          <w:color w:val="auto"/>
        </w:rPr>
      </w:pPr>
    </w:p>
    <w:p>
      <w:pPr>
        <w:ind w:left="180" w:right="20" w:hanging="172"/>
        <w:spacing w:after="0" w:line="214" w:lineRule="auto"/>
        <w:tabs>
          <w:tab w:leader="none" w:pos="180" w:val="left"/>
        </w:tabs>
        <w:numPr>
          <w:ilvl w:val="0"/>
          <w:numId w:val="2"/>
        </w:numPr>
        <w:rPr>
          <w:rFonts w:ascii="Arial" w:cs="Arial" w:eastAsia="Arial" w:hAnsi="Arial"/>
          <w:sz w:val="22"/>
          <w:szCs w:val="22"/>
          <w:color w:val="auto"/>
        </w:rPr>
      </w:pPr>
      <w:r>
        <w:rPr>
          <w:rFonts w:ascii="Arial" w:cs="Arial" w:eastAsia="Arial" w:hAnsi="Arial"/>
          <w:sz w:val="22"/>
          <w:szCs w:val="22"/>
          <w:color w:val="auto"/>
        </w:rPr>
        <w:t xml:space="preserve">$0.49 net spread and dollar roll income per common share, excluding estimated "catch-up" premium amortization cost </w:t>
      </w:r>
      <w:r>
        <w:rPr>
          <w:rFonts w:ascii="Arial" w:cs="Arial" w:eastAsia="Arial" w:hAnsi="Arial"/>
          <w:sz w:val="28"/>
          <w:szCs w:val="28"/>
          <w:color w:val="auto"/>
          <w:vertAlign w:val="superscript"/>
        </w:rPr>
        <w:t>1</w:t>
      </w:r>
    </w:p>
    <w:p>
      <w:pPr>
        <w:jc w:val="both"/>
        <w:ind w:left="500" w:hanging="249"/>
        <w:spacing w:after="0" w:line="243" w:lineRule="auto"/>
        <w:tabs>
          <w:tab w:leader="none" w:pos="500" w:val="left"/>
        </w:tabs>
        <w:numPr>
          <w:ilvl w:val="2"/>
          <w:numId w:val="2"/>
        </w:numPr>
        <w:rPr>
          <w:rFonts w:ascii="Arial" w:cs="Arial" w:eastAsia="Arial" w:hAnsi="Arial"/>
          <w:sz w:val="22"/>
          <w:szCs w:val="22"/>
          <w:color w:val="auto"/>
        </w:rPr>
      </w:pPr>
      <w:r>
        <w:rPr>
          <w:rFonts w:ascii="Arial" w:cs="Arial" w:eastAsia="Arial" w:hAnsi="Arial"/>
          <w:sz w:val="22"/>
          <w:szCs w:val="22"/>
          <w:color w:val="auto"/>
        </w:rPr>
        <w:t>Includes $0.04 per common share of dollar roll income associated with the Company's $11.9 billion average net long position in forward purchases and sales of Agency mortgage-backed securities ("MBS") in the "to-be-announced" ("TBA") market</w:t>
      </w:r>
    </w:p>
    <w:p>
      <w:pPr>
        <w:spacing w:after="0" w:line="1" w:lineRule="exact"/>
        <w:rPr>
          <w:rFonts w:ascii="Arial" w:cs="Arial" w:eastAsia="Arial" w:hAnsi="Arial"/>
          <w:sz w:val="22"/>
          <w:szCs w:val="22"/>
          <w:color w:val="auto"/>
        </w:rPr>
      </w:pPr>
    </w:p>
    <w:p>
      <w:pPr>
        <w:ind w:left="500" w:hanging="249"/>
        <w:spacing w:after="0" w:line="243" w:lineRule="auto"/>
        <w:tabs>
          <w:tab w:leader="none" w:pos="500" w:val="left"/>
        </w:tabs>
        <w:numPr>
          <w:ilvl w:val="2"/>
          <w:numId w:val="2"/>
        </w:numPr>
        <w:rPr>
          <w:rFonts w:ascii="Arial" w:cs="Arial" w:eastAsia="Arial" w:hAnsi="Arial"/>
          <w:sz w:val="22"/>
          <w:szCs w:val="22"/>
          <w:color w:val="auto"/>
        </w:rPr>
      </w:pPr>
      <w:r>
        <w:rPr>
          <w:rFonts w:ascii="Arial" w:cs="Arial" w:eastAsia="Arial" w:hAnsi="Arial"/>
          <w:sz w:val="22"/>
          <w:szCs w:val="22"/>
          <w:color w:val="auto"/>
        </w:rPr>
        <w:t>Excludes $(0.11) per common share of estimated "catch-up" premium amortization cost due to change in projected constant prepayment rate ("CPR") estimates</w:t>
      </w:r>
    </w:p>
    <w:p>
      <w:pPr>
        <w:ind w:left="180" w:hanging="172"/>
        <w:spacing w:after="0"/>
        <w:tabs>
          <w:tab w:leader="none" w:pos="180" w:val="left"/>
        </w:tabs>
        <w:numPr>
          <w:ilvl w:val="0"/>
          <w:numId w:val="2"/>
        </w:numPr>
        <w:rPr>
          <w:rFonts w:ascii="Arial" w:cs="Arial" w:eastAsia="Arial" w:hAnsi="Arial"/>
          <w:sz w:val="22"/>
          <w:szCs w:val="22"/>
          <w:color w:val="auto"/>
        </w:rPr>
      </w:pPr>
      <w:r>
        <w:rPr>
          <w:rFonts w:ascii="Arial" w:cs="Arial" w:eastAsia="Arial" w:hAnsi="Arial"/>
          <w:sz w:val="22"/>
          <w:szCs w:val="22"/>
          <w:color w:val="auto"/>
        </w:rPr>
        <w:t>$16.58 tangible net book value per common share as of June 30, 2019</w:t>
      </w:r>
    </w:p>
    <w:p>
      <w:pPr>
        <w:spacing w:after="0" w:line="3" w:lineRule="exact"/>
        <w:rPr>
          <w:rFonts w:ascii="Arial" w:cs="Arial" w:eastAsia="Arial" w:hAnsi="Arial"/>
          <w:sz w:val="22"/>
          <w:szCs w:val="22"/>
          <w:color w:val="auto"/>
        </w:rPr>
      </w:pPr>
    </w:p>
    <w:p>
      <w:pPr>
        <w:ind w:left="500" w:hanging="249"/>
        <w:spacing w:after="0"/>
        <w:tabs>
          <w:tab w:leader="none" w:pos="500" w:val="left"/>
        </w:tabs>
        <w:numPr>
          <w:ilvl w:val="2"/>
          <w:numId w:val="2"/>
        </w:numPr>
        <w:rPr>
          <w:rFonts w:ascii="Arial" w:cs="Arial" w:eastAsia="Arial" w:hAnsi="Arial"/>
          <w:sz w:val="22"/>
          <w:szCs w:val="22"/>
          <w:color w:val="auto"/>
        </w:rPr>
      </w:pPr>
      <w:r>
        <w:rPr>
          <w:rFonts w:ascii="Arial" w:cs="Arial" w:eastAsia="Arial" w:hAnsi="Arial"/>
          <w:sz w:val="22"/>
          <w:szCs w:val="22"/>
          <w:color w:val="auto"/>
        </w:rPr>
        <w:t>Decreased $(0.65) per common share, or -3.8%, from $17.23 per common share as of March 31, 2019</w:t>
      </w:r>
    </w:p>
    <w:p>
      <w:pPr>
        <w:spacing w:after="0" w:line="3" w:lineRule="exact"/>
        <w:rPr>
          <w:rFonts w:ascii="Arial" w:cs="Arial" w:eastAsia="Arial" w:hAnsi="Arial"/>
          <w:sz w:val="22"/>
          <w:szCs w:val="22"/>
          <w:color w:val="auto"/>
        </w:rPr>
      </w:pPr>
    </w:p>
    <w:p>
      <w:pPr>
        <w:ind w:left="180" w:hanging="172"/>
        <w:spacing w:after="0"/>
        <w:tabs>
          <w:tab w:leader="none" w:pos="180" w:val="left"/>
        </w:tabs>
        <w:numPr>
          <w:ilvl w:val="0"/>
          <w:numId w:val="2"/>
        </w:numPr>
        <w:rPr>
          <w:rFonts w:ascii="Arial" w:cs="Arial" w:eastAsia="Arial" w:hAnsi="Arial"/>
          <w:sz w:val="22"/>
          <w:szCs w:val="22"/>
          <w:color w:val="auto"/>
        </w:rPr>
      </w:pPr>
      <w:r>
        <w:rPr>
          <w:rFonts w:ascii="Arial" w:cs="Arial" w:eastAsia="Arial" w:hAnsi="Arial"/>
          <w:sz w:val="22"/>
          <w:szCs w:val="22"/>
          <w:color w:val="auto"/>
        </w:rPr>
        <w:t>$0.50 dividends declared per common share for the second quarter</w:t>
      </w:r>
    </w:p>
    <w:p>
      <w:pPr>
        <w:spacing w:after="0" w:line="3" w:lineRule="exact"/>
        <w:rPr>
          <w:rFonts w:ascii="Arial" w:cs="Arial" w:eastAsia="Arial" w:hAnsi="Arial"/>
          <w:sz w:val="22"/>
          <w:szCs w:val="22"/>
          <w:color w:val="auto"/>
        </w:rPr>
      </w:pPr>
    </w:p>
    <w:p>
      <w:pPr>
        <w:ind w:left="180" w:hanging="172"/>
        <w:spacing w:after="0"/>
        <w:tabs>
          <w:tab w:leader="none" w:pos="180" w:val="left"/>
        </w:tabs>
        <w:numPr>
          <w:ilvl w:val="0"/>
          <w:numId w:val="2"/>
        </w:numPr>
        <w:rPr>
          <w:rFonts w:ascii="Arial" w:cs="Arial" w:eastAsia="Arial" w:hAnsi="Arial"/>
          <w:sz w:val="22"/>
          <w:szCs w:val="22"/>
          <w:color w:val="auto"/>
        </w:rPr>
      </w:pPr>
      <w:r>
        <w:rPr>
          <w:rFonts w:ascii="Arial" w:cs="Arial" w:eastAsia="Arial" w:hAnsi="Arial"/>
          <w:sz w:val="22"/>
          <w:szCs w:val="22"/>
          <w:color w:val="auto"/>
        </w:rPr>
        <w:t>-0.9% economic return on tangible common equity for the quarter</w:t>
      </w:r>
    </w:p>
    <w:p>
      <w:pPr>
        <w:spacing w:after="0" w:line="3" w:lineRule="exact"/>
        <w:rPr>
          <w:rFonts w:ascii="Arial" w:cs="Arial" w:eastAsia="Arial" w:hAnsi="Arial"/>
          <w:sz w:val="22"/>
          <w:szCs w:val="22"/>
          <w:color w:val="auto"/>
        </w:rPr>
      </w:pPr>
    </w:p>
    <w:p>
      <w:pPr>
        <w:ind w:left="900" w:hanging="662"/>
        <w:spacing w:after="0" w:line="249" w:lineRule="auto"/>
        <w:tabs>
          <w:tab w:leader="none" w:pos="495" w:val="left"/>
        </w:tabs>
        <w:numPr>
          <w:ilvl w:val="1"/>
          <w:numId w:val="2"/>
        </w:numPr>
        <w:rPr>
          <w:rFonts w:ascii="Arial" w:cs="Arial" w:eastAsia="Arial" w:hAnsi="Arial"/>
          <w:sz w:val="22"/>
          <w:szCs w:val="22"/>
          <w:color w:val="auto"/>
        </w:rPr>
      </w:pPr>
      <w:r>
        <w:rPr>
          <w:rFonts w:ascii="Arial" w:cs="Arial" w:eastAsia="Arial" w:hAnsi="Arial"/>
          <w:sz w:val="22"/>
          <w:szCs w:val="22"/>
          <w:color w:val="auto"/>
        </w:rPr>
        <w:t>Comprised of $0.50 dividends per common share and $(0.65) decrease in tangible net book value per common share</w:t>
      </w:r>
    </w:p>
    <w:p>
      <w:pPr>
        <w:sectPr>
          <w:pgSz w:w="11900" w:h="16838" w:orient="portrait"/>
          <w:cols w:equalWidth="0" w:num="1">
            <w:col w:w="11420"/>
          </w:cols>
          <w:pgMar w:left="240" w:top="136" w:right="239" w:bottom="1440" w:gutter="0" w:footer="0" w:header="0"/>
        </w:sectPr>
      </w:pPr>
    </w:p>
    <w:bookmarkStart w:id="4" w:name="page5"/>
    <w:bookmarkEnd w:id="4"/>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24,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2</w:t>
      </w:r>
    </w:p>
    <w:p>
      <w:pPr>
        <w:spacing w:after="0" w:line="22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OTHER SECOND QUARTER HIGHLIGHTS</w:t>
      </w:r>
    </w:p>
    <w:p>
      <w:pPr>
        <w:spacing w:after="0" w:line="192" w:lineRule="exact"/>
        <w:rPr>
          <w:sz w:val="20"/>
          <w:szCs w:val="20"/>
          <w:color w:val="auto"/>
        </w:rPr>
      </w:pPr>
    </w:p>
    <w:p>
      <w:pPr>
        <w:ind w:left="180" w:hanging="172"/>
        <w:spacing w:after="0"/>
        <w:tabs>
          <w:tab w:leader="none" w:pos="180" w:val="left"/>
        </w:tabs>
        <w:numPr>
          <w:ilvl w:val="0"/>
          <w:numId w:val="3"/>
        </w:numPr>
        <w:rPr>
          <w:rFonts w:ascii="Arial" w:cs="Arial" w:eastAsia="Arial" w:hAnsi="Arial"/>
          <w:sz w:val="22"/>
          <w:szCs w:val="22"/>
          <w:color w:val="auto"/>
        </w:rPr>
      </w:pPr>
      <w:r>
        <w:rPr>
          <w:rFonts w:ascii="Arial" w:cs="Arial" w:eastAsia="Arial" w:hAnsi="Arial"/>
          <w:sz w:val="22"/>
          <w:szCs w:val="22"/>
          <w:color w:val="auto"/>
        </w:rPr>
        <w:t>$104.4 billion investment portfolio as of June 30, 2019, comprised of:</w:t>
      </w:r>
    </w:p>
    <w:p>
      <w:pPr>
        <w:spacing w:after="0" w:line="3" w:lineRule="exact"/>
        <w:rPr>
          <w:rFonts w:ascii="Arial" w:cs="Arial" w:eastAsia="Arial" w:hAnsi="Arial"/>
          <w:sz w:val="22"/>
          <w:szCs w:val="22"/>
          <w:color w:val="auto"/>
        </w:rPr>
      </w:pPr>
    </w:p>
    <w:p>
      <w:pPr>
        <w:ind w:left="500" w:hanging="262"/>
        <w:spacing w:after="0"/>
        <w:tabs>
          <w:tab w:leader="none" w:pos="500" w:val="left"/>
        </w:tabs>
        <w:numPr>
          <w:ilvl w:val="1"/>
          <w:numId w:val="3"/>
        </w:numPr>
        <w:rPr>
          <w:rFonts w:ascii="Arial" w:cs="Arial" w:eastAsia="Arial" w:hAnsi="Arial"/>
          <w:sz w:val="22"/>
          <w:szCs w:val="22"/>
          <w:color w:val="auto"/>
        </w:rPr>
      </w:pPr>
      <w:r>
        <w:rPr>
          <w:rFonts w:ascii="Arial" w:cs="Arial" w:eastAsia="Arial" w:hAnsi="Arial"/>
          <w:sz w:val="22"/>
          <w:szCs w:val="22"/>
          <w:color w:val="auto"/>
        </w:rPr>
        <w:t>$91.6 billion Agency MBS</w:t>
      </w:r>
    </w:p>
    <w:p>
      <w:pPr>
        <w:spacing w:after="0" w:line="3" w:lineRule="exact"/>
        <w:rPr>
          <w:rFonts w:ascii="Arial" w:cs="Arial" w:eastAsia="Arial" w:hAnsi="Arial"/>
          <w:sz w:val="22"/>
          <w:szCs w:val="22"/>
          <w:color w:val="auto"/>
        </w:rPr>
      </w:pPr>
    </w:p>
    <w:p>
      <w:pPr>
        <w:ind w:left="500" w:hanging="262"/>
        <w:spacing w:after="0"/>
        <w:tabs>
          <w:tab w:leader="none" w:pos="500" w:val="left"/>
        </w:tabs>
        <w:numPr>
          <w:ilvl w:val="1"/>
          <w:numId w:val="3"/>
        </w:numPr>
        <w:rPr>
          <w:rFonts w:ascii="Arial" w:cs="Arial" w:eastAsia="Arial" w:hAnsi="Arial"/>
          <w:sz w:val="22"/>
          <w:szCs w:val="22"/>
          <w:color w:val="auto"/>
        </w:rPr>
      </w:pPr>
      <w:r>
        <w:rPr>
          <w:rFonts w:ascii="Arial" w:cs="Arial" w:eastAsia="Arial" w:hAnsi="Arial"/>
          <w:sz w:val="22"/>
          <w:szCs w:val="22"/>
          <w:color w:val="auto"/>
        </w:rPr>
        <w:t>$11.2 billion TBA mortgage position</w:t>
      </w:r>
    </w:p>
    <w:p>
      <w:pPr>
        <w:spacing w:after="0" w:line="3" w:lineRule="exact"/>
        <w:rPr>
          <w:rFonts w:ascii="Arial" w:cs="Arial" w:eastAsia="Arial" w:hAnsi="Arial"/>
          <w:sz w:val="22"/>
          <w:szCs w:val="22"/>
          <w:color w:val="auto"/>
        </w:rPr>
      </w:pPr>
    </w:p>
    <w:p>
      <w:pPr>
        <w:ind w:left="500" w:hanging="262"/>
        <w:spacing w:after="0"/>
        <w:tabs>
          <w:tab w:leader="none" w:pos="500" w:val="left"/>
        </w:tabs>
        <w:numPr>
          <w:ilvl w:val="1"/>
          <w:numId w:val="3"/>
        </w:numPr>
        <w:rPr>
          <w:rFonts w:ascii="Arial" w:cs="Arial" w:eastAsia="Arial" w:hAnsi="Arial"/>
          <w:sz w:val="22"/>
          <w:szCs w:val="22"/>
          <w:color w:val="auto"/>
        </w:rPr>
      </w:pPr>
      <w:r>
        <w:rPr>
          <w:rFonts w:ascii="Arial" w:cs="Arial" w:eastAsia="Arial" w:hAnsi="Arial"/>
          <w:sz w:val="22"/>
          <w:szCs w:val="22"/>
          <w:color w:val="auto"/>
        </w:rPr>
        <w:t>$1.7 billion credit risk transfer ("CRT") and non-Agency securities</w:t>
      </w:r>
    </w:p>
    <w:p>
      <w:pPr>
        <w:spacing w:after="0" w:line="3" w:lineRule="exact"/>
        <w:rPr>
          <w:rFonts w:ascii="Arial" w:cs="Arial" w:eastAsia="Arial" w:hAnsi="Arial"/>
          <w:sz w:val="22"/>
          <w:szCs w:val="22"/>
          <w:color w:val="auto"/>
        </w:rPr>
      </w:pPr>
    </w:p>
    <w:p>
      <w:pPr>
        <w:ind w:left="180" w:hanging="172"/>
        <w:spacing w:after="0"/>
        <w:tabs>
          <w:tab w:leader="none" w:pos="180" w:val="left"/>
        </w:tabs>
        <w:numPr>
          <w:ilvl w:val="0"/>
          <w:numId w:val="3"/>
        </w:numPr>
        <w:rPr>
          <w:rFonts w:ascii="Arial" w:cs="Arial" w:eastAsia="Arial" w:hAnsi="Arial"/>
          <w:sz w:val="22"/>
          <w:szCs w:val="22"/>
          <w:color w:val="auto"/>
        </w:rPr>
      </w:pPr>
      <w:r>
        <w:rPr>
          <w:rFonts w:ascii="Arial" w:cs="Arial" w:eastAsia="Arial" w:hAnsi="Arial"/>
          <w:sz w:val="22"/>
          <w:szCs w:val="22"/>
          <w:color w:val="auto"/>
        </w:rPr>
        <w:t>9.8x tangible net book value "at risk" leverage as of June 30, 2019</w:t>
      </w:r>
    </w:p>
    <w:p>
      <w:pPr>
        <w:spacing w:after="0" w:line="3" w:lineRule="exact"/>
        <w:rPr>
          <w:rFonts w:ascii="Arial" w:cs="Arial" w:eastAsia="Arial" w:hAnsi="Arial"/>
          <w:sz w:val="22"/>
          <w:szCs w:val="22"/>
          <w:color w:val="auto"/>
        </w:rPr>
      </w:pPr>
    </w:p>
    <w:p>
      <w:pPr>
        <w:ind w:left="500" w:hanging="249"/>
        <w:spacing w:after="0"/>
        <w:tabs>
          <w:tab w:leader="none" w:pos="500" w:val="left"/>
        </w:tabs>
        <w:numPr>
          <w:ilvl w:val="2"/>
          <w:numId w:val="3"/>
        </w:numPr>
        <w:rPr>
          <w:rFonts w:ascii="Arial" w:cs="Arial" w:eastAsia="Arial" w:hAnsi="Arial"/>
          <w:sz w:val="22"/>
          <w:szCs w:val="22"/>
          <w:color w:val="auto"/>
        </w:rPr>
      </w:pPr>
      <w:r>
        <w:rPr>
          <w:rFonts w:ascii="Arial" w:cs="Arial" w:eastAsia="Arial" w:hAnsi="Arial"/>
          <w:sz w:val="22"/>
          <w:szCs w:val="22"/>
          <w:color w:val="auto"/>
        </w:rPr>
        <w:t>10.0x average tangible net book value "at risk" leverage for the quarter</w:t>
      </w:r>
    </w:p>
    <w:p>
      <w:pPr>
        <w:spacing w:after="0" w:line="3" w:lineRule="exact"/>
        <w:rPr>
          <w:rFonts w:ascii="Arial" w:cs="Arial" w:eastAsia="Arial" w:hAnsi="Arial"/>
          <w:sz w:val="22"/>
          <w:szCs w:val="22"/>
          <w:color w:val="auto"/>
        </w:rPr>
      </w:pPr>
    </w:p>
    <w:p>
      <w:pPr>
        <w:ind w:left="180" w:hanging="172"/>
        <w:spacing w:after="0"/>
        <w:tabs>
          <w:tab w:leader="none" w:pos="180" w:val="left"/>
        </w:tabs>
        <w:numPr>
          <w:ilvl w:val="0"/>
          <w:numId w:val="3"/>
        </w:numPr>
        <w:rPr>
          <w:rFonts w:ascii="Arial" w:cs="Arial" w:eastAsia="Arial" w:hAnsi="Arial"/>
          <w:sz w:val="22"/>
          <w:szCs w:val="22"/>
          <w:color w:val="auto"/>
        </w:rPr>
      </w:pPr>
      <w:r>
        <w:rPr>
          <w:rFonts w:ascii="Arial" w:cs="Arial" w:eastAsia="Arial" w:hAnsi="Arial"/>
          <w:sz w:val="22"/>
          <w:szCs w:val="22"/>
          <w:color w:val="auto"/>
        </w:rPr>
        <w:t>10.0% portfolio CPR for the quarter</w:t>
      </w:r>
    </w:p>
    <w:p>
      <w:pPr>
        <w:spacing w:after="0" w:line="3" w:lineRule="exact"/>
        <w:rPr>
          <w:rFonts w:ascii="Arial" w:cs="Arial" w:eastAsia="Arial" w:hAnsi="Arial"/>
          <w:sz w:val="22"/>
          <w:szCs w:val="22"/>
          <w:color w:val="auto"/>
        </w:rPr>
      </w:pPr>
    </w:p>
    <w:p>
      <w:pPr>
        <w:ind w:left="500" w:hanging="249"/>
        <w:spacing w:after="0"/>
        <w:tabs>
          <w:tab w:leader="none" w:pos="500" w:val="left"/>
        </w:tabs>
        <w:numPr>
          <w:ilvl w:val="2"/>
          <w:numId w:val="3"/>
        </w:numPr>
        <w:rPr>
          <w:rFonts w:ascii="Arial" w:cs="Arial" w:eastAsia="Arial" w:hAnsi="Arial"/>
          <w:sz w:val="22"/>
          <w:szCs w:val="22"/>
          <w:color w:val="auto"/>
        </w:rPr>
      </w:pPr>
      <w:r>
        <w:rPr>
          <w:rFonts w:ascii="Arial" w:cs="Arial" w:eastAsia="Arial" w:hAnsi="Arial"/>
          <w:sz w:val="22"/>
          <w:szCs w:val="22"/>
          <w:color w:val="auto"/>
        </w:rPr>
        <w:t>12.4% average projected portfolio life CPR as of June 30, 2019</w:t>
      </w:r>
    </w:p>
    <w:p>
      <w:pPr>
        <w:spacing w:after="0" w:line="3" w:lineRule="exact"/>
        <w:rPr>
          <w:rFonts w:ascii="Arial" w:cs="Arial" w:eastAsia="Arial" w:hAnsi="Arial"/>
          <w:sz w:val="22"/>
          <w:szCs w:val="22"/>
          <w:color w:val="auto"/>
        </w:rPr>
      </w:pPr>
    </w:p>
    <w:p>
      <w:pPr>
        <w:ind w:left="180" w:hanging="172"/>
        <w:spacing w:after="0" w:line="243" w:lineRule="auto"/>
        <w:tabs>
          <w:tab w:leader="none" w:pos="180" w:val="left"/>
        </w:tabs>
        <w:numPr>
          <w:ilvl w:val="0"/>
          <w:numId w:val="3"/>
        </w:numPr>
        <w:rPr>
          <w:rFonts w:ascii="Arial" w:cs="Arial" w:eastAsia="Arial" w:hAnsi="Arial"/>
          <w:sz w:val="22"/>
          <w:szCs w:val="22"/>
          <w:color w:val="auto"/>
        </w:rPr>
      </w:pPr>
      <w:r>
        <w:rPr>
          <w:rFonts w:ascii="Arial" w:cs="Arial" w:eastAsia="Arial" w:hAnsi="Arial"/>
          <w:sz w:val="22"/>
          <w:szCs w:val="22"/>
          <w:color w:val="auto"/>
        </w:rPr>
        <w:t>1.00% annualized net interest spread and TBA dollar roll income for the quarter, excluding estimated "catch-up" premium amortization cost</w:t>
      </w:r>
    </w:p>
    <w:p>
      <w:pPr>
        <w:ind w:left="500" w:hanging="249"/>
        <w:spacing w:after="0"/>
        <w:tabs>
          <w:tab w:leader="none" w:pos="500" w:val="left"/>
        </w:tabs>
        <w:numPr>
          <w:ilvl w:val="2"/>
          <w:numId w:val="3"/>
        </w:numPr>
        <w:rPr>
          <w:rFonts w:ascii="Arial" w:cs="Arial" w:eastAsia="Arial" w:hAnsi="Arial"/>
          <w:sz w:val="22"/>
          <w:szCs w:val="22"/>
          <w:color w:val="auto"/>
        </w:rPr>
      </w:pPr>
      <w:r>
        <w:rPr>
          <w:rFonts w:ascii="Arial" w:cs="Arial" w:eastAsia="Arial" w:hAnsi="Arial"/>
          <w:sz w:val="22"/>
          <w:szCs w:val="22"/>
          <w:color w:val="auto"/>
        </w:rPr>
        <w:t>Excludes -22 bps of "catch-up" premium amortization cost due to change in projected CPR estimates</w:t>
      </w:r>
    </w:p>
    <w:p>
      <w:pPr>
        <w:spacing w:after="0" w:line="3" w:lineRule="exact"/>
        <w:rPr>
          <w:rFonts w:ascii="Arial" w:cs="Arial" w:eastAsia="Arial" w:hAnsi="Arial"/>
          <w:sz w:val="22"/>
          <w:szCs w:val="22"/>
          <w:color w:val="auto"/>
        </w:rPr>
      </w:pPr>
    </w:p>
    <w:p>
      <w:pPr>
        <w:ind w:left="180" w:hanging="172"/>
        <w:spacing w:after="0"/>
        <w:tabs>
          <w:tab w:leader="none" w:pos="180" w:val="left"/>
        </w:tabs>
        <w:numPr>
          <w:ilvl w:val="0"/>
          <w:numId w:val="3"/>
        </w:numPr>
        <w:rPr>
          <w:rFonts w:ascii="Arial" w:cs="Arial" w:eastAsia="Arial" w:hAnsi="Arial"/>
          <w:sz w:val="22"/>
          <w:szCs w:val="22"/>
          <w:color w:val="auto"/>
        </w:rPr>
      </w:pPr>
      <w:r>
        <w:rPr>
          <w:rFonts w:ascii="Arial" w:cs="Arial" w:eastAsia="Arial" w:hAnsi="Arial"/>
          <w:sz w:val="22"/>
          <w:szCs w:val="22"/>
          <w:color w:val="auto"/>
        </w:rPr>
        <w:t>$190 million of common equity raised, net of offering costs, pursuant to At-the-Market equity offerings</w:t>
      </w:r>
    </w:p>
    <w:p>
      <w:pPr>
        <w:spacing w:after="0" w:line="2" w:lineRule="exact"/>
        <w:rPr>
          <w:sz w:val="20"/>
          <w:szCs w:val="20"/>
          <w:color w:val="auto"/>
        </w:rPr>
      </w:pPr>
    </w:p>
    <w:p>
      <w:pPr>
        <w:spacing w:after="0"/>
        <w:rPr>
          <w:sz w:val="20"/>
          <w:szCs w:val="20"/>
          <w:color w:val="auto"/>
        </w:rPr>
      </w:pPr>
      <w:r>
        <w:rPr>
          <w:rFonts w:ascii="Arial" w:cs="Arial" w:eastAsia="Arial" w:hAnsi="Arial"/>
          <w:sz w:val="22"/>
          <w:szCs w:val="22"/>
          <w:color w:val="auto"/>
        </w:rPr>
        <w:t>___________</w:t>
      </w:r>
    </w:p>
    <w:p>
      <w:pPr>
        <w:ind w:left="260" w:hanging="252"/>
        <w:spacing w:after="0" w:line="260" w:lineRule="auto"/>
        <w:tabs>
          <w:tab w:leader="none" w:pos="260" w:val="left"/>
        </w:tabs>
        <w:numPr>
          <w:ilvl w:val="0"/>
          <w:numId w:val="4"/>
        </w:numPr>
        <w:rPr>
          <w:rFonts w:ascii="Arial" w:cs="Arial" w:eastAsia="Arial" w:hAnsi="Arial"/>
          <w:sz w:val="16"/>
          <w:szCs w:val="16"/>
          <w:color w:val="auto"/>
        </w:rPr>
      </w:pPr>
      <w:r>
        <w:rPr>
          <w:rFonts w:ascii="Arial" w:cs="Arial" w:eastAsia="Arial" w:hAnsi="Arial"/>
          <w:sz w:val="16"/>
          <w:szCs w:val="16"/>
          <w:color w:val="auto"/>
        </w:rPr>
        <w:t>Represents a non-GAAP measure. Please refer to a reconciliation to the most applicable GAAP measure and additional information regarding the use of non-GAAP financial information later in this release.</w:t>
      </w:r>
    </w:p>
    <w:p>
      <w:pPr>
        <w:spacing w:after="0" w:line="21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MANAGEMENT REMARKS</w:t>
      </w:r>
    </w:p>
    <w:p>
      <w:pPr>
        <w:spacing w:after="0" w:line="192" w:lineRule="exact"/>
        <w:rPr>
          <w:sz w:val="20"/>
          <w:szCs w:val="20"/>
          <w:color w:val="auto"/>
        </w:rPr>
      </w:pPr>
    </w:p>
    <w:p>
      <w:pPr>
        <w:jc w:val="both"/>
        <w:spacing w:after="0" w:line="243" w:lineRule="auto"/>
        <w:rPr>
          <w:sz w:val="20"/>
          <w:szCs w:val="20"/>
          <w:color w:val="auto"/>
        </w:rPr>
      </w:pPr>
      <w:r>
        <w:rPr>
          <w:rFonts w:ascii="Arial" w:cs="Arial" w:eastAsia="Arial" w:hAnsi="Arial"/>
          <w:sz w:val="22"/>
          <w:szCs w:val="22"/>
          <w:color w:val="auto"/>
        </w:rPr>
        <w:t>"During the second quarter of 2019, generally weak global economic data, benign inflation indicators, and ongoing trade-related tensions led the Federal Reserve to shift its monetary policy stance toward greater accommodation, signaling at its May meeting that rate cuts were likely," said Gary Kain, the Company's Chief Executive Officer and Chief Investment Officer. "In response, interest rates declined materially, the yield curve steepened modestly, and interest rate volatility increased during the quarter. In aggregate, the 2-year U.S. Treasury rate declined 0.51% from 2.26% as of March 31, 2019 to 1.75% as of June 30, 2019, while the 10-year U.S. Treasury rate declined 0.40% from</w:t>
      </w:r>
    </w:p>
    <w:p>
      <w:pPr>
        <w:spacing w:after="0" w:line="3"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2.41% as of March 31, 2019 to 2.01% as of June 30, 2019. The significant decline in interest rates led to a meaningful increase in prepayment expectations, which, coupled with a significant inversion of the front end of the curve, drove spreads on Agency mortgage-backed securities wider relative to U.S. Treasury and interest rate swap hedges during the quarter.</w:t>
      </w:r>
    </w:p>
    <w:p>
      <w:pPr>
        <w:spacing w:after="0" w:line="156"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"In the current low rate environment, asset selection will be a key determinant of returns as prepayment speeds across the MBS spectrum will vary widely based upon coupon and pool characteristics. During the quarter, we took steps to further insulate the portfolio from the higher risk areas of the mortgage market by materially reducing our exposure to higher coupon, more generic MBS. As such, the average speed on our portfolio in the last prepayment release was only 10.8% CPR despite a significant percentage of recent production, generic 30-year 4.0% and 4.5% coupons prepaying at over 30% CPR. To this point, while a low rate, faster prepayment environment can be a significant threat to the performance of an Agency MBS portfolio, it also provides an excellent opportunity to generate incremental returns on equity."</w:t>
      </w:r>
    </w:p>
    <w:p>
      <w:pPr>
        <w:spacing w:after="0" w:line="157"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"Given the uptick in interest rate volatility and the underperformance of our Agency MBS portfolio relative to swap and treasury hedges, AGNC's economic return on tangible common equity for the second quarter was -0.9%, consisting of $0.50 in dividends and a $(0.65) decrease in tangible net book value per common share," commented Peter Federico, the Company's President and Chief Operating Officer. "AGNC generated $0.49 of net spread and dollar roll income, excluding catch-</w:t>
      </w:r>
    </w:p>
    <w:p>
      <w:pPr>
        <w:sectPr>
          <w:pgSz w:w="11900" w:h="16838" w:orient="portrait"/>
          <w:cols w:equalWidth="0" w:num="1">
            <w:col w:w="11420"/>
          </w:cols>
          <w:pgMar w:left="240" w:top="147" w:right="239" w:bottom="1440" w:gutter="0" w:footer="0" w:header="0"/>
        </w:sectPr>
      </w:pPr>
    </w:p>
    <w:bookmarkStart w:id="5" w:name="page6"/>
    <w:bookmarkEnd w:id="5"/>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24,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3</w:t>
      </w:r>
    </w:p>
    <w:p>
      <w:pPr>
        <w:spacing w:after="0" w:line="200" w:lineRule="exact"/>
        <w:rPr>
          <w:sz w:val="20"/>
          <w:szCs w:val="20"/>
          <w:color w:val="auto"/>
        </w:rPr>
      </w:pPr>
    </w:p>
    <w:p>
      <w:pPr>
        <w:spacing w:after="0" w:line="209"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up premium amortization, in the second quarter, as elevated MBS repo funding rates and increased amortization expense resulting from higher projected lifetime prepayment speeds adversely impacted our earnings. Looking ahead, we expect these headwinds to abate gradually as repo funding levels ultimately reprice to the new short-term rate outlook and the prepayment protection embedded in our asset portfolio mitigates the impact of further increases in prepayment speeds."</w:t>
      </w: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TANGIBLE NET BOOK VALUE PER COMMON SHARE</w:t>
      </w:r>
    </w:p>
    <w:p>
      <w:pPr>
        <w:spacing w:after="0" w:line="192" w:lineRule="exact"/>
        <w:rPr>
          <w:sz w:val="20"/>
          <w:szCs w:val="20"/>
          <w:color w:val="auto"/>
        </w:rPr>
      </w:pPr>
    </w:p>
    <w:p>
      <w:pPr>
        <w:jc w:val="both"/>
        <w:spacing w:after="0" w:line="249" w:lineRule="auto"/>
        <w:rPr>
          <w:sz w:val="20"/>
          <w:szCs w:val="20"/>
          <w:color w:val="auto"/>
        </w:rPr>
      </w:pPr>
      <w:r>
        <w:rPr>
          <w:rFonts w:ascii="Arial" w:cs="Arial" w:eastAsia="Arial" w:hAnsi="Arial"/>
          <w:sz w:val="22"/>
          <w:szCs w:val="22"/>
          <w:color w:val="auto"/>
        </w:rPr>
        <w:t>As of June 30, 2019, the Company's tangible net book value per common share was $16.58 per share, a decrease of -3.8% compared to $17.23 per share as of March 31, 2019.</w:t>
      </w:r>
    </w:p>
    <w:p>
      <w:pPr>
        <w:spacing w:after="0" w:line="150" w:lineRule="exact"/>
        <w:rPr>
          <w:sz w:val="20"/>
          <w:szCs w:val="20"/>
          <w:color w:val="auto"/>
        </w:rPr>
      </w:pPr>
    </w:p>
    <w:p>
      <w:pPr>
        <w:jc w:val="both"/>
        <w:spacing w:after="0" w:line="249" w:lineRule="auto"/>
        <w:rPr>
          <w:sz w:val="20"/>
          <w:szCs w:val="20"/>
          <w:color w:val="auto"/>
        </w:rPr>
      </w:pPr>
      <w:r>
        <w:rPr>
          <w:rFonts w:ascii="Arial" w:cs="Arial" w:eastAsia="Arial" w:hAnsi="Arial"/>
          <w:sz w:val="22"/>
          <w:szCs w:val="22"/>
          <w:color w:val="auto"/>
        </w:rPr>
        <w:t>The Company's tangible net book value per common share excludes $526 million, or $0.96 and $0.98 per common share, of goodwill as of June 30, 2019 and March 31, 2019, respectively.</w:t>
      </w:r>
    </w:p>
    <w:p>
      <w:pPr>
        <w:spacing w:after="0" w:line="21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INVESTMENT PORTFOLIO</w:t>
      </w:r>
    </w:p>
    <w:p>
      <w:pPr>
        <w:spacing w:after="0" w:line="192" w:lineRule="exact"/>
        <w:rPr>
          <w:sz w:val="20"/>
          <w:szCs w:val="20"/>
          <w:color w:val="auto"/>
        </w:rPr>
      </w:pPr>
    </w:p>
    <w:p>
      <w:pPr>
        <w:spacing w:after="0"/>
        <w:rPr>
          <w:sz w:val="20"/>
          <w:szCs w:val="20"/>
          <w:color w:val="auto"/>
        </w:rPr>
      </w:pPr>
      <w:r>
        <w:rPr>
          <w:rFonts w:ascii="Arial" w:cs="Arial" w:eastAsia="Arial" w:hAnsi="Arial"/>
          <w:sz w:val="22"/>
          <w:szCs w:val="22"/>
          <w:color w:val="auto"/>
        </w:rPr>
        <w:t>As of June 30, 2019, the Company's investment portfolio totaled $104.4 billion, comprised of:</w:t>
      </w:r>
    </w:p>
    <w:p>
      <w:pPr>
        <w:spacing w:after="0" w:line="166" w:lineRule="exact"/>
        <w:rPr>
          <w:sz w:val="20"/>
          <w:szCs w:val="20"/>
          <w:color w:val="auto"/>
        </w:rPr>
      </w:pPr>
    </w:p>
    <w:p>
      <w:pPr>
        <w:ind w:left="660" w:hanging="328"/>
        <w:spacing w:after="0"/>
        <w:tabs>
          <w:tab w:leader="none" w:pos="660" w:val="left"/>
        </w:tabs>
        <w:numPr>
          <w:ilvl w:val="0"/>
          <w:numId w:val="5"/>
        </w:numPr>
        <w:rPr>
          <w:rFonts w:ascii="Arial" w:cs="Arial" w:eastAsia="Arial" w:hAnsi="Arial"/>
          <w:sz w:val="22"/>
          <w:szCs w:val="22"/>
          <w:color w:val="auto"/>
        </w:rPr>
      </w:pPr>
      <w:r>
        <w:rPr>
          <w:rFonts w:ascii="Arial" w:cs="Arial" w:eastAsia="Arial" w:hAnsi="Arial"/>
          <w:sz w:val="22"/>
          <w:szCs w:val="22"/>
          <w:color w:val="auto"/>
        </w:rPr>
        <w:t>$102.7 billion of Agency MBS and TBA securities, including:</w:t>
      </w:r>
    </w:p>
    <w:p>
      <w:pPr>
        <w:spacing w:after="0" w:line="3" w:lineRule="exact"/>
        <w:rPr>
          <w:rFonts w:ascii="Arial" w:cs="Arial" w:eastAsia="Arial" w:hAnsi="Arial"/>
          <w:sz w:val="22"/>
          <w:szCs w:val="22"/>
          <w:color w:val="auto"/>
        </w:rPr>
      </w:pPr>
    </w:p>
    <w:p>
      <w:pPr>
        <w:ind w:left="1300" w:hanging="320"/>
        <w:spacing w:after="0"/>
        <w:tabs>
          <w:tab w:leader="none" w:pos="1300" w:val="left"/>
        </w:tabs>
        <w:numPr>
          <w:ilvl w:val="1"/>
          <w:numId w:val="5"/>
        </w:numPr>
        <w:rPr>
          <w:rFonts w:ascii="Arial" w:cs="Arial" w:eastAsia="Arial" w:hAnsi="Arial"/>
          <w:sz w:val="22"/>
          <w:szCs w:val="22"/>
          <w:color w:val="auto"/>
        </w:rPr>
      </w:pPr>
      <w:r>
        <w:rPr>
          <w:rFonts w:ascii="Arial" w:cs="Arial" w:eastAsia="Arial" w:hAnsi="Arial"/>
          <w:sz w:val="22"/>
          <w:szCs w:val="22"/>
          <w:color w:val="auto"/>
        </w:rPr>
        <w:t>$101.8 billion of fixed-rate securities, comprised of:</w:t>
      </w:r>
    </w:p>
    <w:p>
      <w:pPr>
        <w:spacing w:after="0" w:line="3" w:lineRule="exact"/>
        <w:rPr>
          <w:rFonts w:ascii="Arial" w:cs="Arial" w:eastAsia="Arial" w:hAnsi="Arial"/>
          <w:sz w:val="22"/>
          <w:szCs w:val="22"/>
          <w:color w:val="auto"/>
        </w:rPr>
      </w:pPr>
    </w:p>
    <w:p>
      <w:pPr>
        <w:ind w:left="1960" w:hanging="331"/>
        <w:spacing w:after="0"/>
        <w:tabs>
          <w:tab w:leader="none" w:pos="1960" w:val="left"/>
        </w:tabs>
        <w:numPr>
          <w:ilvl w:val="2"/>
          <w:numId w:val="5"/>
        </w:numPr>
        <w:rPr>
          <w:rFonts w:ascii="Arial" w:cs="Arial" w:eastAsia="Arial" w:hAnsi="Arial"/>
          <w:sz w:val="22"/>
          <w:szCs w:val="22"/>
          <w:color w:val="auto"/>
        </w:rPr>
      </w:pPr>
      <w:r>
        <w:rPr>
          <w:rFonts w:ascii="Arial" w:cs="Arial" w:eastAsia="Arial" w:hAnsi="Arial"/>
          <w:sz w:val="22"/>
          <w:szCs w:val="22"/>
          <w:color w:val="auto"/>
        </w:rPr>
        <w:t>$82.7 billion 30-year fixed-rate securities,</w:t>
      </w:r>
    </w:p>
    <w:p>
      <w:pPr>
        <w:spacing w:after="0" w:line="3" w:lineRule="exact"/>
        <w:rPr>
          <w:rFonts w:ascii="Arial" w:cs="Arial" w:eastAsia="Arial" w:hAnsi="Arial"/>
          <w:sz w:val="22"/>
          <w:szCs w:val="22"/>
          <w:color w:val="auto"/>
        </w:rPr>
      </w:pPr>
    </w:p>
    <w:p>
      <w:pPr>
        <w:ind w:left="1960" w:hanging="331"/>
        <w:spacing w:after="0"/>
        <w:tabs>
          <w:tab w:leader="none" w:pos="1960" w:val="left"/>
        </w:tabs>
        <w:numPr>
          <w:ilvl w:val="2"/>
          <w:numId w:val="5"/>
        </w:numPr>
        <w:rPr>
          <w:rFonts w:ascii="Arial" w:cs="Arial" w:eastAsia="Arial" w:hAnsi="Arial"/>
          <w:sz w:val="22"/>
          <w:szCs w:val="22"/>
          <w:color w:val="auto"/>
        </w:rPr>
      </w:pPr>
      <w:r>
        <w:rPr>
          <w:rFonts w:ascii="Arial" w:cs="Arial" w:eastAsia="Arial" w:hAnsi="Arial"/>
          <w:sz w:val="22"/>
          <w:szCs w:val="22"/>
          <w:color w:val="auto"/>
        </w:rPr>
        <w:t>$8.0 billion 30-year TBA securities,</w:t>
      </w:r>
    </w:p>
    <w:p>
      <w:pPr>
        <w:spacing w:after="0" w:line="3" w:lineRule="exact"/>
        <w:rPr>
          <w:rFonts w:ascii="Arial" w:cs="Arial" w:eastAsia="Arial" w:hAnsi="Arial"/>
          <w:sz w:val="22"/>
          <w:szCs w:val="22"/>
          <w:color w:val="auto"/>
        </w:rPr>
      </w:pPr>
    </w:p>
    <w:p>
      <w:pPr>
        <w:ind w:left="1960" w:hanging="331"/>
        <w:spacing w:after="0"/>
        <w:tabs>
          <w:tab w:leader="none" w:pos="1960" w:val="left"/>
        </w:tabs>
        <w:numPr>
          <w:ilvl w:val="2"/>
          <w:numId w:val="5"/>
        </w:numPr>
        <w:rPr>
          <w:rFonts w:ascii="Arial" w:cs="Arial" w:eastAsia="Arial" w:hAnsi="Arial"/>
          <w:sz w:val="22"/>
          <w:szCs w:val="22"/>
          <w:color w:val="auto"/>
        </w:rPr>
      </w:pPr>
      <w:r>
        <w:rPr>
          <w:rFonts w:ascii="Arial" w:cs="Arial" w:eastAsia="Arial" w:hAnsi="Arial"/>
          <w:sz w:val="22"/>
          <w:szCs w:val="22"/>
          <w:color w:val="auto"/>
        </w:rPr>
        <w:t>$7.2 billion 15-year securities,</w:t>
      </w:r>
    </w:p>
    <w:p>
      <w:pPr>
        <w:spacing w:after="0" w:line="3" w:lineRule="exact"/>
        <w:rPr>
          <w:rFonts w:ascii="Arial" w:cs="Arial" w:eastAsia="Arial" w:hAnsi="Arial"/>
          <w:sz w:val="22"/>
          <w:szCs w:val="22"/>
          <w:color w:val="auto"/>
        </w:rPr>
      </w:pPr>
    </w:p>
    <w:p>
      <w:pPr>
        <w:ind w:left="1960" w:hanging="331"/>
        <w:spacing w:after="0"/>
        <w:tabs>
          <w:tab w:leader="none" w:pos="1960" w:val="left"/>
        </w:tabs>
        <w:numPr>
          <w:ilvl w:val="2"/>
          <w:numId w:val="5"/>
        </w:numPr>
        <w:rPr>
          <w:rFonts w:ascii="Arial" w:cs="Arial" w:eastAsia="Arial" w:hAnsi="Arial"/>
          <w:sz w:val="22"/>
          <w:szCs w:val="22"/>
          <w:color w:val="auto"/>
        </w:rPr>
      </w:pPr>
      <w:r>
        <w:rPr>
          <w:rFonts w:ascii="Arial" w:cs="Arial" w:eastAsia="Arial" w:hAnsi="Arial"/>
          <w:sz w:val="22"/>
          <w:szCs w:val="22"/>
          <w:color w:val="auto"/>
        </w:rPr>
        <w:t>$3.2 billion 15-year TBA securities, and</w:t>
      </w:r>
    </w:p>
    <w:p>
      <w:pPr>
        <w:spacing w:after="0" w:line="3" w:lineRule="exact"/>
        <w:rPr>
          <w:rFonts w:ascii="Arial" w:cs="Arial" w:eastAsia="Arial" w:hAnsi="Arial"/>
          <w:sz w:val="22"/>
          <w:szCs w:val="22"/>
          <w:color w:val="auto"/>
        </w:rPr>
      </w:pPr>
    </w:p>
    <w:p>
      <w:pPr>
        <w:ind w:left="1960" w:hanging="331"/>
        <w:spacing w:after="0"/>
        <w:tabs>
          <w:tab w:leader="none" w:pos="1960" w:val="left"/>
        </w:tabs>
        <w:numPr>
          <w:ilvl w:val="2"/>
          <w:numId w:val="5"/>
        </w:numPr>
        <w:rPr>
          <w:rFonts w:ascii="Arial" w:cs="Arial" w:eastAsia="Arial" w:hAnsi="Arial"/>
          <w:sz w:val="22"/>
          <w:szCs w:val="22"/>
          <w:color w:val="auto"/>
        </w:rPr>
      </w:pPr>
      <w:r>
        <w:rPr>
          <w:rFonts w:ascii="Arial" w:cs="Arial" w:eastAsia="Arial" w:hAnsi="Arial"/>
          <w:sz w:val="22"/>
          <w:szCs w:val="22"/>
          <w:color w:val="auto"/>
        </w:rPr>
        <w:t>$0.8 billion 20-year fixed-rate securities;</w:t>
      </w:r>
    </w:p>
    <w:p>
      <w:pPr>
        <w:spacing w:after="0" w:line="3" w:lineRule="exact"/>
        <w:rPr>
          <w:rFonts w:ascii="Arial" w:cs="Arial" w:eastAsia="Arial" w:hAnsi="Arial"/>
          <w:sz w:val="22"/>
          <w:szCs w:val="22"/>
          <w:color w:val="auto"/>
        </w:rPr>
      </w:pPr>
    </w:p>
    <w:p>
      <w:pPr>
        <w:ind w:left="1300" w:hanging="320"/>
        <w:spacing w:after="0"/>
        <w:tabs>
          <w:tab w:leader="none" w:pos="1300" w:val="left"/>
        </w:tabs>
        <w:numPr>
          <w:ilvl w:val="1"/>
          <w:numId w:val="5"/>
        </w:numPr>
        <w:rPr>
          <w:rFonts w:ascii="Arial" w:cs="Arial" w:eastAsia="Arial" w:hAnsi="Arial"/>
          <w:sz w:val="21"/>
          <w:szCs w:val="21"/>
          <w:color w:val="auto"/>
        </w:rPr>
      </w:pPr>
      <w:r>
        <w:rPr>
          <w:rFonts w:ascii="Arial" w:cs="Arial" w:eastAsia="Arial" w:hAnsi="Arial"/>
          <w:sz w:val="21"/>
          <w:szCs w:val="21"/>
          <w:color w:val="auto"/>
        </w:rPr>
        <w:t>$0.9 billion of collateralized mortgage obligations ("CMOs"), adjustable-rate and other Agency securities;</w:t>
      </w:r>
    </w:p>
    <w:p>
      <w:pPr>
        <w:spacing w:after="0" w:line="15" w:lineRule="exact"/>
        <w:rPr>
          <w:rFonts w:ascii="Arial" w:cs="Arial" w:eastAsia="Arial" w:hAnsi="Arial"/>
          <w:sz w:val="21"/>
          <w:szCs w:val="21"/>
          <w:color w:val="auto"/>
        </w:rPr>
      </w:pPr>
    </w:p>
    <w:p>
      <w:pPr>
        <w:ind w:left="660" w:hanging="328"/>
        <w:spacing w:after="0"/>
        <w:tabs>
          <w:tab w:leader="none" w:pos="660" w:val="left"/>
        </w:tabs>
        <w:numPr>
          <w:ilvl w:val="0"/>
          <w:numId w:val="5"/>
        </w:numPr>
        <w:rPr>
          <w:rFonts w:ascii="Arial" w:cs="Arial" w:eastAsia="Arial" w:hAnsi="Arial"/>
          <w:sz w:val="22"/>
          <w:szCs w:val="22"/>
          <w:color w:val="auto"/>
        </w:rPr>
      </w:pPr>
      <w:r>
        <w:rPr>
          <w:rFonts w:ascii="Arial" w:cs="Arial" w:eastAsia="Arial" w:hAnsi="Arial"/>
          <w:sz w:val="22"/>
          <w:szCs w:val="22"/>
          <w:color w:val="auto"/>
        </w:rPr>
        <w:t>$1.7 billion of CRT and non-Agency securities.</w:t>
      </w:r>
    </w:p>
    <w:p>
      <w:pPr>
        <w:spacing w:after="0" w:line="166" w:lineRule="exact"/>
        <w:rPr>
          <w:sz w:val="20"/>
          <w:szCs w:val="20"/>
          <w:color w:val="auto"/>
        </w:rPr>
      </w:pPr>
    </w:p>
    <w:p>
      <w:pPr>
        <w:ind w:right="20"/>
        <w:spacing w:after="0" w:line="249" w:lineRule="auto"/>
        <w:rPr>
          <w:sz w:val="20"/>
          <w:szCs w:val="20"/>
          <w:color w:val="auto"/>
        </w:rPr>
      </w:pPr>
      <w:r>
        <w:rPr>
          <w:rFonts w:ascii="Arial" w:cs="Arial" w:eastAsia="Arial" w:hAnsi="Arial"/>
          <w:sz w:val="22"/>
          <w:szCs w:val="22"/>
          <w:color w:val="auto"/>
        </w:rPr>
        <w:t>As of June 30, 2019, 30-year and 15-year fixed-rate Agency securities represented 87% and 10%, of the Company's investment portfolio, respectively, compared to 86% and 10%, respectively, as of March 31, 2019.</w:t>
      </w:r>
    </w:p>
    <w:p>
      <w:pPr>
        <w:spacing w:after="0" w:line="150" w:lineRule="exact"/>
        <w:rPr>
          <w:sz w:val="20"/>
          <w:szCs w:val="20"/>
          <w:color w:val="auto"/>
        </w:rPr>
      </w:pPr>
    </w:p>
    <w:p>
      <w:pPr>
        <w:spacing w:after="0" w:line="249" w:lineRule="auto"/>
        <w:rPr>
          <w:sz w:val="20"/>
          <w:szCs w:val="20"/>
          <w:color w:val="auto"/>
        </w:rPr>
      </w:pPr>
      <w:r>
        <w:rPr>
          <w:rFonts w:ascii="Arial" w:cs="Arial" w:eastAsia="Arial" w:hAnsi="Arial"/>
          <w:sz w:val="22"/>
          <w:szCs w:val="22"/>
          <w:color w:val="auto"/>
        </w:rPr>
        <w:t>As of June 30, 2019, the Company's fixed-rate securities' weighted average coupon declined to 3.75%, compared to 3.83% as of March 31, 2019, comprised of the following weighted average coupons:</w:t>
      </w:r>
    </w:p>
    <w:p>
      <w:pPr>
        <w:spacing w:after="0" w:line="150" w:lineRule="exact"/>
        <w:rPr>
          <w:sz w:val="20"/>
          <w:szCs w:val="20"/>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22"/>
          <w:szCs w:val="22"/>
          <w:color w:val="auto"/>
        </w:rPr>
        <w:t>3.79% for 30-year fixed-rate securities;</w:t>
      </w:r>
    </w:p>
    <w:p>
      <w:pPr>
        <w:spacing w:after="0" w:line="3" w:lineRule="exact"/>
        <w:rPr>
          <w:rFonts w:ascii="Arial" w:cs="Arial" w:eastAsia="Arial" w:hAnsi="Arial"/>
          <w:sz w:val="18"/>
          <w:szCs w:val="18"/>
          <w:color w:val="auto"/>
        </w:rPr>
      </w:pPr>
    </w:p>
    <w:p>
      <w:pPr>
        <w:ind w:left="660" w:hanging="328"/>
        <w:spacing w:after="0"/>
        <w:tabs>
          <w:tab w:leader="none" w:pos="660" w:val="left"/>
        </w:tabs>
        <w:numPr>
          <w:ilvl w:val="0"/>
          <w:numId w:val="6"/>
        </w:numPr>
        <w:rPr>
          <w:rFonts w:ascii="Arial" w:cs="Arial" w:eastAsia="Arial" w:hAnsi="Arial"/>
          <w:sz w:val="22"/>
          <w:szCs w:val="22"/>
          <w:color w:val="auto"/>
        </w:rPr>
      </w:pPr>
      <w:r>
        <w:rPr>
          <w:rFonts w:ascii="Arial" w:cs="Arial" w:eastAsia="Arial" w:hAnsi="Arial"/>
          <w:sz w:val="22"/>
          <w:szCs w:val="22"/>
          <w:color w:val="auto"/>
        </w:rPr>
        <w:t>3.35% for 15-year fixed rate securities; and</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6"/>
        </w:numPr>
        <w:rPr>
          <w:rFonts w:ascii="Arial" w:cs="Arial" w:eastAsia="Arial" w:hAnsi="Arial"/>
          <w:sz w:val="22"/>
          <w:szCs w:val="22"/>
          <w:color w:val="auto"/>
        </w:rPr>
      </w:pPr>
      <w:r>
        <w:rPr>
          <w:rFonts w:ascii="Arial" w:cs="Arial" w:eastAsia="Arial" w:hAnsi="Arial"/>
          <w:sz w:val="22"/>
          <w:szCs w:val="22"/>
          <w:color w:val="auto"/>
        </w:rPr>
        <w:t>3.95% for 20-year fixed-rate securities.</w:t>
      </w:r>
    </w:p>
    <w:p>
      <w:pPr>
        <w:spacing w:after="0" w:line="166" w:lineRule="exact"/>
        <w:rPr>
          <w:sz w:val="20"/>
          <w:szCs w:val="20"/>
          <w:color w:val="auto"/>
        </w:rPr>
      </w:pPr>
    </w:p>
    <w:p>
      <w:pPr>
        <w:jc w:val="both"/>
        <w:ind w:right="20"/>
        <w:spacing w:after="0" w:line="248" w:lineRule="auto"/>
        <w:rPr>
          <w:sz w:val="20"/>
          <w:szCs w:val="20"/>
          <w:color w:val="auto"/>
        </w:rPr>
      </w:pPr>
      <w:r>
        <w:rPr>
          <w:rFonts w:ascii="Arial" w:cs="Arial" w:eastAsia="Arial" w:hAnsi="Arial"/>
          <w:sz w:val="22"/>
          <w:szCs w:val="22"/>
          <w:color w:val="auto"/>
        </w:rPr>
        <w:t>The Company accounts for TBA securities (or "dollar roll funded assets") as derivative instruments and recognizes dollar roll income in other gain (loss), net on the Company's financial statements. As of June 30, 2019, the Company's net TBA position had a total fair value of $11.2 billion and a GAAP net carrying value of $84 million reported in derivative assets/(liabilities) on the Company's balance sheet, compared to a total fair value of $7.0 billion and a GAAP net carrying value of $70 million as of March 31, 2019.</w:t>
      </w:r>
    </w:p>
    <w:p>
      <w:pPr>
        <w:sectPr>
          <w:pgSz w:w="11900" w:h="16838" w:orient="portrait"/>
          <w:cols w:equalWidth="0" w:num="1">
            <w:col w:w="11420"/>
          </w:cols>
          <w:pgMar w:left="240" w:top="147" w:right="239" w:bottom="1440" w:gutter="0" w:footer="0" w:header="0"/>
        </w:sectPr>
      </w:pPr>
    </w:p>
    <w:bookmarkStart w:id="6" w:name="page7"/>
    <w:bookmarkEnd w:id="6"/>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24,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4</w:t>
      </w:r>
    </w:p>
    <w:p>
      <w:pPr>
        <w:spacing w:after="0" w:line="22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CONSTANT PREPAYMENT RATES</w:t>
      </w:r>
    </w:p>
    <w:p>
      <w:pPr>
        <w:spacing w:after="0" w:line="192" w:lineRule="exact"/>
        <w:rPr>
          <w:sz w:val="20"/>
          <w:szCs w:val="20"/>
          <w:color w:val="auto"/>
        </w:rPr>
      </w:pPr>
    </w:p>
    <w:p>
      <w:pPr>
        <w:jc w:val="both"/>
        <w:spacing w:after="0" w:line="246" w:lineRule="auto"/>
        <w:rPr>
          <w:sz w:val="20"/>
          <w:szCs w:val="20"/>
          <w:color w:val="auto"/>
        </w:rPr>
      </w:pPr>
      <w:r>
        <w:rPr>
          <w:rFonts w:ascii="Arial" w:cs="Arial" w:eastAsia="Arial" w:hAnsi="Arial"/>
          <w:sz w:val="22"/>
          <w:szCs w:val="22"/>
          <w:color w:val="auto"/>
        </w:rPr>
        <w:t>The Company's investment portfolio had a weighted average CPR of 10.0% for the second quarter, compared to 6.3% for the prior quarter. The weighted average projected CPR for the remaining life of the Company's Agency securities held as of June 30, 2019 was 12.4%, compared to 10.5% as of March 31, 2019.</w:t>
      </w:r>
    </w:p>
    <w:p>
      <w:pPr>
        <w:spacing w:after="0" w:line="167" w:lineRule="exact"/>
        <w:rPr>
          <w:sz w:val="20"/>
          <w:szCs w:val="20"/>
          <w:color w:val="auto"/>
        </w:rPr>
      </w:pPr>
    </w:p>
    <w:p>
      <w:pPr>
        <w:jc w:val="both"/>
        <w:spacing w:after="0" w:line="258" w:lineRule="auto"/>
        <w:rPr>
          <w:sz w:val="20"/>
          <w:szCs w:val="20"/>
          <w:color w:val="auto"/>
        </w:rPr>
      </w:pPr>
      <w:r>
        <w:rPr>
          <w:rFonts w:ascii="Arial" w:cs="Arial" w:eastAsia="Arial" w:hAnsi="Arial"/>
          <w:sz w:val="21"/>
          <w:szCs w:val="21"/>
          <w:color w:val="auto"/>
        </w:rPr>
        <w:t>The weighted average cost basis of the Company's investment portfolio was 103.4% of par value as of June 30, 2019. Net premium amortization cost on the Company's investment portfolio for the second quarter was $(183) million, or $(0.34) per common share, which includes a "catch-up" premium amortization cost of $(58) million, or $(0.11) per common share, due to changes in the Company's projected CPR estimates for securities acquired prior to the second quarter. This compares to net premium amortization cost for the prior quarter of $(142) million, or $(0.26) per common share, including a "catch-up" premium amortization cost of $(39) million, or $(0.07) per common share.</w:t>
      </w:r>
    </w:p>
    <w:p>
      <w:pPr>
        <w:spacing w:after="0" w:line="21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ASSET YIELDS, COST OF FUNDS AND NET INTEREST RATE SPREAD</w:t>
      </w:r>
    </w:p>
    <w:p>
      <w:pPr>
        <w:spacing w:after="0" w:line="192"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The Company's average asset yield on its investment portfolio, excluding the net TBA position, was 2.99% for the second quarter, compared to 3.14% for the prior quarter. Excluding "catch-up" premium amortization, the Company's average asset yield was 3.24% for the second quarter, compared to 3.31% for the prior quarter. Including TBA securities and excluding "catch-up" premium amortization, the Company's average asset yield for the second quarter was 3.24%, compared to 3.33% for the prior quarter.</w:t>
      </w:r>
    </w:p>
    <w:p>
      <w:pPr>
        <w:spacing w:after="0" w:line="154"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For the second quarter, the weighted average interest rate on the Company's Agency repurchase agreements was 2.62%, compared to 2.64% for the prior quarter. The Company's average implied TBA funding cost was 2.47% for the second quarter, compared to 2.60% for the prior quarter. Inclusive of interest rate swaps, the Company's combined average cost of funds for the second quarter was 2.24%, compared to 2.27% for the prior quarter.</w:t>
      </w:r>
    </w:p>
    <w:p>
      <w:pPr>
        <w:spacing w:after="0" w:line="156" w:lineRule="exact"/>
        <w:rPr>
          <w:sz w:val="20"/>
          <w:szCs w:val="20"/>
          <w:color w:val="auto"/>
        </w:rPr>
      </w:pPr>
    </w:p>
    <w:p>
      <w:pPr>
        <w:jc w:val="both"/>
        <w:spacing w:after="0" w:line="246" w:lineRule="auto"/>
        <w:rPr>
          <w:sz w:val="20"/>
          <w:szCs w:val="20"/>
          <w:color w:val="auto"/>
        </w:rPr>
      </w:pPr>
      <w:r>
        <w:rPr>
          <w:rFonts w:ascii="Arial" w:cs="Arial" w:eastAsia="Arial" w:hAnsi="Arial"/>
          <w:sz w:val="22"/>
          <w:szCs w:val="22"/>
          <w:color w:val="auto"/>
        </w:rPr>
        <w:t>The Company's annualized net interest spread, including TBA securities and interest rate swaps, was 0.78% for the second quarter, compared to 0.90% for the prior quarter. Excluding "catch-up" premium amortization, the Company's combined annualized net interest spread for the second quarter was 1.00%, versus 1.06% for the prior quarter.</w:t>
      </w:r>
    </w:p>
    <w:p>
      <w:pPr>
        <w:spacing w:after="0" w:line="22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NET SPREAD AND DOLLAR ROLL INCOME</w:t>
      </w:r>
    </w:p>
    <w:p>
      <w:pPr>
        <w:spacing w:after="0" w:line="192"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The Company recognized net spread and dollar roll income (a non-GAAP financial measure) for the second quarter of $0.49 per common share, excluding $(0.11) per common share of "catch-up" premium amortization cost, compared to $0.52 per common share for the prior quarter, excluding $(0.07) per common share of "catch-up" premium amortization cost.</w:t>
      </w:r>
    </w:p>
    <w:p>
      <w:pPr>
        <w:spacing w:after="0" w:line="156" w:lineRule="exact"/>
        <w:rPr>
          <w:sz w:val="20"/>
          <w:szCs w:val="20"/>
          <w:color w:val="auto"/>
        </w:rPr>
      </w:pPr>
    </w:p>
    <w:p>
      <w:pPr>
        <w:jc w:val="both"/>
        <w:spacing w:after="0" w:line="249" w:lineRule="auto"/>
        <w:rPr>
          <w:sz w:val="20"/>
          <w:szCs w:val="20"/>
          <w:color w:val="auto"/>
        </w:rPr>
      </w:pPr>
      <w:r>
        <w:rPr>
          <w:rFonts w:ascii="Arial" w:cs="Arial" w:eastAsia="Arial" w:hAnsi="Arial"/>
          <w:sz w:val="22"/>
          <w:szCs w:val="22"/>
          <w:color w:val="auto"/>
        </w:rPr>
        <w:t>A reconciliation of the Company's net interest income to net spread and dollar roll income and additional information regarding the Company's use of non-GAAP measures are included later in this release.</w:t>
      </w:r>
    </w:p>
    <w:p>
      <w:pPr>
        <w:sectPr>
          <w:pgSz w:w="11900" w:h="16838" w:orient="portrait"/>
          <w:cols w:equalWidth="0" w:num="1">
            <w:col w:w="11420"/>
          </w:cols>
          <w:pgMar w:left="240" w:top="147" w:right="239" w:bottom="1440" w:gutter="0" w:footer="0" w:header="0"/>
        </w:sectPr>
      </w:pPr>
    </w:p>
    <w:bookmarkStart w:id="7" w:name="page8"/>
    <w:bookmarkEnd w:id="7"/>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24,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5</w:t>
      </w:r>
    </w:p>
    <w:p>
      <w:pPr>
        <w:spacing w:after="0" w:line="22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LEVERAGE</w:t>
      </w:r>
    </w:p>
    <w:p>
      <w:pPr>
        <w:spacing w:after="0" w:line="192" w:lineRule="exact"/>
        <w:rPr>
          <w:sz w:val="20"/>
          <w:szCs w:val="20"/>
          <w:color w:val="auto"/>
        </w:rPr>
      </w:pPr>
    </w:p>
    <w:p>
      <w:pPr>
        <w:jc w:val="both"/>
        <w:spacing w:after="0" w:line="258" w:lineRule="auto"/>
        <w:rPr>
          <w:sz w:val="20"/>
          <w:szCs w:val="20"/>
          <w:color w:val="auto"/>
        </w:rPr>
      </w:pPr>
      <w:r>
        <w:rPr>
          <w:rFonts w:ascii="Arial" w:cs="Arial" w:eastAsia="Arial" w:hAnsi="Arial"/>
          <w:sz w:val="21"/>
          <w:szCs w:val="21"/>
          <w:color w:val="auto"/>
        </w:rPr>
        <w:t>As of June 30, 2019, $85.1 billion of Agency repurchase agreements, $11.1 billion of TBA dollar roll positions (at cost) and $0.3 billion of other debt were used to fund the Company's investment portfolio. The remainder, or approximately $1.2 billion, of the Company's repurchase agreements was used to fund purchases of U.S. Treasury securities ("U.S. Treasury repo") and is not included in the Company's leverage measurements. Inclusive of its net TBA position and net payable/(receivable) for unsettled investment securities, the Company's tangible net book value "at risk" leverage ratio was 9.8x as of June 30, 2019, compared to 9.4x as of March 31, 2019. The Company's average "at risk" leverage for the second quarter was 10.0x tangible net book value, compared to 9.3x for the prior quarter.</w:t>
      </w:r>
    </w:p>
    <w:p>
      <w:pPr>
        <w:spacing w:after="0" w:line="141"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As of June 30, 2019, the Company's Agency repurchase agreements had a weighted average interest rate of 2.64%, compared to 2.82% as of March 31, 2019, and a weighted average remaining maturity of 80 days, compared to 81 days as of March 31, 2019. As of June 30, 2019, $36.0 billion, or 42%, of the Company's Agency repurchase agreements were funded through the Company's captive broker-dealer subsidiary, Bethesda Securities, LLC.</w:t>
      </w:r>
    </w:p>
    <w:p>
      <w:pPr>
        <w:spacing w:after="0" w:line="156" w:lineRule="exact"/>
        <w:rPr>
          <w:sz w:val="20"/>
          <w:szCs w:val="20"/>
          <w:color w:val="auto"/>
        </w:rPr>
      </w:pPr>
    </w:p>
    <w:p>
      <w:pPr>
        <w:spacing w:after="0"/>
        <w:rPr>
          <w:sz w:val="20"/>
          <w:szCs w:val="20"/>
          <w:color w:val="auto"/>
        </w:rPr>
      </w:pPr>
      <w:r>
        <w:rPr>
          <w:rFonts w:ascii="Arial" w:cs="Arial" w:eastAsia="Arial" w:hAnsi="Arial"/>
          <w:sz w:val="22"/>
          <w:szCs w:val="22"/>
          <w:color w:val="auto"/>
        </w:rPr>
        <w:t>As of June 30, 2019, the Company's Agency repurchase agreements had remaining maturities of:</w:t>
      </w:r>
    </w:p>
    <w:p>
      <w:pPr>
        <w:spacing w:after="0" w:line="166" w:lineRule="exact"/>
        <w:rPr>
          <w:sz w:val="20"/>
          <w:szCs w:val="20"/>
          <w:color w:val="auto"/>
        </w:rPr>
      </w:pPr>
    </w:p>
    <w:p>
      <w:pPr>
        <w:ind w:left="660" w:hanging="328"/>
        <w:spacing w:after="0"/>
        <w:tabs>
          <w:tab w:leader="none" w:pos="660" w:val="left"/>
        </w:tabs>
        <w:numPr>
          <w:ilvl w:val="0"/>
          <w:numId w:val="7"/>
        </w:numPr>
        <w:rPr>
          <w:rFonts w:ascii="Arial" w:cs="Arial" w:eastAsia="Arial" w:hAnsi="Arial"/>
          <w:sz w:val="22"/>
          <w:szCs w:val="22"/>
          <w:color w:val="auto"/>
        </w:rPr>
      </w:pPr>
      <w:r>
        <w:rPr>
          <w:rFonts w:ascii="Arial" w:cs="Arial" w:eastAsia="Arial" w:hAnsi="Arial"/>
          <w:sz w:val="22"/>
          <w:szCs w:val="22"/>
          <w:color w:val="auto"/>
        </w:rPr>
        <w:t>$65.7 billion of three months or less;</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7"/>
        </w:numPr>
        <w:rPr>
          <w:rFonts w:ascii="Arial" w:cs="Arial" w:eastAsia="Arial" w:hAnsi="Arial"/>
          <w:sz w:val="22"/>
          <w:szCs w:val="22"/>
          <w:color w:val="auto"/>
        </w:rPr>
      </w:pPr>
      <w:r>
        <w:rPr>
          <w:rFonts w:ascii="Arial" w:cs="Arial" w:eastAsia="Arial" w:hAnsi="Arial"/>
          <w:sz w:val="22"/>
          <w:szCs w:val="22"/>
          <w:color w:val="auto"/>
        </w:rPr>
        <w:t>$3.9 billion from three to six months;</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7"/>
        </w:numPr>
        <w:rPr>
          <w:rFonts w:ascii="Arial" w:cs="Arial" w:eastAsia="Arial" w:hAnsi="Arial"/>
          <w:sz w:val="22"/>
          <w:szCs w:val="22"/>
          <w:color w:val="auto"/>
        </w:rPr>
      </w:pPr>
      <w:r>
        <w:rPr>
          <w:rFonts w:ascii="Arial" w:cs="Arial" w:eastAsia="Arial" w:hAnsi="Arial"/>
          <w:sz w:val="22"/>
          <w:szCs w:val="22"/>
          <w:color w:val="auto"/>
        </w:rPr>
        <w:t>$13.2 billion from six to twelve months; and</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7"/>
        </w:numPr>
        <w:rPr>
          <w:rFonts w:ascii="Arial" w:cs="Arial" w:eastAsia="Arial" w:hAnsi="Arial"/>
          <w:sz w:val="22"/>
          <w:szCs w:val="22"/>
          <w:color w:val="auto"/>
        </w:rPr>
      </w:pPr>
      <w:r>
        <w:rPr>
          <w:rFonts w:ascii="Arial" w:cs="Arial" w:eastAsia="Arial" w:hAnsi="Arial"/>
          <w:sz w:val="22"/>
          <w:szCs w:val="22"/>
          <w:color w:val="auto"/>
        </w:rPr>
        <w:t>$2.3 billion from one to three years.</w:t>
      </w:r>
    </w:p>
    <w:p>
      <w:pPr>
        <w:spacing w:after="0" w:line="23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HEDGING ACTIVITIES</w:t>
      </w:r>
    </w:p>
    <w:p>
      <w:pPr>
        <w:spacing w:after="0" w:line="192" w:lineRule="exact"/>
        <w:rPr>
          <w:sz w:val="20"/>
          <w:szCs w:val="20"/>
          <w:color w:val="auto"/>
        </w:rPr>
      </w:pPr>
    </w:p>
    <w:p>
      <w:pPr>
        <w:jc w:val="both"/>
        <w:spacing w:after="0" w:line="246" w:lineRule="auto"/>
        <w:rPr>
          <w:sz w:val="20"/>
          <w:szCs w:val="20"/>
          <w:color w:val="auto"/>
        </w:rPr>
      </w:pPr>
      <w:r>
        <w:rPr>
          <w:rFonts w:ascii="Arial" w:cs="Arial" w:eastAsia="Arial" w:hAnsi="Arial"/>
          <w:sz w:val="22"/>
          <w:szCs w:val="22"/>
          <w:color w:val="auto"/>
        </w:rPr>
        <w:t>As of June 30, 2019, interest rate swaps, swaptions and U.S. Treasury positions equaled 91% of the Company's outstanding balance of Agency repurchase agreements, net TBA position and other debt, compared to 77% as of March 31, 2019.</w:t>
      </w:r>
    </w:p>
    <w:p>
      <w:pPr>
        <w:spacing w:after="0" w:line="154"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As of June 30, 2019, the Company's interest rate swap position totaled $75.0 billion in notional amount, compared to $48.2 billion as of March 31, 2019. As of June 30, 2019, the Company's interest rate swap portfolio had an average fixed pay rate of 1.72%, an average receive rate of 2.46% and an average maturity of 3.3 years, compared to 2.01%, 2.69% and 4.3 years, respectively, as of March 31, 2019.</w:t>
      </w:r>
    </w:p>
    <w:p>
      <w:pPr>
        <w:spacing w:after="0" w:line="156" w:lineRule="exact"/>
        <w:rPr>
          <w:sz w:val="20"/>
          <w:szCs w:val="20"/>
          <w:color w:val="auto"/>
        </w:rPr>
      </w:pPr>
    </w:p>
    <w:p>
      <w:pPr>
        <w:jc w:val="both"/>
        <w:spacing w:after="0" w:line="246" w:lineRule="auto"/>
        <w:rPr>
          <w:sz w:val="20"/>
          <w:szCs w:val="20"/>
          <w:color w:val="auto"/>
        </w:rPr>
      </w:pPr>
      <w:r>
        <w:rPr>
          <w:rFonts w:ascii="Arial" w:cs="Arial" w:eastAsia="Arial" w:hAnsi="Arial"/>
          <w:sz w:val="22"/>
          <w:szCs w:val="22"/>
          <w:color w:val="auto"/>
        </w:rPr>
        <w:t>As of June 30, 2019, the Company had payer swaptions outstanding totaling $4.4 billion, compared to $2.6 billion as of March 31, 2019. As of June 30, 2019, the Company had short U.S. Treasury positions outstanding totaling $8.7 billion, compared to $21.2 billion as of March 31, 2019.</w:t>
      </w:r>
    </w:p>
    <w:p>
      <w:pPr>
        <w:spacing w:after="0" w:line="22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OTHER GAIN (LOSS), NET</w:t>
      </w:r>
    </w:p>
    <w:p>
      <w:pPr>
        <w:spacing w:after="0" w:line="192" w:lineRule="exact"/>
        <w:rPr>
          <w:sz w:val="20"/>
          <w:szCs w:val="20"/>
          <w:color w:val="auto"/>
        </w:rPr>
      </w:pPr>
    </w:p>
    <w:p>
      <w:pPr>
        <w:jc w:val="both"/>
        <w:spacing w:after="0" w:line="246" w:lineRule="auto"/>
        <w:rPr>
          <w:sz w:val="20"/>
          <w:szCs w:val="20"/>
          <w:color w:val="auto"/>
        </w:rPr>
      </w:pPr>
      <w:r>
        <w:rPr>
          <w:rFonts w:ascii="Arial" w:cs="Arial" w:eastAsia="Arial" w:hAnsi="Arial"/>
          <w:sz w:val="22"/>
          <w:szCs w:val="22"/>
          <w:color w:val="auto"/>
        </w:rPr>
        <w:t>For the second quarter, the Company recorded a net loss of $(547) million in other gain (loss), net, or $(1.02) per common share, compared to a net gain of $120 million, or $0.22 per common share, for the prior quarter. Other gain (loss), net for the second quarter was comprised of:</w:t>
      </w:r>
    </w:p>
    <w:p>
      <w:pPr>
        <w:spacing w:after="0" w:line="154" w:lineRule="exact"/>
        <w:rPr>
          <w:sz w:val="20"/>
          <w:szCs w:val="20"/>
          <w:color w:val="auto"/>
        </w:rPr>
      </w:pPr>
    </w:p>
    <w:p>
      <w:pPr>
        <w:ind w:left="660" w:hanging="328"/>
        <w:spacing w:after="0"/>
        <w:tabs>
          <w:tab w:leader="none" w:pos="660" w:val="left"/>
        </w:tabs>
        <w:numPr>
          <w:ilvl w:val="0"/>
          <w:numId w:val="8"/>
        </w:numPr>
        <w:rPr>
          <w:rFonts w:ascii="Arial" w:cs="Arial" w:eastAsia="Arial" w:hAnsi="Arial"/>
          <w:sz w:val="22"/>
          <w:szCs w:val="22"/>
          <w:color w:val="auto"/>
        </w:rPr>
      </w:pPr>
      <w:r>
        <w:rPr>
          <w:rFonts w:ascii="Arial" w:cs="Arial" w:eastAsia="Arial" w:hAnsi="Arial"/>
          <w:sz w:val="22"/>
          <w:szCs w:val="22"/>
          <w:color w:val="auto"/>
        </w:rPr>
        <w:t>$132 million of net realized gains on sales of investment securities;</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8"/>
        </w:numPr>
        <w:rPr>
          <w:rFonts w:ascii="Arial" w:cs="Arial" w:eastAsia="Arial" w:hAnsi="Arial"/>
          <w:sz w:val="22"/>
          <w:szCs w:val="22"/>
          <w:color w:val="auto"/>
        </w:rPr>
      </w:pPr>
      <w:r>
        <w:rPr>
          <w:rFonts w:ascii="Arial" w:cs="Arial" w:eastAsia="Arial" w:hAnsi="Arial"/>
          <w:sz w:val="22"/>
          <w:szCs w:val="22"/>
          <w:color w:val="auto"/>
        </w:rPr>
        <w:t>$759 million of net unrealized gains on investment securities measured at fair value through net income;</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8"/>
        </w:numPr>
        <w:rPr>
          <w:rFonts w:ascii="Arial" w:cs="Arial" w:eastAsia="Arial" w:hAnsi="Arial"/>
          <w:sz w:val="22"/>
          <w:szCs w:val="22"/>
          <w:color w:val="auto"/>
        </w:rPr>
      </w:pPr>
      <w:r>
        <w:rPr>
          <w:rFonts w:ascii="Arial" w:cs="Arial" w:eastAsia="Arial" w:hAnsi="Arial"/>
          <w:sz w:val="22"/>
          <w:szCs w:val="22"/>
          <w:color w:val="auto"/>
        </w:rPr>
        <w:t>$88 million of interest rate swap periodic income;</w:t>
      </w:r>
    </w:p>
    <w:p>
      <w:pPr>
        <w:sectPr>
          <w:pgSz w:w="11900" w:h="16838" w:orient="portrait"/>
          <w:cols w:equalWidth="0" w:num="1">
            <w:col w:w="11420"/>
          </w:cols>
          <w:pgMar w:left="240" w:top="147" w:right="239" w:bottom="1440" w:gutter="0" w:footer="0" w:header="0"/>
        </w:sectPr>
      </w:pPr>
    </w:p>
    <w:bookmarkStart w:id="8" w:name="page9"/>
    <w:bookmarkEnd w:id="8"/>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24,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6</w:t>
      </w:r>
    </w:p>
    <w:p>
      <w:pPr>
        <w:spacing w:after="0" w:line="247" w:lineRule="exact"/>
        <w:rPr>
          <w:sz w:val="20"/>
          <w:szCs w:val="20"/>
          <w:color w:val="auto"/>
        </w:rPr>
      </w:pPr>
    </w:p>
    <w:p>
      <w:pPr>
        <w:ind w:left="660" w:hanging="328"/>
        <w:spacing w:after="0"/>
        <w:tabs>
          <w:tab w:leader="none" w:pos="660" w:val="left"/>
        </w:tabs>
        <w:numPr>
          <w:ilvl w:val="0"/>
          <w:numId w:val="9"/>
        </w:numPr>
        <w:rPr>
          <w:rFonts w:ascii="Arial" w:cs="Arial" w:eastAsia="Arial" w:hAnsi="Arial"/>
          <w:sz w:val="22"/>
          <w:szCs w:val="22"/>
          <w:color w:val="auto"/>
        </w:rPr>
      </w:pPr>
      <w:r>
        <w:rPr>
          <w:rFonts w:ascii="Arial" w:cs="Arial" w:eastAsia="Arial" w:hAnsi="Arial"/>
          <w:sz w:val="22"/>
          <w:szCs w:val="22"/>
          <w:color w:val="auto"/>
        </w:rPr>
        <w:t>$(1,107) million of net losses on interest rate swaps;</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9"/>
        </w:numPr>
        <w:rPr>
          <w:rFonts w:ascii="Arial" w:cs="Arial" w:eastAsia="Arial" w:hAnsi="Arial"/>
          <w:sz w:val="22"/>
          <w:szCs w:val="22"/>
          <w:color w:val="auto"/>
        </w:rPr>
      </w:pPr>
      <w:r>
        <w:rPr>
          <w:rFonts w:ascii="Arial" w:cs="Arial" w:eastAsia="Arial" w:hAnsi="Arial"/>
          <w:sz w:val="22"/>
          <w:szCs w:val="22"/>
          <w:color w:val="auto"/>
        </w:rPr>
        <w:t>$(25) million of net losses on interest rate swaptions;</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9"/>
        </w:numPr>
        <w:rPr>
          <w:rFonts w:ascii="Arial" w:cs="Arial" w:eastAsia="Arial" w:hAnsi="Arial"/>
          <w:sz w:val="22"/>
          <w:szCs w:val="22"/>
          <w:color w:val="auto"/>
        </w:rPr>
      </w:pPr>
      <w:r>
        <w:rPr>
          <w:rFonts w:ascii="Arial" w:cs="Arial" w:eastAsia="Arial" w:hAnsi="Arial"/>
          <w:sz w:val="22"/>
          <w:szCs w:val="22"/>
          <w:color w:val="auto"/>
        </w:rPr>
        <w:t>$(556) million of net losses on U.S. Treasury positions;</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9"/>
        </w:numPr>
        <w:rPr>
          <w:rFonts w:ascii="Arial" w:cs="Arial" w:eastAsia="Arial" w:hAnsi="Arial"/>
          <w:sz w:val="22"/>
          <w:szCs w:val="22"/>
          <w:color w:val="auto"/>
        </w:rPr>
      </w:pPr>
      <w:r>
        <w:rPr>
          <w:rFonts w:ascii="Arial" w:cs="Arial" w:eastAsia="Arial" w:hAnsi="Arial"/>
          <w:sz w:val="22"/>
          <w:szCs w:val="22"/>
          <w:color w:val="auto"/>
        </w:rPr>
        <w:t>$22 million of TBA dollar roll income;</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9"/>
        </w:numPr>
        <w:rPr>
          <w:rFonts w:ascii="Arial" w:cs="Arial" w:eastAsia="Arial" w:hAnsi="Arial"/>
          <w:sz w:val="22"/>
          <w:szCs w:val="22"/>
          <w:color w:val="auto"/>
        </w:rPr>
      </w:pPr>
      <w:r>
        <w:rPr>
          <w:rFonts w:ascii="Arial" w:cs="Arial" w:eastAsia="Arial" w:hAnsi="Arial"/>
          <w:sz w:val="22"/>
          <w:szCs w:val="22"/>
          <w:color w:val="auto"/>
        </w:rPr>
        <w:t>$141 million of net mark-to-market gains on TBA mortgage positions; and</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9"/>
        </w:numPr>
        <w:rPr>
          <w:rFonts w:ascii="Arial" w:cs="Arial" w:eastAsia="Arial" w:hAnsi="Arial"/>
          <w:sz w:val="22"/>
          <w:szCs w:val="22"/>
          <w:color w:val="auto"/>
        </w:rPr>
      </w:pPr>
      <w:r>
        <w:rPr>
          <w:rFonts w:ascii="Arial" w:cs="Arial" w:eastAsia="Arial" w:hAnsi="Arial"/>
          <w:sz w:val="22"/>
          <w:szCs w:val="22"/>
          <w:color w:val="auto"/>
        </w:rPr>
        <w:t>$(1) million of other miscellaneous losses.</w:t>
      </w:r>
    </w:p>
    <w:p>
      <w:pPr>
        <w:spacing w:after="0" w:line="23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OTHER COMPREHENSIVE INCOME</w:t>
      </w:r>
    </w:p>
    <w:p>
      <w:pPr>
        <w:spacing w:after="0" w:line="192" w:lineRule="exact"/>
        <w:rPr>
          <w:sz w:val="20"/>
          <w:szCs w:val="20"/>
          <w:color w:val="auto"/>
        </w:rPr>
      </w:pPr>
    </w:p>
    <w:p>
      <w:pPr>
        <w:jc w:val="both"/>
        <w:spacing w:after="0" w:line="246" w:lineRule="auto"/>
        <w:rPr>
          <w:sz w:val="20"/>
          <w:szCs w:val="20"/>
          <w:color w:val="auto"/>
        </w:rPr>
      </w:pPr>
      <w:r>
        <w:rPr>
          <w:rFonts w:ascii="Arial" w:cs="Arial" w:eastAsia="Arial" w:hAnsi="Arial"/>
          <w:sz w:val="22"/>
          <w:szCs w:val="22"/>
          <w:color w:val="auto"/>
        </w:rPr>
        <w:t>During the second quarter, the Company recorded other comprehensive income of $379 million, or $0.70 per common share, consisting of net unrealized gains on the Company's Agency securities recognized through OCI, compared to a $400 million, or $0.75 per common share, of other comprehensive income for the prior quarter.</w:t>
      </w:r>
    </w:p>
    <w:p>
      <w:pPr>
        <w:spacing w:after="0" w:line="22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COMMON STOCK DIVIDENDS</w:t>
      </w:r>
    </w:p>
    <w:p>
      <w:pPr>
        <w:spacing w:after="0" w:line="192"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During the second quarter, the Company declared dividends of $0.18, $0.16 and $0.16 per share to common stockholders of record as of April 30, May 31 and June 28, 2019, respectively, totaling $0.50 per share for the quarter, which were paid on May 9, June 11, and July 10, 2019, respectively. Since its May 2008 initial public offering through the second quarter of 2019, the Company has declared a total of $9.1 billion in common stock dividends, or $40.36 per common share.</w:t>
      </w: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STOCK REPURCHASE PROGRAM</w:t>
      </w:r>
    </w:p>
    <w:p>
      <w:pPr>
        <w:spacing w:after="0" w:line="192"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The Company also announced that its Board of Directors has authorized it to repurchase up to $1 billion of its outstanding shares of common stock through December 31, 2020. The Company may repurchase shares in the open market or privately negotiated transactions or pursuant to a trading plan that may be adopted in accordance with Rule 10b5-1 of the Securities and Exchange Act of 1934, as amended. The Company intends to repurchase shares under the stock repurchase program only when the repurchase price is less than its then-current estimate of its tangible net book value per common share.</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FINANCIAL STATEMENTS, OPERATING PERFORMANCE AND PORTFOLIO STATISTICS</w:t>
      </w:r>
    </w:p>
    <w:p>
      <w:pPr>
        <w:spacing w:after="0" w:line="192"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The following measures of operating performance include net spread and dollar roll income; net spread and dollar roll income, excluding "catch-up" premium amortization; economic interest income; economic interest expense; estimated taxable income; and the related per common share measures and financial metrics derived from such information, which are non-GAAP financial measures. Please refer to "Use of Non-GAAP Financial Information" later in this release for further discussion of non-GAAP measures.</w:t>
      </w:r>
    </w:p>
    <w:p>
      <w:pPr>
        <w:sectPr>
          <w:pgSz w:w="11900" w:h="16838" w:orient="portrait"/>
          <w:cols w:equalWidth="0" w:num="1">
            <w:col w:w="11420"/>
          </w:cols>
          <w:pgMar w:left="240" w:top="147" w:right="239" w:bottom="1440" w:gutter="0" w:footer="0" w:header="0"/>
        </w:sectPr>
      </w:pPr>
    </w:p>
    <w:bookmarkStart w:id="9" w:name="page10"/>
    <w:bookmarkEnd w:id="9"/>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24,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7</w:t>
      </w:r>
    </w:p>
    <w:p>
      <w:pPr>
        <w:spacing w:after="0" w:line="383" w:lineRule="exact"/>
        <w:rPr>
          <w:sz w:val="20"/>
          <w:szCs w:val="20"/>
          <w:color w:val="auto"/>
        </w:rPr>
      </w:pPr>
    </w:p>
    <w:p>
      <w:pPr>
        <w:jc w:val="center"/>
        <w:ind w:right="879"/>
        <w:spacing w:after="0"/>
        <w:rPr>
          <w:sz w:val="20"/>
          <w:szCs w:val="20"/>
          <w:color w:val="auto"/>
        </w:rPr>
      </w:pPr>
      <w:r>
        <w:rPr>
          <w:rFonts w:ascii="Arial" w:cs="Arial" w:eastAsia="Arial" w:hAnsi="Arial"/>
          <w:sz w:val="14"/>
          <w:szCs w:val="14"/>
          <w:color w:val="auto"/>
        </w:rPr>
        <w:t>AGNC INVESTMENT CORP.</w:t>
      </w:r>
    </w:p>
    <w:p>
      <w:pPr>
        <w:spacing w:after="0" w:line="42" w:lineRule="exact"/>
        <w:rPr>
          <w:sz w:val="20"/>
          <w:szCs w:val="20"/>
          <w:color w:val="auto"/>
        </w:rPr>
      </w:pPr>
    </w:p>
    <w:p>
      <w:pPr>
        <w:jc w:val="center"/>
        <w:ind w:right="879"/>
        <w:spacing w:after="0"/>
        <w:rPr>
          <w:sz w:val="20"/>
          <w:szCs w:val="20"/>
          <w:color w:val="auto"/>
        </w:rPr>
      </w:pPr>
      <w:r>
        <w:rPr>
          <w:rFonts w:ascii="Arial" w:cs="Arial" w:eastAsia="Arial" w:hAnsi="Arial"/>
          <w:sz w:val="14"/>
          <w:szCs w:val="14"/>
          <w:color w:val="auto"/>
        </w:rPr>
        <w:t>CONSOLIDATED BALANCE SHEETS</w:t>
      </w:r>
    </w:p>
    <w:p>
      <w:pPr>
        <w:spacing w:after="0" w:line="42" w:lineRule="exact"/>
        <w:rPr>
          <w:sz w:val="20"/>
          <w:szCs w:val="20"/>
          <w:color w:val="auto"/>
        </w:rPr>
      </w:pPr>
    </w:p>
    <w:p>
      <w:pPr>
        <w:jc w:val="center"/>
        <w:ind w:right="879"/>
        <w:spacing w:after="0"/>
        <w:rPr>
          <w:sz w:val="20"/>
          <w:szCs w:val="20"/>
          <w:color w:val="auto"/>
        </w:rPr>
      </w:pPr>
      <w:r>
        <w:rPr>
          <w:rFonts w:ascii="Arial" w:cs="Arial" w:eastAsia="Arial" w:hAnsi="Arial"/>
          <w:sz w:val="14"/>
          <w:szCs w:val="14"/>
          <w:color w:val="auto"/>
        </w:rPr>
        <w:t>(in millions, except per share data)</w:t>
      </w:r>
    </w:p>
    <w:p>
      <w:pPr>
        <w:spacing w:after="0" w:line="35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gridSpan w:val="2"/>
          </w:tcPr>
          <w:p>
            <w:pPr>
              <w:ind w:left="220"/>
              <w:spacing w:after="0"/>
              <w:rPr>
                <w:sz w:val="20"/>
                <w:szCs w:val="20"/>
                <w:color w:val="auto"/>
              </w:rPr>
            </w:pPr>
            <w:r>
              <w:rPr>
                <w:rFonts w:ascii="Arial" w:cs="Arial" w:eastAsia="Arial" w:hAnsi="Arial"/>
                <w:sz w:val="14"/>
                <w:szCs w:val="14"/>
                <w:color w:val="auto"/>
              </w:rPr>
              <w:t>June 30,</w:t>
            </w:r>
          </w:p>
        </w:tc>
        <w:tc>
          <w:tcPr>
            <w:tcW w:w="1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gridSpan w:val="2"/>
          </w:tcPr>
          <w:p>
            <w:pPr>
              <w:spacing w:after="0"/>
              <w:rPr>
                <w:sz w:val="20"/>
                <w:szCs w:val="20"/>
                <w:color w:val="auto"/>
              </w:rPr>
            </w:pPr>
            <w:r>
              <w:rPr>
                <w:rFonts w:ascii="Arial" w:cs="Arial" w:eastAsia="Arial" w:hAnsi="Arial"/>
                <w:sz w:val="14"/>
                <w:szCs w:val="14"/>
                <w:color w:val="auto"/>
              </w:rPr>
              <w:t>December 31,</w:t>
            </w:r>
          </w:p>
        </w:tc>
        <w:tc>
          <w:tcPr>
            <w:tcW w:w="1120" w:type="dxa"/>
            <w:vAlign w:val="bottom"/>
            <w:gridSpan w:val="3"/>
          </w:tcPr>
          <w:p>
            <w:pPr>
              <w:jc w:val="center"/>
              <w:ind w:right="120"/>
              <w:spacing w:after="0"/>
              <w:rPr>
                <w:sz w:val="20"/>
                <w:szCs w:val="20"/>
                <w:color w:val="auto"/>
              </w:rPr>
            </w:pPr>
            <w:r>
              <w:rPr>
                <w:rFonts w:ascii="Arial" w:cs="Arial" w:eastAsia="Arial" w:hAnsi="Arial"/>
                <w:sz w:val="14"/>
                <w:szCs w:val="14"/>
                <w:color w:val="auto"/>
                <w:w w:val="91"/>
              </w:rPr>
              <w:t>September 30,</w:t>
            </w:r>
          </w:p>
        </w:tc>
        <w:tc>
          <w:tcPr>
            <w:tcW w:w="140" w:type="dxa"/>
            <w:vAlign w:val="bottom"/>
          </w:tcPr>
          <w:p>
            <w:pPr>
              <w:spacing w:after="0"/>
              <w:rPr>
                <w:sz w:val="14"/>
                <w:szCs w:val="14"/>
                <w:color w:val="auto"/>
              </w:rPr>
            </w:pPr>
          </w:p>
        </w:tc>
        <w:tc>
          <w:tcPr>
            <w:tcW w:w="860" w:type="dxa"/>
            <w:vAlign w:val="bottom"/>
          </w:tcPr>
          <w:p>
            <w:pPr>
              <w:jc w:val="right"/>
              <w:ind w:right="108"/>
              <w:spacing w:after="0"/>
              <w:rPr>
                <w:sz w:val="20"/>
                <w:szCs w:val="20"/>
                <w:color w:val="auto"/>
              </w:rPr>
            </w:pPr>
            <w:r>
              <w:rPr>
                <w:rFonts w:ascii="Arial" w:cs="Arial" w:eastAsia="Arial" w:hAnsi="Arial"/>
                <w:sz w:val="14"/>
                <w:szCs w:val="14"/>
                <w:color w:val="auto"/>
              </w:rPr>
              <w:t>June 30,</w:t>
            </w:r>
          </w:p>
        </w:tc>
        <w:tc>
          <w:tcPr>
            <w:tcW w:w="0" w:type="dxa"/>
            <w:vAlign w:val="bottom"/>
          </w:tcPr>
          <w:p>
            <w:pPr>
              <w:spacing w:after="0"/>
              <w:rPr>
                <w:sz w:val="1"/>
                <w:szCs w:val="1"/>
                <w:color w:val="auto"/>
              </w:rPr>
            </w:pPr>
          </w:p>
        </w:tc>
      </w:tr>
      <w:tr>
        <w:trPr>
          <w:trHeight w:val="188"/>
        </w:trPr>
        <w:tc>
          <w:tcPr>
            <w:tcW w:w="384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2019</w:t>
            </w:r>
          </w:p>
        </w:tc>
        <w:tc>
          <w:tcPr>
            <w:tcW w:w="120" w:type="dxa"/>
            <w:vAlign w:val="bottom"/>
          </w:tcPr>
          <w:p>
            <w:pPr>
              <w:spacing w:after="0"/>
              <w:rPr>
                <w:sz w:val="16"/>
                <w:szCs w:val="16"/>
                <w:color w:val="auto"/>
              </w:rPr>
            </w:pPr>
          </w:p>
        </w:tc>
        <w:tc>
          <w:tcPr>
            <w:tcW w:w="10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color w:val="auto"/>
                <w:w w:val="94"/>
              </w:rPr>
              <w:t>March 31, 2019</w:t>
            </w: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color w:val="auto"/>
              </w:rPr>
              <w:t>2018</w:t>
            </w:r>
          </w:p>
        </w:tc>
        <w:tc>
          <w:tcPr>
            <w:tcW w:w="1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color w:val="auto"/>
                <w:w w:val="89"/>
              </w:rPr>
              <w:t>2018</w:t>
            </w: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2018</w:t>
            </w:r>
          </w:p>
        </w:tc>
        <w:tc>
          <w:tcPr>
            <w:tcW w:w="0" w:type="dxa"/>
            <w:vAlign w:val="bottom"/>
          </w:tcPr>
          <w:p>
            <w:pPr>
              <w:spacing w:after="0"/>
              <w:rPr>
                <w:sz w:val="1"/>
                <w:szCs w:val="1"/>
                <w:color w:val="auto"/>
              </w:rPr>
            </w:pPr>
          </w:p>
        </w:tc>
      </w:tr>
      <w:tr>
        <w:trPr>
          <w:trHeight w:val="264"/>
        </w:trPr>
        <w:tc>
          <w:tcPr>
            <w:tcW w:w="38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gridSpan w:val="2"/>
          </w:tcPr>
          <w:p>
            <w:pPr>
              <w:ind w:left="40"/>
              <w:spacing w:after="0"/>
              <w:rPr>
                <w:sz w:val="20"/>
                <w:szCs w:val="20"/>
                <w:color w:val="auto"/>
              </w:rPr>
            </w:pPr>
            <w:r>
              <w:rPr>
                <w:rFonts w:ascii="Arial" w:cs="Arial" w:eastAsia="Arial" w:hAnsi="Arial"/>
                <w:sz w:val="14"/>
                <w:szCs w:val="14"/>
                <w:color w:val="auto"/>
              </w:rPr>
              <w:t>(unaudited)</w:t>
            </w:r>
          </w:p>
        </w:tc>
        <w:tc>
          <w:tcPr>
            <w:tcW w:w="120" w:type="dxa"/>
            <w:vAlign w:val="bottom"/>
          </w:tcPr>
          <w:p>
            <w:pPr>
              <w:spacing w:after="0"/>
              <w:rPr>
                <w:sz w:val="22"/>
                <w:szCs w:val="22"/>
                <w:color w:val="auto"/>
              </w:rPr>
            </w:pPr>
          </w:p>
        </w:tc>
        <w:tc>
          <w:tcPr>
            <w:tcW w:w="1000" w:type="dxa"/>
            <w:vAlign w:val="bottom"/>
            <w:gridSpan w:val="2"/>
          </w:tcPr>
          <w:p>
            <w:pPr>
              <w:jc w:val="center"/>
              <w:ind w:right="260"/>
              <w:spacing w:after="0"/>
              <w:rPr>
                <w:sz w:val="20"/>
                <w:szCs w:val="20"/>
                <w:color w:val="auto"/>
              </w:rPr>
            </w:pPr>
            <w:r>
              <w:rPr>
                <w:rFonts w:ascii="Arial" w:cs="Arial" w:eastAsia="Arial" w:hAnsi="Arial"/>
                <w:sz w:val="14"/>
                <w:szCs w:val="14"/>
                <w:color w:val="auto"/>
                <w:w w:val="93"/>
              </w:rPr>
              <w:t>(unaudited)</w:t>
            </w: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color w:val="auto"/>
                <w:w w:val="95"/>
              </w:rPr>
              <w:t>(unaudited)</w:t>
            </w:r>
          </w:p>
        </w:tc>
        <w:tc>
          <w:tcPr>
            <w:tcW w:w="140" w:type="dxa"/>
            <w:vAlign w:val="bottom"/>
          </w:tcPr>
          <w:p>
            <w:pPr>
              <w:spacing w:after="0"/>
              <w:rPr>
                <w:sz w:val="22"/>
                <w:szCs w:val="22"/>
                <w:color w:val="auto"/>
              </w:rPr>
            </w:pPr>
          </w:p>
        </w:tc>
        <w:tc>
          <w:tcPr>
            <w:tcW w:w="860" w:type="dxa"/>
            <w:vAlign w:val="bottom"/>
          </w:tcPr>
          <w:p>
            <w:pPr>
              <w:jc w:val="right"/>
              <w:ind w:right="88"/>
              <w:spacing w:after="0"/>
              <w:rPr>
                <w:sz w:val="20"/>
                <w:szCs w:val="20"/>
                <w:color w:val="auto"/>
              </w:rPr>
            </w:pPr>
            <w:r>
              <w:rPr>
                <w:rFonts w:ascii="Arial" w:cs="Arial" w:eastAsia="Arial" w:hAnsi="Arial"/>
                <w:sz w:val="14"/>
                <w:szCs w:val="14"/>
                <w:color w:val="auto"/>
                <w:w w:val="95"/>
              </w:rPr>
              <w:t>(unaudited)</w:t>
            </w:r>
          </w:p>
        </w:tc>
        <w:tc>
          <w:tcPr>
            <w:tcW w:w="0" w:type="dxa"/>
            <w:vAlign w:val="bottom"/>
          </w:tcPr>
          <w:p>
            <w:pPr>
              <w:spacing w:after="0"/>
              <w:rPr>
                <w:sz w:val="1"/>
                <w:szCs w:val="1"/>
                <w:color w:val="auto"/>
              </w:rPr>
            </w:pPr>
          </w:p>
        </w:tc>
      </w:tr>
      <w:tr>
        <w:trPr>
          <w:trHeight w:val="276"/>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Assets:</w:t>
            </w: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3840" w:type="dxa"/>
            <w:vAlign w:val="bottom"/>
          </w:tcPr>
          <w:p>
            <w:pPr>
              <w:ind w:left="180"/>
              <w:spacing w:after="0" w:line="157" w:lineRule="exact"/>
              <w:rPr>
                <w:sz w:val="20"/>
                <w:szCs w:val="20"/>
                <w:color w:val="auto"/>
              </w:rPr>
            </w:pPr>
            <w:r>
              <w:rPr>
                <w:rFonts w:ascii="Arial" w:cs="Arial" w:eastAsia="Arial" w:hAnsi="Arial"/>
                <w:sz w:val="14"/>
                <w:szCs w:val="14"/>
                <w:color w:val="auto"/>
                <w:w w:val="98"/>
              </w:rPr>
              <w:t>Agency securities, at fair value (including pledged securities</w:t>
            </w: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3840" w:type="dxa"/>
            <w:vAlign w:val="bottom"/>
          </w:tcPr>
          <w:p>
            <w:pPr>
              <w:ind w:left="180"/>
              <w:spacing w:after="0" w:line="149" w:lineRule="exact"/>
              <w:rPr>
                <w:sz w:val="20"/>
                <w:szCs w:val="20"/>
                <w:color w:val="auto"/>
              </w:rPr>
            </w:pPr>
            <w:r>
              <w:rPr>
                <w:rFonts w:ascii="Arial" w:cs="Arial" w:eastAsia="Arial" w:hAnsi="Arial"/>
                <w:sz w:val="14"/>
                <w:szCs w:val="14"/>
                <w:color w:val="auto"/>
              </w:rPr>
              <w:t>of $87,582, $89,471, $78,619, $67,889 and $51,356,</w:t>
            </w:r>
          </w:p>
        </w:tc>
        <w:tc>
          <w:tcPr>
            <w:tcW w:w="1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8"/>
        </w:trPr>
        <w:tc>
          <w:tcPr>
            <w:tcW w:w="3840" w:type="dxa"/>
            <w:vAlign w:val="bottom"/>
          </w:tcPr>
          <w:p>
            <w:pPr>
              <w:ind w:left="180"/>
              <w:spacing w:after="0"/>
              <w:rPr>
                <w:sz w:val="20"/>
                <w:szCs w:val="20"/>
                <w:color w:val="auto"/>
              </w:rPr>
            </w:pPr>
            <w:r>
              <w:rPr>
                <w:rFonts w:ascii="Arial" w:cs="Arial" w:eastAsia="Arial" w:hAnsi="Arial"/>
                <w:sz w:val="14"/>
                <w:szCs w:val="14"/>
                <w:color w:val="auto"/>
              </w:rPr>
              <w:t>respectively)</w:t>
            </w: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91,140</w:t>
            </w:r>
          </w:p>
        </w:tc>
        <w:tc>
          <w:tcPr>
            <w:tcW w:w="12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93,044</w:t>
            </w:r>
          </w:p>
        </w:tc>
        <w:tc>
          <w:tcPr>
            <w:tcW w:w="120" w:type="dxa"/>
            <w:vAlign w:val="bottom"/>
          </w:tcPr>
          <w:p>
            <w:pPr>
              <w:spacing w:after="0"/>
              <w:rPr>
                <w:sz w:val="16"/>
                <w:szCs w:val="16"/>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82,291</w:t>
            </w:r>
          </w:p>
        </w:tc>
        <w:tc>
          <w:tcPr>
            <w:tcW w:w="12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70,408</w:t>
            </w:r>
          </w:p>
        </w:tc>
        <w:tc>
          <w:tcPr>
            <w:tcW w:w="12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55,524</w:t>
            </w:r>
          </w:p>
        </w:tc>
        <w:tc>
          <w:tcPr>
            <w:tcW w:w="0" w:type="dxa"/>
            <w:vAlign w:val="bottom"/>
          </w:tcPr>
          <w:p>
            <w:pPr>
              <w:spacing w:after="0"/>
              <w:rPr>
                <w:sz w:val="1"/>
                <w:szCs w:val="1"/>
                <w:color w:val="auto"/>
              </w:rPr>
            </w:pPr>
          </w:p>
        </w:tc>
      </w:tr>
      <w:tr>
        <w:trPr>
          <w:trHeight w:val="163"/>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w w:val="95"/>
              </w:rPr>
              <w:t>Agency securities transferred to consolidated variable interest</w:t>
            </w: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entities, at fair value (pledged securities)</w:t>
            </w: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411</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425</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436</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453</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587</w:t>
            </w:r>
          </w:p>
        </w:tc>
        <w:tc>
          <w:tcPr>
            <w:tcW w:w="0" w:type="dxa"/>
            <w:vAlign w:val="bottom"/>
          </w:tcPr>
          <w:p>
            <w:pPr>
              <w:spacing w:after="0"/>
              <w:rPr>
                <w:sz w:val="1"/>
                <w:szCs w:val="1"/>
                <w:color w:val="auto"/>
              </w:rPr>
            </w:pPr>
          </w:p>
        </w:tc>
      </w:tr>
      <w:tr>
        <w:trPr>
          <w:trHeight w:val="157"/>
        </w:trPr>
        <w:tc>
          <w:tcPr>
            <w:tcW w:w="3840" w:type="dxa"/>
            <w:vAlign w:val="bottom"/>
          </w:tcPr>
          <w:p>
            <w:pPr>
              <w:ind w:left="180"/>
              <w:spacing w:after="0" w:line="157" w:lineRule="exact"/>
              <w:rPr>
                <w:sz w:val="20"/>
                <w:szCs w:val="20"/>
                <w:color w:val="auto"/>
              </w:rPr>
            </w:pPr>
            <w:r>
              <w:rPr>
                <w:rFonts w:ascii="Arial" w:cs="Arial" w:eastAsia="Arial" w:hAnsi="Arial"/>
                <w:sz w:val="14"/>
                <w:szCs w:val="14"/>
                <w:color w:val="auto"/>
                <w:w w:val="97"/>
              </w:rPr>
              <w:t>Credit risk transfer securities, at fair value (including pledged</w:t>
            </w: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3840" w:type="dxa"/>
            <w:vAlign w:val="bottom"/>
          </w:tcPr>
          <w:p>
            <w:pPr>
              <w:ind w:left="180"/>
              <w:spacing w:after="0"/>
              <w:rPr>
                <w:sz w:val="20"/>
                <w:szCs w:val="20"/>
                <w:color w:val="auto"/>
              </w:rPr>
            </w:pPr>
            <w:r>
              <w:rPr>
                <w:rFonts w:ascii="Arial" w:cs="Arial" w:eastAsia="Arial" w:hAnsi="Arial"/>
                <w:sz w:val="14"/>
                <w:szCs w:val="14"/>
                <w:color w:val="auto"/>
              </w:rPr>
              <w:t>securities of $269, $142, $141, $44 and $0, respectively)</w:t>
            </w:r>
          </w:p>
        </w:tc>
        <w:tc>
          <w:tcPr>
            <w:tcW w:w="120" w:type="dxa"/>
            <w:vAlign w:val="bottom"/>
          </w:tcPr>
          <w:p>
            <w:pPr>
              <w:spacing w:after="0"/>
              <w:rPr>
                <w:sz w:val="16"/>
                <w:szCs w:val="16"/>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1,117</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1,129</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1,012</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997</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936</w:t>
            </w:r>
          </w:p>
        </w:tc>
        <w:tc>
          <w:tcPr>
            <w:tcW w:w="0" w:type="dxa"/>
            <w:vAlign w:val="bottom"/>
          </w:tcPr>
          <w:p>
            <w:pPr>
              <w:spacing w:after="0"/>
              <w:rPr>
                <w:sz w:val="1"/>
                <w:szCs w:val="1"/>
                <w:color w:val="auto"/>
              </w:rPr>
            </w:pPr>
          </w:p>
        </w:tc>
      </w:tr>
      <w:tr>
        <w:trPr>
          <w:trHeight w:val="163"/>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Non-Agency securities, at fair value (including pledged</w:t>
            </w: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securities of $0, $45, $45, $0 and $0, respectively)</w:t>
            </w: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603</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672</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548</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507</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60</w:t>
            </w:r>
          </w:p>
        </w:tc>
        <w:tc>
          <w:tcPr>
            <w:tcW w:w="0" w:type="dxa"/>
            <w:vAlign w:val="bottom"/>
          </w:tcPr>
          <w:p>
            <w:pPr>
              <w:spacing w:after="0"/>
              <w:rPr>
                <w:sz w:val="1"/>
                <w:szCs w:val="1"/>
                <w:color w:val="auto"/>
              </w:rPr>
            </w:pPr>
          </w:p>
        </w:tc>
      </w:tr>
      <w:tr>
        <w:trPr>
          <w:trHeight w:val="157"/>
        </w:trPr>
        <w:tc>
          <w:tcPr>
            <w:tcW w:w="3840" w:type="dxa"/>
            <w:vAlign w:val="bottom"/>
          </w:tcPr>
          <w:p>
            <w:pPr>
              <w:ind w:left="180"/>
              <w:spacing w:after="0" w:line="157" w:lineRule="exact"/>
              <w:rPr>
                <w:sz w:val="20"/>
                <w:szCs w:val="20"/>
                <w:color w:val="auto"/>
              </w:rPr>
            </w:pPr>
            <w:r>
              <w:rPr>
                <w:rFonts w:ascii="Arial" w:cs="Arial" w:eastAsia="Arial" w:hAnsi="Arial"/>
                <w:sz w:val="14"/>
                <w:szCs w:val="14"/>
                <w:color w:val="auto"/>
              </w:rPr>
              <w:t>U.S. Treasury securities, at fair value (including pledged</w:t>
            </w: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3840" w:type="dxa"/>
            <w:vAlign w:val="bottom"/>
          </w:tcPr>
          <w:p>
            <w:pPr>
              <w:ind w:left="180"/>
              <w:spacing w:after="0"/>
              <w:rPr>
                <w:sz w:val="20"/>
                <w:szCs w:val="20"/>
                <w:color w:val="auto"/>
              </w:rPr>
            </w:pPr>
            <w:r>
              <w:rPr>
                <w:rFonts w:ascii="Arial" w:cs="Arial" w:eastAsia="Arial" w:hAnsi="Arial"/>
                <w:sz w:val="14"/>
                <w:szCs w:val="14"/>
                <w:color w:val="auto"/>
              </w:rPr>
              <w:t>securities of $1,152, $121, $0, $45 and $0, respectively)</w:t>
            </w:r>
          </w:p>
        </w:tc>
        <w:tc>
          <w:tcPr>
            <w:tcW w:w="120" w:type="dxa"/>
            <w:vAlign w:val="bottom"/>
          </w:tcPr>
          <w:p>
            <w:pPr>
              <w:spacing w:after="0"/>
              <w:rPr>
                <w:sz w:val="16"/>
                <w:szCs w:val="16"/>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1,152</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121</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46</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109</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REIT equity securities, at fair value</w:t>
            </w:r>
          </w:p>
        </w:tc>
        <w:tc>
          <w:tcPr>
            <w:tcW w:w="120" w:type="dxa"/>
            <w:vAlign w:val="bottom"/>
            <w:shd w:val="clear" w:color="auto" w:fill="CCEEFF"/>
          </w:tcPr>
          <w:p>
            <w:pPr>
              <w:spacing w:after="0"/>
              <w:rPr>
                <w:sz w:val="24"/>
                <w:szCs w:val="24"/>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0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46</w:t>
            </w:r>
          </w:p>
        </w:tc>
        <w:tc>
          <w:tcPr>
            <w:tcW w:w="0" w:type="dxa"/>
            <w:vAlign w:val="bottom"/>
          </w:tcPr>
          <w:p>
            <w:pPr>
              <w:spacing w:after="0"/>
              <w:rPr>
                <w:sz w:val="1"/>
                <w:szCs w:val="1"/>
                <w:color w:val="auto"/>
              </w:rPr>
            </w:pPr>
          </w:p>
        </w:tc>
      </w:tr>
      <w:tr>
        <w:trPr>
          <w:trHeight w:val="264"/>
        </w:trPr>
        <w:tc>
          <w:tcPr>
            <w:tcW w:w="3840" w:type="dxa"/>
            <w:vAlign w:val="bottom"/>
          </w:tcPr>
          <w:p>
            <w:pPr>
              <w:ind w:left="140"/>
              <w:spacing w:after="0"/>
              <w:rPr>
                <w:sz w:val="20"/>
                <w:szCs w:val="20"/>
                <w:color w:val="auto"/>
              </w:rPr>
            </w:pPr>
            <w:r>
              <w:rPr>
                <w:rFonts w:ascii="Arial" w:cs="Arial" w:eastAsia="Arial" w:hAnsi="Arial"/>
                <w:sz w:val="14"/>
                <w:szCs w:val="14"/>
                <w:color w:val="auto"/>
              </w:rPr>
              <w:t>Cash and cash equivalents</w:t>
            </w: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870</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929</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921</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1,071</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863</w:t>
            </w:r>
          </w:p>
        </w:tc>
        <w:tc>
          <w:tcPr>
            <w:tcW w:w="0" w:type="dxa"/>
            <w:vAlign w:val="bottom"/>
          </w:tcPr>
          <w:p>
            <w:pPr>
              <w:spacing w:after="0"/>
              <w:rPr>
                <w:sz w:val="1"/>
                <w:szCs w:val="1"/>
                <w:color w:val="auto"/>
              </w:rPr>
            </w:pPr>
          </w:p>
        </w:tc>
      </w:tr>
      <w:tr>
        <w:trPr>
          <w:trHeight w:val="276"/>
        </w:trPr>
        <w:tc>
          <w:tcPr>
            <w:tcW w:w="38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Restricted cash</w:t>
            </w: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789</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517</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599</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456</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447</w:t>
            </w:r>
          </w:p>
        </w:tc>
        <w:tc>
          <w:tcPr>
            <w:tcW w:w="0" w:type="dxa"/>
            <w:vAlign w:val="bottom"/>
          </w:tcPr>
          <w:p>
            <w:pPr>
              <w:spacing w:after="0"/>
              <w:rPr>
                <w:sz w:val="1"/>
                <w:szCs w:val="1"/>
                <w:color w:val="auto"/>
              </w:rPr>
            </w:pPr>
          </w:p>
        </w:tc>
      </w:tr>
      <w:tr>
        <w:trPr>
          <w:trHeight w:val="264"/>
        </w:trPr>
        <w:tc>
          <w:tcPr>
            <w:tcW w:w="3840" w:type="dxa"/>
            <w:vAlign w:val="bottom"/>
          </w:tcPr>
          <w:p>
            <w:pPr>
              <w:ind w:left="140"/>
              <w:spacing w:after="0"/>
              <w:rPr>
                <w:sz w:val="20"/>
                <w:szCs w:val="20"/>
                <w:color w:val="auto"/>
              </w:rPr>
            </w:pPr>
            <w:r>
              <w:rPr>
                <w:rFonts w:ascii="Arial" w:cs="Arial" w:eastAsia="Arial" w:hAnsi="Arial"/>
                <w:sz w:val="14"/>
                <w:szCs w:val="14"/>
                <w:color w:val="auto"/>
              </w:rPr>
              <w:t>Derivative assets, at fair value</w:t>
            </w: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116</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253</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273</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412</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458</w:t>
            </w:r>
          </w:p>
        </w:tc>
        <w:tc>
          <w:tcPr>
            <w:tcW w:w="0" w:type="dxa"/>
            <w:vAlign w:val="bottom"/>
          </w:tcPr>
          <w:p>
            <w:pPr>
              <w:spacing w:after="0"/>
              <w:rPr>
                <w:sz w:val="1"/>
                <w:szCs w:val="1"/>
                <w:color w:val="auto"/>
              </w:rPr>
            </w:pPr>
          </w:p>
        </w:tc>
      </w:tr>
      <w:tr>
        <w:trPr>
          <w:trHeight w:val="163"/>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w w:val="98"/>
              </w:rPr>
              <w:t>Receivable for investment securities sold (including pledged</w:t>
            </w: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w w:val="99"/>
              </w:rPr>
              <w:t>securities of $673, $439, $489, $443 and $31, respectively)</w:t>
            </w: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679</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439</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489</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524</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31</w:t>
            </w:r>
          </w:p>
        </w:tc>
        <w:tc>
          <w:tcPr>
            <w:tcW w:w="0" w:type="dxa"/>
            <w:vAlign w:val="bottom"/>
          </w:tcPr>
          <w:p>
            <w:pPr>
              <w:spacing w:after="0"/>
              <w:rPr>
                <w:sz w:val="1"/>
                <w:szCs w:val="1"/>
                <w:color w:val="auto"/>
              </w:rPr>
            </w:pPr>
          </w:p>
        </w:tc>
      </w:tr>
      <w:tr>
        <w:trPr>
          <w:trHeight w:val="264"/>
        </w:trPr>
        <w:tc>
          <w:tcPr>
            <w:tcW w:w="3840" w:type="dxa"/>
            <w:vAlign w:val="bottom"/>
          </w:tcPr>
          <w:p>
            <w:pPr>
              <w:ind w:left="140"/>
              <w:spacing w:after="0"/>
              <w:rPr>
                <w:sz w:val="20"/>
                <w:szCs w:val="20"/>
                <w:color w:val="auto"/>
              </w:rPr>
            </w:pPr>
            <w:r>
              <w:rPr>
                <w:rFonts w:ascii="Arial" w:cs="Arial" w:eastAsia="Arial" w:hAnsi="Arial"/>
                <w:sz w:val="14"/>
                <w:szCs w:val="14"/>
                <w:color w:val="auto"/>
              </w:rPr>
              <w:t>Receivable under reverse repurchase agreements</w:t>
            </w: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8,848</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20,430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21,813</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16,309</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13,306</w:t>
            </w:r>
          </w:p>
        </w:tc>
        <w:tc>
          <w:tcPr>
            <w:tcW w:w="0" w:type="dxa"/>
            <w:vAlign w:val="bottom"/>
          </w:tcPr>
          <w:p>
            <w:pPr>
              <w:spacing w:after="0"/>
              <w:rPr>
                <w:sz w:val="1"/>
                <w:szCs w:val="1"/>
                <w:color w:val="auto"/>
              </w:rPr>
            </w:pPr>
          </w:p>
        </w:tc>
      </w:tr>
      <w:tr>
        <w:trPr>
          <w:trHeight w:val="276"/>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Goodwill and other intangible asset, net</w:t>
            </w: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526</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526</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526</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526</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550</w:t>
            </w:r>
          </w:p>
        </w:tc>
        <w:tc>
          <w:tcPr>
            <w:tcW w:w="0" w:type="dxa"/>
            <w:vAlign w:val="bottom"/>
          </w:tcPr>
          <w:p>
            <w:pPr>
              <w:spacing w:after="0"/>
              <w:rPr>
                <w:sz w:val="1"/>
                <w:szCs w:val="1"/>
                <w:color w:val="auto"/>
              </w:rPr>
            </w:pPr>
          </w:p>
        </w:tc>
      </w:tr>
      <w:tr>
        <w:trPr>
          <w:trHeight w:val="264"/>
        </w:trPr>
        <w:tc>
          <w:tcPr>
            <w:tcW w:w="3840" w:type="dxa"/>
            <w:vAlign w:val="bottom"/>
            <w:tcBorders>
              <w:bottom w:val="single" w:sz="8" w:color="CCEEFF"/>
            </w:tcBorders>
          </w:tcPr>
          <w:p>
            <w:pPr>
              <w:ind w:left="140"/>
              <w:spacing w:after="0"/>
              <w:rPr>
                <w:sz w:val="20"/>
                <w:szCs w:val="20"/>
                <w:color w:val="auto"/>
              </w:rPr>
            </w:pPr>
            <w:r>
              <w:rPr>
                <w:rFonts w:ascii="Arial" w:cs="Arial" w:eastAsia="Arial" w:hAnsi="Arial"/>
                <w:sz w:val="14"/>
                <w:szCs w:val="14"/>
                <w:color w:val="auto"/>
              </w:rPr>
              <w:t>Other assets</w:t>
            </w:r>
          </w:p>
        </w:tc>
        <w:tc>
          <w:tcPr>
            <w:tcW w:w="12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325</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322</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287</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259</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330</w:t>
            </w:r>
          </w:p>
        </w:tc>
        <w:tc>
          <w:tcPr>
            <w:tcW w:w="0" w:type="dxa"/>
            <w:vAlign w:val="bottom"/>
          </w:tcPr>
          <w:p>
            <w:pPr>
              <w:spacing w:after="0"/>
              <w:rPr>
                <w:sz w:val="1"/>
                <w:szCs w:val="1"/>
                <w:color w:val="auto"/>
              </w:rPr>
            </w:pPr>
          </w:p>
        </w:tc>
      </w:tr>
      <w:tr>
        <w:trPr>
          <w:trHeight w:val="243"/>
        </w:trPr>
        <w:tc>
          <w:tcPr>
            <w:tcW w:w="3840" w:type="dxa"/>
            <w:vAlign w:val="bottom"/>
            <w:tcBorders>
              <w:bottom w:val="single" w:sz="8" w:color="CCEEFF"/>
            </w:tcBorders>
            <w:shd w:val="clear" w:color="auto" w:fill="CCEEFF"/>
          </w:tcPr>
          <w:p>
            <w:pPr>
              <w:ind w:left="840"/>
              <w:spacing w:after="0"/>
              <w:rPr>
                <w:sz w:val="20"/>
                <w:szCs w:val="20"/>
                <w:color w:val="auto"/>
              </w:rPr>
            </w:pPr>
            <w:r>
              <w:rPr>
                <w:rFonts w:ascii="Arial" w:cs="Arial" w:eastAsia="Arial" w:hAnsi="Arial"/>
                <w:sz w:val="14"/>
                <w:szCs w:val="14"/>
                <w:color w:val="auto"/>
              </w:rPr>
              <w:t>Total assets</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106,576</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118,807</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109,241</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92,031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73,138</w:t>
            </w:r>
          </w:p>
        </w:tc>
        <w:tc>
          <w:tcPr>
            <w:tcW w:w="0" w:type="dxa"/>
            <w:vAlign w:val="bottom"/>
          </w:tcPr>
          <w:p>
            <w:pPr>
              <w:spacing w:after="0"/>
              <w:rPr>
                <w:sz w:val="1"/>
                <w:szCs w:val="1"/>
                <w:color w:val="auto"/>
              </w:rPr>
            </w:pPr>
          </w:p>
        </w:tc>
      </w:tr>
      <w:tr>
        <w:trPr>
          <w:trHeight w:val="20"/>
        </w:trPr>
        <w:tc>
          <w:tcPr>
            <w:tcW w:w="38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Liabilities:</w:t>
            </w: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5"/>
        </w:trPr>
        <w:tc>
          <w:tcPr>
            <w:tcW w:w="3840" w:type="dxa"/>
            <w:vAlign w:val="bottom"/>
            <w:vMerge w:val="continue"/>
          </w:tcPr>
          <w:p>
            <w:pPr>
              <w:spacing w:after="0"/>
              <w:rPr>
                <w:sz w:val="21"/>
                <w:szCs w:val="21"/>
                <w:color w:val="auto"/>
              </w:rPr>
            </w:pPr>
          </w:p>
        </w:tc>
        <w:tc>
          <w:tcPr>
            <w:tcW w:w="12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38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Repurchase agreements</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86,266</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86,685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75,717</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65,734</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48,839</w:t>
            </w:r>
          </w:p>
        </w:tc>
        <w:tc>
          <w:tcPr>
            <w:tcW w:w="0" w:type="dxa"/>
            <w:vAlign w:val="bottom"/>
          </w:tcPr>
          <w:p>
            <w:pPr>
              <w:spacing w:after="0"/>
              <w:rPr>
                <w:sz w:val="1"/>
                <w:szCs w:val="1"/>
                <w:color w:val="auto"/>
              </w:rPr>
            </w:pPr>
          </w:p>
        </w:tc>
      </w:tr>
      <w:tr>
        <w:trPr>
          <w:trHeight w:val="264"/>
        </w:trPr>
        <w:tc>
          <w:tcPr>
            <w:tcW w:w="3840" w:type="dxa"/>
            <w:vAlign w:val="bottom"/>
          </w:tcPr>
          <w:p>
            <w:pPr>
              <w:ind w:left="180"/>
              <w:spacing w:after="0"/>
              <w:rPr>
                <w:sz w:val="20"/>
                <w:szCs w:val="20"/>
                <w:color w:val="auto"/>
              </w:rPr>
            </w:pPr>
            <w:r>
              <w:rPr>
                <w:rFonts w:ascii="Arial" w:cs="Arial" w:eastAsia="Arial" w:hAnsi="Arial"/>
                <w:sz w:val="14"/>
                <w:szCs w:val="14"/>
                <w:color w:val="auto"/>
              </w:rPr>
              <w:t>Debt of consolidated variable interest entities, at fair value</w:t>
            </w: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251</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266</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275</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291</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313</w:t>
            </w:r>
          </w:p>
        </w:tc>
        <w:tc>
          <w:tcPr>
            <w:tcW w:w="0" w:type="dxa"/>
            <w:vAlign w:val="bottom"/>
          </w:tcPr>
          <w:p>
            <w:pPr>
              <w:spacing w:after="0"/>
              <w:rPr>
                <w:sz w:val="1"/>
                <w:szCs w:val="1"/>
                <w:color w:val="auto"/>
              </w:rPr>
            </w:pPr>
          </w:p>
        </w:tc>
      </w:tr>
      <w:tr>
        <w:trPr>
          <w:trHeight w:val="276"/>
        </w:trPr>
        <w:tc>
          <w:tcPr>
            <w:tcW w:w="38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Payable for investment securities purchased</w:t>
            </w: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878</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1,125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1,204</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23</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1,503</w:t>
            </w:r>
          </w:p>
        </w:tc>
        <w:tc>
          <w:tcPr>
            <w:tcW w:w="0" w:type="dxa"/>
            <w:vAlign w:val="bottom"/>
          </w:tcPr>
          <w:p>
            <w:pPr>
              <w:spacing w:after="0"/>
              <w:rPr>
                <w:sz w:val="1"/>
                <w:szCs w:val="1"/>
                <w:color w:val="auto"/>
              </w:rPr>
            </w:pPr>
          </w:p>
        </w:tc>
      </w:tr>
      <w:tr>
        <w:trPr>
          <w:trHeight w:val="264"/>
        </w:trPr>
        <w:tc>
          <w:tcPr>
            <w:tcW w:w="3840" w:type="dxa"/>
            <w:vAlign w:val="bottom"/>
          </w:tcPr>
          <w:p>
            <w:pPr>
              <w:ind w:left="140"/>
              <w:spacing w:after="0"/>
              <w:rPr>
                <w:sz w:val="20"/>
                <w:szCs w:val="20"/>
                <w:color w:val="auto"/>
              </w:rPr>
            </w:pPr>
            <w:r>
              <w:rPr>
                <w:rFonts w:ascii="Arial" w:cs="Arial" w:eastAsia="Arial" w:hAnsi="Arial"/>
                <w:sz w:val="14"/>
                <w:szCs w:val="14"/>
                <w:color w:val="auto"/>
              </w:rPr>
              <w:t>Derivative liabilities, at fair value</w:t>
            </w: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63</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53</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84</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62</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6</w:t>
            </w:r>
          </w:p>
        </w:tc>
        <w:tc>
          <w:tcPr>
            <w:tcW w:w="0" w:type="dxa"/>
            <w:vAlign w:val="bottom"/>
          </w:tcPr>
          <w:p>
            <w:pPr>
              <w:spacing w:after="0"/>
              <w:rPr>
                <w:sz w:val="1"/>
                <w:szCs w:val="1"/>
                <w:color w:val="auto"/>
              </w:rPr>
            </w:pPr>
          </w:p>
        </w:tc>
      </w:tr>
      <w:tr>
        <w:trPr>
          <w:trHeight w:val="276"/>
        </w:trPr>
        <w:tc>
          <w:tcPr>
            <w:tcW w:w="38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Dividends payable</w:t>
            </w: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101</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107</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106</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95</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87</w:t>
            </w:r>
          </w:p>
        </w:tc>
        <w:tc>
          <w:tcPr>
            <w:tcW w:w="0" w:type="dxa"/>
            <w:vAlign w:val="bottom"/>
          </w:tcPr>
          <w:p>
            <w:pPr>
              <w:spacing w:after="0"/>
              <w:rPr>
                <w:sz w:val="1"/>
                <w:szCs w:val="1"/>
                <w:color w:val="auto"/>
              </w:rPr>
            </w:pPr>
          </w:p>
        </w:tc>
      </w:tr>
      <w:tr>
        <w:trPr>
          <w:trHeight w:val="157"/>
        </w:trPr>
        <w:tc>
          <w:tcPr>
            <w:tcW w:w="3840" w:type="dxa"/>
            <w:vAlign w:val="bottom"/>
          </w:tcPr>
          <w:p>
            <w:pPr>
              <w:ind w:left="160"/>
              <w:spacing w:after="0" w:line="157" w:lineRule="exact"/>
              <w:rPr>
                <w:sz w:val="20"/>
                <w:szCs w:val="20"/>
                <w:color w:val="auto"/>
              </w:rPr>
            </w:pPr>
            <w:r>
              <w:rPr>
                <w:rFonts w:ascii="Arial" w:cs="Arial" w:eastAsia="Arial" w:hAnsi="Arial"/>
                <w:sz w:val="14"/>
                <w:szCs w:val="14"/>
                <w:color w:val="auto"/>
              </w:rPr>
              <w:t>Obligation to return securities borrowed under reverse</w:t>
            </w: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3840" w:type="dxa"/>
            <w:vAlign w:val="bottom"/>
          </w:tcPr>
          <w:p>
            <w:pPr>
              <w:ind w:left="160"/>
              <w:spacing w:after="0"/>
              <w:rPr>
                <w:sz w:val="20"/>
                <w:szCs w:val="20"/>
                <w:color w:val="auto"/>
              </w:rPr>
            </w:pPr>
            <w:r>
              <w:rPr>
                <w:rFonts w:ascii="Arial" w:cs="Arial" w:eastAsia="Arial" w:hAnsi="Arial"/>
                <w:sz w:val="14"/>
                <w:szCs w:val="14"/>
                <w:color w:val="auto"/>
              </w:rPr>
              <w:t>repurchase agreements, at fair value</w:t>
            </w:r>
          </w:p>
        </w:tc>
        <w:tc>
          <w:tcPr>
            <w:tcW w:w="120" w:type="dxa"/>
            <w:vAlign w:val="bottom"/>
          </w:tcPr>
          <w:p>
            <w:pPr>
              <w:spacing w:after="0"/>
              <w:rPr>
                <w:sz w:val="16"/>
                <w:szCs w:val="16"/>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7,754</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19,275</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21,431</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15,549</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12,898</w:t>
            </w:r>
          </w:p>
        </w:tc>
        <w:tc>
          <w:tcPr>
            <w:tcW w:w="0" w:type="dxa"/>
            <w:vAlign w:val="bottom"/>
          </w:tcPr>
          <w:p>
            <w:pPr>
              <w:spacing w:after="0"/>
              <w:rPr>
                <w:sz w:val="1"/>
                <w:szCs w:val="1"/>
                <w:color w:val="auto"/>
              </w:rPr>
            </w:pPr>
          </w:p>
        </w:tc>
      </w:tr>
      <w:tr>
        <w:trPr>
          <w:trHeight w:val="270"/>
        </w:trPr>
        <w:tc>
          <w:tcPr>
            <w:tcW w:w="38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Accounts payable and other liabilities</w:t>
            </w:r>
          </w:p>
        </w:tc>
        <w:tc>
          <w:tcPr>
            <w:tcW w:w="12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917</w:t>
            </w:r>
          </w:p>
        </w:tc>
        <w:tc>
          <w:tcPr>
            <w:tcW w:w="12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795</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518</w:t>
            </w:r>
          </w:p>
        </w:tc>
        <w:tc>
          <w:tcPr>
            <w:tcW w:w="12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650</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450</w:t>
            </w:r>
          </w:p>
        </w:tc>
        <w:tc>
          <w:tcPr>
            <w:tcW w:w="0" w:type="dxa"/>
            <w:vAlign w:val="bottom"/>
          </w:tcPr>
          <w:p>
            <w:pPr>
              <w:spacing w:after="0"/>
              <w:rPr>
                <w:sz w:val="1"/>
                <w:szCs w:val="1"/>
                <w:color w:val="auto"/>
              </w:rPr>
            </w:pPr>
          </w:p>
        </w:tc>
      </w:tr>
      <w:tr>
        <w:trPr>
          <w:trHeight w:val="250"/>
        </w:trPr>
        <w:tc>
          <w:tcPr>
            <w:tcW w:w="3840" w:type="dxa"/>
            <w:vAlign w:val="bottom"/>
            <w:tcBorders>
              <w:bottom w:val="single" w:sz="8" w:color="CCEEFF"/>
            </w:tcBorders>
          </w:tcPr>
          <w:p>
            <w:pPr>
              <w:ind w:left="840"/>
              <w:spacing w:after="0"/>
              <w:rPr>
                <w:sz w:val="20"/>
                <w:szCs w:val="20"/>
                <w:color w:val="auto"/>
              </w:rPr>
            </w:pPr>
            <w:r>
              <w:rPr>
                <w:rFonts w:ascii="Arial" w:cs="Arial" w:eastAsia="Arial" w:hAnsi="Arial"/>
                <w:sz w:val="14"/>
                <w:szCs w:val="14"/>
                <w:color w:val="auto"/>
              </w:rPr>
              <w:t>Total liabilities</w:t>
            </w:r>
          </w:p>
        </w:tc>
        <w:tc>
          <w:tcPr>
            <w:tcW w:w="12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96,230</w:t>
            </w:r>
          </w:p>
        </w:tc>
        <w:tc>
          <w:tcPr>
            <w:tcW w:w="12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108,306</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99,335</w:t>
            </w:r>
          </w:p>
        </w:tc>
        <w:tc>
          <w:tcPr>
            <w:tcW w:w="12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82,404</w:t>
            </w:r>
          </w:p>
        </w:tc>
        <w:tc>
          <w:tcPr>
            <w:tcW w:w="12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64,096</w:t>
            </w:r>
          </w:p>
        </w:tc>
        <w:tc>
          <w:tcPr>
            <w:tcW w:w="0" w:type="dxa"/>
            <w:vAlign w:val="bottom"/>
          </w:tcPr>
          <w:p>
            <w:pPr>
              <w:spacing w:after="0"/>
              <w:rPr>
                <w:sz w:val="1"/>
                <w:szCs w:val="1"/>
                <w:color w:val="auto"/>
              </w:rPr>
            </w:pPr>
          </w:p>
        </w:tc>
      </w:tr>
      <w:tr>
        <w:trPr>
          <w:trHeight w:val="270"/>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Stockholders' equity:</w:t>
            </w:r>
          </w:p>
        </w:tc>
        <w:tc>
          <w:tcPr>
            <w:tcW w:w="12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157"/>
        </w:trPr>
        <w:tc>
          <w:tcPr>
            <w:tcW w:w="3840" w:type="dxa"/>
            <w:vAlign w:val="bottom"/>
          </w:tcPr>
          <w:p>
            <w:pPr>
              <w:ind w:left="180"/>
              <w:spacing w:after="0" w:line="157" w:lineRule="exact"/>
              <w:rPr>
                <w:sz w:val="20"/>
                <w:szCs w:val="20"/>
                <w:color w:val="auto"/>
              </w:rPr>
            </w:pPr>
            <w:r>
              <w:rPr>
                <w:rFonts w:ascii="Arial" w:cs="Arial" w:eastAsia="Arial" w:hAnsi="Arial"/>
                <w:sz w:val="14"/>
                <w:szCs w:val="14"/>
                <w:color w:val="auto"/>
              </w:rPr>
              <w:t>Preferred stock - aggregate liquidation preference of $735,</w:t>
            </w: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3840" w:type="dxa"/>
            <w:vAlign w:val="bottom"/>
          </w:tcPr>
          <w:p>
            <w:pPr>
              <w:ind w:left="180"/>
              <w:spacing w:after="0"/>
              <w:rPr>
                <w:sz w:val="20"/>
                <w:szCs w:val="20"/>
                <w:color w:val="auto"/>
              </w:rPr>
            </w:pPr>
            <w:r>
              <w:rPr>
                <w:rFonts w:ascii="Arial" w:cs="Arial" w:eastAsia="Arial" w:hAnsi="Arial"/>
                <w:sz w:val="14"/>
                <w:szCs w:val="14"/>
                <w:color w:val="auto"/>
              </w:rPr>
              <w:t>$735, $500, $500 and $500, respectively</w:t>
            </w:r>
          </w:p>
        </w:tc>
        <w:tc>
          <w:tcPr>
            <w:tcW w:w="120" w:type="dxa"/>
            <w:vAlign w:val="bottom"/>
          </w:tcPr>
          <w:p>
            <w:pPr>
              <w:spacing w:after="0"/>
              <w:rPr>
                <w:sz w:val="16"/>
                <w:szCs w:val="16"/>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711</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711</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484</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484</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484</w:t>
            </w:r>
          </w:p>
        </w:tc>
        <w:tc>
          <w:tcPr>
            <w:tcW w:w="0" w:type="dxa"/>
            <w:vAlign w:val="bottom"/>
          </w:tcPr>
          <w:p>
            <w:pPr>
              <w:spacing w:after="0"/>
              <w:rPr>
                <w:sz w:val="1"/>
                <w:szCs w:val="1"/>
                <w:color w:val="auto"/>
              </w:rPr>
            </w:pPr>
          </w:p>
        </w:tc>
      </w:tr>
      <w:tr>
        <w:trPr>
          <w:trHeight w:val="163"/>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w w:val="97"/>
              </w:rPr>
              <w:t>Common stock - $0.01 par value; 547.8, 536.3, 536.3, 477.8</w:t>
            </w: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and 434.1 shares issued and outstanding, respectively</w:t>
            </w: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264"/>
        </w:trPr>
        <w:tc>
          <w:tcPr>
            <w:tcW w:w="3840" w:type="dxa"/>
            <w:vAlign w:val="bottom"/>
          </w:tcPr>
          <w:p>
            <w:pPr>
              <w:ind w:left="180"/>
              <w:spacing w:after="0"/>
              <w:rPr>
                <w:sz w:val="20"/>
                <w:szCs w:val="20"/>
                <w:color w:val="auto"/>
              </w:rPr>
            </w:pPr>
            <w:r>
              <w:rPr>
                <w:rFonts w:ascii="Arial" w:cs="Arial" w:eastAsia="Arial" w:hAnsi="Arial"/>
                <w:sz w:val="14"/>
                <w:szCs w:val="14"/>
                <w:color w:val="auto"/>
              </w:rPr>
              <w:t>Additional paid-in capital</w:t>
            </w: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13,988</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13,795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13,793</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12,785</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11,964</w:t>
            </w:r>
          </w:p>
        </w:tc>
        <w:tc>
          <w:tcPr>
            <w:tcW w:w="0" w:type="dxa"/>
            <w:vAlign w:val="bottom"/>
          </w:tcPr>
          <w:p>
            <w:pPr>
              <w:spacing w:after="0"/>
              <w:rPr>
                <w:sz w:val="1"/>
                <w:szCs w:val="1"/>
                <w:color w:val="auto"/>
              </w:rPr>
            </w:pPr>
          </w:p>
        </w:tc>
      </w:tr>
      <w:tr>
        <w:trPr>
          <w:trHeight w:val="276"/>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Retained deficit</w:t>
            </w: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(4,194)</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(3,467)</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(3,433)</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(2,343)</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(2,299)</w:t>
            </w:r>
          </w:p>
        </w:tc>
        <w:tc>
          <w:tcPr>
            <w:tcW w:w="0" w:type="dxa"/>
            <w:vAlign w:val="bottom"/>
          </w:tcPr>
          <w:p>
            <w:pPr>
              <w:spacing w:after="0"/>
              <w:rPr>
                <w:sz w:val="1"/>
                <w:szCs w:val="1"/>
                <w:color w:val="auto"/>
              </w:rPr>
            </w:pPr>
          </w:p>
        </w:tc>
      </w:tr>
      <w:tr>
        <w:trPr>
          <w:trHeight w:val="264"/>
        </w:trPr>
        <w:tc>
          <w:tcPr>
            <w:tcW w:w="3840" w:type="dxa"/>
            <w:vAlign w:val="bottom"/>
            <w:tcBorders>
              <w:bottom w:val="single" w:sz="8" w:color="CCEEFF"/>
            </w:tcBorders>
          </w:tcPr>
          <w:p>
            <w:pPr>
              <w:ind w:left="180"/>
              <w:spacing w:after="0"/>
              <w:rPr>
                <w:sz w:val="20"/>
                <w:szCs w:val="20"/>
                <w:color w:val="auto"/>
              </w:rPr>
            </w:pPr>
            <w:r>
              <w:rPr>
                <w:rFonts w:ascii="Arial" w:cs="Arial" w:eastAsia="Arial" w:hAnsi="Arial"/>
                <w:sz w:val="14"/>
                <w:szCs w:val="14"/>
                <w:color w:val="auto"/>
              </w:rPr>
              <w:t>Accumulated other comprehensive loss</w:t>
            </w:r>
          </w:p>
        </w:tc>
        <w:tc>
          <w:tcPr>
            <w:tcW w:w="12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(164)</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(543)</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(943)</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(1,304)</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(1,111)</w:t>
            </w:r>
          </w:p>
        </w:tc>
        <w:tc>
          <w:tcPr>
            <w:tcW w:w="0" w:type="dxa"/>
            <w:vAlign w:val="bottom"/>
          </w:tcPr>
          <w:p>
            <w:pPr>
              <w:spacing w:after="0"/>
              <w:rPr>
                <w:sz w:val="1"/>
                <w:szCs w:val="1"/>
                <w:color w:val="auto"/>
              </w:rPr>
            </w:pPr>
          </w:p>
        </w:tc>
      </w:tr>
      <w:tr>
        <w:trPr>
          <w:trHeight w:val="250"/>
        </w:trPr>
        <w:tc>
          <w:tcPr>
            <w:tcW w:w="3840" w:type="dxa"/>
            <w:vAlign w:val="bottom"/>
            <w:shd w:val="clear" w:color="auto" w:fill="CCEEFF"/>
          </w:tcPr>
          <w:p>
            <w:pPr>
              <w:ind w:left="840"/>
              <w:spacing w:after="0"/>
              <w:rPr>
                <w:sz w:val="20"/>
                <w:szCs w:val="20"/>
                <w:color w:val="auto"/>
              </w:rPr>
            </w:pPr>
            <w:r>
              <w:rPr>
                <w:rFonts w:ascii="Arial" w:cs="Arial" w:eastAsia="Arial" w:hAnsi="Arial"/>
                <w:sz w:val="14"/>
                <w:szCs w:val="14"/>
                <w:color w:val="auto"/>
              </w:rPr>
              <w:t>Total stockholders' equity</w:t>
            </w:r>
          </w:p>
        </w:tc>
        <w:tc>
          <w:tcPr>
            <w:tcW w:w="12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10,346</w:t>
            </w:r>
          </w:p>
        </w:tc>
        <w:tc>
          <w:tcPr>
            <w:tcW w:w="12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10,501</w:t>
            </w:r>
          </w:p>
        </w:tc>
        <w:tc>
          <w:tcPr>
            <w:tcW w:w="120" w:type="dxa"/>
            <w:vAlign w:val="bottom"/>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9,906</w:t>
            </w:r>
          </w:p>
        </w:tc>
        <w:tc>
          <w:tcPr>
            <w:tcW w:w="12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9,627</w:t>
            </w:r>
          </w:p>
        </w:tc>
        <w:tc>
          <w:tcPr>
            <w:tcW w:w="120" w:type="dxa"/>
            <w:vAlign w:val="bottom"/>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8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9,042</w:t>
            </w:r>
          </w:p>
        </w:tc>
        <w:tc>
          <w:tcPr>
            <w:tcW w:w="0" w:type="dxa"/>
            <w:vAlign w:val="bottom"/>
          </w:tcPr>
          <w:p>
            <w:pPr>
              <w:spacing w:after="0"/>
              <w:rPr>
                <w:sz w:val="1"/>
                <w:szCs w:val="1"/>
                <w:color w:val="auto"/>
              </w:rPr>
            </w:pPr>
          </w:p>
        </w:tc>
      </w:tr>
      <w:tr>
        <w:trPr>
          <w:trHeight w:val="283"/>
        </w:trPr>
        <w:tc>
          <w:tcPr>
            <w:tcW w:w="3840" w:type="dxa"/>
            <w:vAlign w:val="bottom"/>
            <w:tcBorders>
              <w:bottom w:val="single" w:sz="8" w:color="CCEEFF"/>
            </w:tcBorders>
          </w:tcPr>
          <w:p>
            <w:pPr>
              <w:ind w:left="840"/>
              <w:spacing w:after="0"/>
              <w:rPr>
                <w:sz w:val="20"/>
                <w:szCs w:val="20"/>
                <w:color w:val="auto"/>
              </w:rPr>
            </w:pPr>
            <w:r>
              <w:rPr>
                <w:rFonts w:ascii="Arial" w:cs="Arial" w:eastAsia="Arial" w:hAnsi="Arial"/>
                <w:sz w:val="14"/>
                <w:szCs w:val="14"/>
                <w:color w:val="auto"/>
              </w:rPr>
              <w:t>Total liabilities and stockholders' equity</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106,576</w:t>
            </w:r>
          </w:p>
        </w:tc>
        <w:tc>
          <w:tcPr>
            <w:tcW w:w="120" w:type="dxa"/>
            <w:vAlign w:val="bottom"/>
            <w:tcBorders>
              <w:bottom w:val="single" w:sz="8" w:color="CCEEFF"/>
            </w:tcBorders>
          </w:tcPr>
          <w:p>
            <w:pPr>
              <w:spacing w:after="0"/>
              <w:rPr>
                <w:sz w:val="24"/>
                <w:szCs w:val="24"/>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118,807</w:t>
            </w:r>
          </w:p>
        </w:tc>
        <w:tc>
          <w:tcPr>
            <w:tcW w:w="120" w:type="dxa"/>
            <w:vAlign w:val="bottom"/>
            <w:tcBorders>
              <w:bottom w:val="single" w:sz="8" w:color="CCEEFF"/>
            </w:tcBorders>
          </w:tcPr>
          <w:p>
            <w:pPr>
              <w:spacing w:after="0"/>
              <w:rPr>
                <w:sz w:val="24"/>
                <w:szCs w:val="24"/>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109,241</w:t>
            </w:r>
          </w:p>
        </w:tc>
        <w:tc>
          <w:tcPr>
            <w:tcW w:w="120" w:type="dxa"/>
            <w:vAlign w:val="bottom"/>
            <w:tcBorders>
              <w:bottom w:val="single" w:sz="8" w:color="CCEEFF"/>
            </w:tcBorders>
          </w:tcPr>
          <w:p>
            <w:pPr>
              <w:spacing w:after="0"/>
              <w:rPr>
                <w:sz w:val="24"/>
                <w:szCs w:val="24"/>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92,031</w:t>
            </w:r>
          </w:p>
        </w:tc>
        <w:tc>
          <w:tcPr>
            <w:tcW w:w="120" w:type="dxa"/>
            <w:vAlign w:val="bottom"/>
            <w:tcBorders>
              <w:bottom w:val="single" w:sz="8" w:color="CCEEFF"/>
            </w:tcBorders>
          </w:tcPr>
          <w:p>
            <w:pPr>
              <w:spacing w:after="0"/>
              <w:rPr>
                <w:sz w:val="24"/>
                <w:szCs w:val="24"/>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73,138</w:t>
            </w:r>
          </w:p>
        </w:tc>
        <w:tc>
          <w:tcPr>
            <w:tcW w:w="0" w:type="dxa"/>
            <w:vAlign w:val="bottom"/>
          </w:tcPr>
          <w:p>
            <w:pPr>
              <w:spacing w:after="0"/>
              <w:rPr>
                <w:sz w:val="1"/>
                <w:szCs w:val="1"/>
                <w:color w:val="auto"/>
              </w:rPr>
            </w:pPr>
          </w:p>
        </w:tc>
      </w:tr>
      <w:tr>
        <w:trPr>
          <w:trHeight w:val="251"/>
        </w:trPr>
        <w:tc>
          <w:tcPr>
            <w:tcW w:w="384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88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88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9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88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86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57"/>
        </w:trPr>
        <w:tc>
          <w:tcPr>
            <w:tcW w:w="3840" w:type="dxa"/>
            <w:vAlign w:val="bottom"/>
          </w:tcPr>
          <w:p>
            <w:pPr>
              <w:ind w:left="40"/>
              <w:spacing w:after="0"/>
              <w:rPr>
                <w:sz w:val="20"/>
                <w:szCs w:val="20"/>
                <w:color w:val="auto"/>
              </w:rPr>
            </w:pPr>
            <w:r>
              <w:rPr>
                <w:rFonts w:ascii="Arial" w:cs="Arial" w:eastAsia="Arial" w:hAnsi="Arial"/>
                <w:sz w:val="14"/>
                <w:szCs w:val="14"/>
                <w:b w:val="1"/>
                <w:bCs w:val="1"/>
                <w:color w:val="auto"/>
              </w:rPr>
              <w:t xml:space="preserve">Tangible net book value per common share </w:t>
            </w:r>
            <w:r>
              <w:rPr>
                <w:rFonts w:ascii="Arial" w:cs="Arial" w:eastAsia="Arial" w:hAnsi="Arial"/>
                <w:sz w:val="8"/>
                <w:szCs w:val="8"/>
                <w:b w:val="1"/>
                <w:bCs w:val="1"/>
                <w:color w:val="auto"/>
              </w:rPr>
              <w:t>1</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16.58</w:t>
            </w:r>
          </w:p>
        </w:tc>
        <w:tc>
          <w:tcPr>
            <w:tcW w:w="120" w:type="dxa"/>
            <w:vAlign w:val="bottom"/>
          </w:tcPr>
          <w:p>
            <w:pPr>
              <w:spacing w:after="0"/>
              <w:rPr>
                <w:sz w:val="22"/>
                <w:szCs w:val="22"/>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17.23</w:t>
            </w:r>
          </w:p>
        </w:tc>
        <w:tc>
          <w:tcPr>
            <w:tcW w:w="120" w:type="dxa"/>
            <w:vAlign w:val="bottom"/>
          </w:tcPr>
          <w:p>
            <w:pPr>
              <w:spacing w:after="0"/>
              <w:rPr>
                <w:sz w:val="22"/>
                <w:szCs w:val="22"/>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16.56</w:t>
            </w:r>
          </w:p>
        </w:tc>
        <w:tc>
          <w:tcPr>
            <w:tcW w:w="120" w:type="dxa"/>
            <w:vAlign w:val="bottom"/>
          </w:tcPr>
          <w:p>
            <w:pPr>
              <w:spacing w:after="0"/>
              <w:rPr>
                <w:sz w:val="22"/>
                <w:szCs w:val="22"/>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18.00</w:t>
            </w:r>
          </w:p>
        </w:tc>
        <w:tc>
          <w:tcPr>
            <w:tcW w:w="120" w:type="dxa"/>
            <w:vAlign w:val="bottom"/>
          </w:tcPr>
          <w:p>
            <w:pPr>
              <w:spacing w:after="0"/>
              <w:rPr>
                <w:sz w:val="22"/>
                <w:szCs w:val="22"/>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18.41</w:t>
            </w:r>
          </w:p>
        </w:tc>
        <w:tc>
          <w:tcPr>
            <w:tcW w:w="0" w:type="dxa"/>
            <w:vAlign w:val="bottom"/>
          </w:tcPr>
          <w:p>
            <w:pPr>
              <w:spacing w:after="0"/>
              <w:rPr>
                <w:sz w:val="1"/>
                <w:szCs w:val="1"/>
                <w:color w:val="auto"/>
              </w:rPr>
            </w:pPr>
          </w:p>
        </w:tc>
      </w:tr>
      <w:tr>
        <w:trPr>
          <w:trHeight w:val="20"/>
        </w:trPr>
        <w:tc>
          <w:tcPr>
            <w:tcW w:w="38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0219"/>
          </w:cols>
          <w:pgMar w:left="240" w:top="147" w:right="1440" w:bottom="1440" w:gutter="0" w:footer="0" w:header="0"/>
        </w:sectPr>
      </w:pPr>
    </w:p>
    <w:bookmarkStart w:id="10" w:name="page11"/>
    <w:bookmarkEnd w:id="10"/>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24,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8</w:t>
      </w:r>
    </w:p>
    <w:p>
      <w:pPr>
        <w:spacing w:after="0" w:line="383" w:lineRule="exact"/>
        <w:rPr>
          <w:sz w:val="20"/>
          <w:szCs w:val="20"/>
          <w:color w:val="auto"/>
        </w:rPr>
      </w:pPr>
    </w:p>
    <w:p>
      <w:pPr>
        <w:jc w:val="center"/>
        <w:ind w:right="899"/>
        <w:spacing w:after="0"/>
        <w:rPr>
          <w:sz w:val="20"/>
          <w:szCs w:val="20"/>
          <w:color w:val="auto"/>
        </w:rPr>
      </w:pPr>
      <w:r>
        <w:rPr>
          <w:rFonts w:ascii="Arial" w:cs="Arial" w:eastAsia="Arial" w:hAnsi="Arial"/>
          <w:sz w:val="14"/>
          <w:szCs w:val="14"/>
          <w:color w:val="auto"/>
        </w:rPr>
        <w:t>AGNC INVESTMENT CORP.</w:t>
      </w:r>
    </w:p>
    <w:p>
      <w:pPr>
        <w:spacing w:after="0" w:line="42" w:lineRule="exact"/>
        <w:rPr>
          <w:sz w:val="20"/>
          <w:szCs w:val="20"/>
          <w:color w:val="auto"/>
        </w:rPr>
      </w:pPr>
    </w:p>
    <w:p>
      <w:pPr>
        <w:jc w:val="center"/>
        <w:ind w:right="899"/>
        <w:spacing w:after="0"/>
        <w:rPr>
          <w:sz w:val="20"/>
          <w:szCs w:val="20"/>
          <w:color w:val="auto"/>
        </w:rPr>
      </w:pPr>
      <w:r>
        <w:rPr>
          <w:rFonts w:ascii="Arial" w:cs="Arial" w:eastAsia="Arial" w:hAnsi="Arial"/>
          <w:sz w:val="14"/>
          <w:szCs w:val="14"/>
          <w:color w:val="auto"/>
        </w:rPr>
        <w:t>CONSOLIDATED STATEMENTS OF OPERATIONS</w:t>
      </w:r>
    </w:p>
    <w:p>
      <w:pPr>
        <w:spacing w:after="0" w:line="42" w:lineRule="exact"/>
        <w:rPr>
          <w:sz w:val="20"/>
          <w:szCs w:val="20"/>
          <w:color w:val="auto"/>
        </w:rPr>
      </w:pPr>
    </w:p>
    <w:p>
      <w:pPr>
        <w:jc w:val="center"/>
        <w:ind w:right="899"/>
        <w:spacing w:after="0"/>
        <w:rPr>
          <w:sz w:val="20"/>
          <w:szCs w:val="20"/>
          <w:color w:val="auto"/>
        </w:rPr>
      </w:pPr>
      <w:r>
        <w:rPr>
          <w:rFonts w:ascii="Arial" w:cs="Arial" w:eastAsia="Arial" w:hAnsi="Arial"/>
          <w:sz w:val="14"/>
          <w:szCs w:val="14"/>
          <w:color w:val="auto"/>
        </w:rPr>
        <w:t>(in millions, except per share data)</w:t>
      </w:r>
    </w:p>
    <w:p>
      <w:pPr>
        <w:spacing w:after="0" w:line="42" w:lineRule="exact"/>
        <w:rPr>
          <w:sz w:val="20"/>
          <w:szCs w:val="20"/>
          <w:color w:val="auto"/>
        </w:rPr>
      </w:pPr>
    </w:p>
    <w:p>
      <w:pPr>
        <w:jc w:val="center"/>
        <w:ind w:right="899"/>
        <w:spacing w:after="0"/>
        <w:rPr>
          <w:sz w:val="20"/>
          <w:szCs w:val="20"/>
          <w:color w:val="auto"/>
        </w:rPr>
      </w:pPr>
      <w:r>
        <w:rPr>
          <w:rFonts w:ascii="Arial" w:cs="Arial" w:eastAsia="Arial" w:hAnsi="Arial"/>
          <w:sz w:val="14"/>
          <w:szCs w:val="14"/>
          <w:color w:val="auto"/>
        </w:rPr>
        <w:t>(unaudited)</w:t>
      </w:r>
    </w:p>
    <w:p>
      <w:pPr>
        <w:spacing w:after="0" w:line="285"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38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color w:val="auto"/>
                <w:w w:val="91"/>
              </w:rPr>
              <w:t>Three Months Ended</w:t>
            </w:r>
          </w:p>
        </w:tc>
        <w:tc>
          <w:tcPr>
            <w:tcW w:w="2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6"/>
        </w:trPr>
        <w:tc>
          <w:tcPr>
            <w:tcW w:w="38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00" w:type="dxa"/>
            <w:vAlign w:val="bottom"/>
            <w:gridSpan w:val="2"/>
          </w:tcPr>
          <w:p>
            <w:pPr>
              <w:ind w:left="140"/>
              <w:spacing w:after="0" w:line="157" w:lineRule="exact"/>
              <w:rPr>
                <w:sz w:val="20"/>
                <w:szCs w:val="20"/>
                <w:color w:val="auto"/>
              </w:rPr>
            </w:pPr>
            <w:r>
              <w:rPr>
                <w:rFonts w:ascii="Arial" w:cs="Arial" w:eastAsia="Arial" w:hAnsi="Arial"/>
                <w:sz w:val="14"/>
                <w:szCs w:val="14"/>
                <w:color w:val="auto"/>
              </w:rPr>
              <w:t>June 30,</w:t>
            </w:r>
          </w:p>
        </w:tc>
        <w:tc>
          <w:tcPr>
            <w:tcW w:w="3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40" w:type="dxa"/>
            <w:vAlign w:val="bottom"/>
            <w:gridSpan w:val="3"/>
          </w:tcPr>
          <w:p>
            <w:pPr>
              <w:spacing w:after="0" w:line="157" w:lineRule="exact"/>
              <w:rPr>
                <w:sz w:val="20"/>
                <w:szCs w:val="20"/>
                <w:color w:val="auto"/>
              </w:rPr>
            </w:pPr>
            <w:r>
              <w:rPr>
                <w:rFonts w:ascii="Arial" w:cs="Arial" w:eastAsia="Arial" w:hAnsi="Arial"/>
                <w:sz w:val="14"/>
                <w:szCs w:val="14"/>
                <w:color w:val="auto"/>
              </w:rPr>
              <w:t>December 31,</w:t>
            </w:r>
          </w:p>
        </w:tc>
        <w:tc>
          <w:tcPr>
            <w:tcW w:w="1100" w:type="dxa"/>
            <w:vAlign w:val="bottom"/>
            <w:gridSpan w:val="3"/>
          </w:tcPr>
          <w:p>
            <w:pPr>
              <w:ind w:left="80"/>
              <w:spacing w:after="0" w:line="157" w:lineRule="exact"/>
              <w:rPr>
                <w:sz w:val="20"/>
                <w:szCs w:val="20"/>
                <w:color w:val="auto"/>
              </w:rPr>
            </w:pPr>
            <w:r>
              <w:rPr>
                <w:rFonts w:ascii="Arial" w:cs="Arial" w:eastAsia="Arial" w:hAnsi="Arial"/>
                <w:sz w:val="14"/>
                <w:szCs w:val="14"/>
                <w:color w:val="auto"/>
              </w:rPr>
              <w:t>September 30,</w:t>
            </w:r>
          </w:p>
        </w:tc>
        <w:tc>
          <w:tcPr>
            <w:tcW w:w="220" w:type="dxa"/>
            <w:vAlign w:val="bottom"/>
          </w:tcPr>
          <w:p>
            <w:pPr>
              <w:spacing w:after="0"/>
              <w:rPr>
                <w:sz w:val="13"/>
                <w:szCs w:val="13"/>
                <w:color w:val="auto"/>
              </w:rPr>
            </w:pPr>
          </w:p>
        </w:tc>
        <w:tc>
          <w:tcPr>
            <w:tcW w:w="800" w:type="dxa"/>
            <w:vAlign w:val="bottom"/>
          </w:tcPr>
          <w:p>
            <w:pPr>
              <w:jc w:val="right"/>
              <w:ind w:right="128"/>
              <w:spacing w:after="0" w:line="157" w:lineRule="exact"/>
              <w:rPr>
                <w:sz w:val="20"/>
                <w:szCs w:val="20"/>
                <w:color w:val="auto"/>
              </w:rPr>
            </w:pPr>
            <w:r>
              <w:rPr>
                <w:rFonts w:ascii="Arial" w:cs="Arial" w:eastAsia="Arial" w:hAnsi="Arial"/>
                <w:sz w:val="14"/>
                <w:szCs w:val="14"/>
                <w:color w:val="auto"/>
              </w:rPr>
              <w:t>June 30,</w:t>
            </w:r>
          </w:p>
        </w:tc>
        <w:tc>
          <w:tcPr>
            <w:tcW w:w="0" w:type="dxa"/>
            <w:vAlign w:val="bottom"/>
          </w:tcPr>
          <w:p>
            <w:pPr>
              <w:spacing w:after="0"/>
              <w:rPr>
                <w:sz w:val="1"/>
                <w:szCs w:val="1"/>
                <w:color w:val="auto"/>
              </w:rPr>
            </w:pPr>
          </w:p>
        </w:tc>
      </w:tr>
      <w:tr>
        <w:trPr>
          <w:trHeight w:val="188"/>
        </w:trPr>
        <w:tc>
          <w:tcPr>
            <w:tcW w:w="384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2019</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color w:val="auto"/>
                <w:w w:val="96"/>
              </w:rPr>
              <w:t>March 31, 2019</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color w:val="auto"/>
              </w:rPr>
              <w:t>2018</w:t>
            </w:r>
          </w:p>
        </w:tc>
        <w:tc>
          <w:tcPr>
            <w:tcW w:w="10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color w:val="auto"/>
              </w:rPr>
              <w:t>2018</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2018</w:t>
            </w:r>
          </w:p>
        </w:tc>
        <w:tc>
          <w:tcPr>
            <w:tcW w:w="0" w:type="dxa"/>
            <w:vAlign w:val="bottom"/>
          </w:tcPr>
          <w:p>
            <w:pPr>
              <w:spacing w:after="0"/>
              <w:rPr>
                <w:sz w:val="1"/>
                <w:szCs w:val="1"/>
                <w:color w:val="auto"/>
              </w:rPr>
            </w:pPr>
          </w:p>
        </w:tc>
      </w:tr>
      <w:tr>
        <w:trPr>
          <w:trHeight w:val="270"/>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Interest income:</w:t>
            </w:r>
          </w:p>
        </w:tc>
        <w:tc>
          <w:tcPr>
            <w:tcW w:w="20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840" w:type="dxa"/>
            <w:vAlign w:val="bottom"/>
          </w:tcPr>
          <w:p>
            <w:pPr>
              <w:ind w:left="140"/>
              <w:spacing w:after="0"/>
              <w:rPr>
                <w:sz w:val="20"/>
                <w:szCs w:val="20"/>
                <w:color w:val="auto"/>
              </w:rPr>
            </w:pPr>
            <w:r>
              <w:rPr>
                <w:rFonts w:ascii="Arial" w:cs="Arial" w:eastAsia="Arial" w:hAnsi="Arial"/>
                <w:sz w:val="14"/>
                <w:szCs w:val="14"/>
                <w:color w:val="auto"/>
              </w:rPr>
              <w:t>Interest income</w:t>
            </w: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780" w:type="dxa"/>
            <w:vAlign w:val="bottom"/>
          </w:tcPr>
          <w:p>
            <w:pPr>
              <w:jc w:val="right"/>
              <w:ind w:right="8"/>
              <w:spacing w:after="0"/>
              <w:rPr>
                <w:sz w:val="20"/>
                <w:szCs w:val="20"/>
                <w:color w:val="auto"/>
              </w:rPr>
            </w:pPr>
            <w:r>
              <w:rPr>
                <w:rFonts w:ascii="Arial" w:cs="Arial" w:eastAsia="Arial" w:hAnsi="Arial"/>
                <w:sz w:val="14"/>
                <w:szCs w:val="14"/>
                <w:color w:val="auto"/>
              </w:rPr>
              <w:t>693</w:t>
            </w:r>
          </w:p>
        </w:tc>
        <w:tc>
          <w:tcPr>
            <w:tcW w:w="120" w:type="dxa"/>
            <w:vAlign w:val="bottom"/>
          </w:tcPr>
          <w:p>
            <w:pPr>
              <w:spacing w:after="0"/>
              <w:rPr>
                <w:sz w:val="22"/>
                <w:szCs w:val="22"/>
                <w:color w:val="auto"/>
              </w:rPr>
            </w:pP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705</w:t>
            </w:r>
          </w:p>
        </w:tc>
        <w:tc>
          <w:tcPr>
            <w:tcW w:w="20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8"/>
              <w:spacing w:after="0"/>
              <w:rPr>
                <w:sz w:val="20"/>
                <w:szCs w:val="20"/>
                <w:color w:val="auto"/>
              </w:rPr>
            </w:pPr>
            <w:r>
              <w:rPr>
                <w:rFonts w:ascii="Arial" w:cs="Arial" w:eastAsia="Arial" w:hAnsi="Arial"/>
                <w:sz w:val="14"/>
                <w:szCs w:val="14"/>
                <w:color w:val="auto"/>
              </w:rPr>
              <w:t>604</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780" w:type="dxa"/>
            <w:vAlign w:val="bottom"/>
          </w:tcPr>
          <w:p>
            <w:pPr>
              <w:jc w:val="right"/>
              <w:ind w:right="8"/>
              <w:spacing w:after="0"/>
              <w:rPr>
                <w:sz w:val="20"/>
                <w:szCs w:val="20"/>
                <w:color w:val="auto"/>
              </w:rPr>
            </w:pPr>
            <w:r>
              <w:rPr>
                <w:rFonts w:ascii="Arial" w:cs="Arial" w:eastAsia="Arial" w:hAnsi="Arial"/>
                <w:sz w:val="14"/>
                <w:szCs w:val="14"/>
                <w:color w:val="auto"/>
              </w:rPr>
              <w:t>500</w:t>
            </w:r>
          </w:p>
        </w:tc>
        <w:tc>
          <w:tcPr>
            <w:tcW w:w="10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414</w:t>
            </w:r>
          </w:p>
        </w:tc>
        <w:tc>
          <w:tcPr>
            <w:tcW w:w="0" w:type="dxa"/>
            <w:vAlign w:val="bottom"/>
          </w:tcPr>
          <w:p>
            <w:pPr>
              <w:spacing w:after="0"/>
              <w:rPr>
                <w:sz w:val="1"/>
                <w:szCs w:val="1"/>
                <w:color w:val="auto"/>
              </w:rPr>
            </w:pPr>
          </w:p>
        </w:tc>
      </w:tr>
      <w:tr>
        <w:trPr>
          <w:trHeight w:val="270"/>
        </w:trPr>
        <w:tc>
          <w:tcPr>
            <w:tcW w:w="38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Interest expense</w:t>
            </w:r>
          </w:p>
        </w:tc>
        <w:tc>
          <w:tcPr>
            <w:tcW w:w="20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570</w:t>
            </w:r>
          </w:p>
        </w:tc>
        <w:tc>
          <w:tcPr>
            <w:tcW w:w="120" w:type="dxa"/>
            <w:vAlign w:val="bottom"/>
            <w:shd w:val="clear" w:color="auto" w:fill="CCEEFF"/>
          </w:tcPr>
          <w:p>
            <w:pPr>
              <w:spacing w:after="0"/>
              <w:rPr>
                <w:sz w:val="23"/>
                <w:szCs w:val="23"/>
                <w:color w:val="auto"/>
              </w:rPr>
            </w:pPr>
          </w:p>
        </w:tc>
        <w:tc>
          <w:tcPr>
            <w:tcW w:w="32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541</w:t>
            </w:r>
          </w:p>
        </w:tc>
        <w:tc>
          <w:tcPr>
            <w:tcW w:w="10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418</w:t>
            </w:r>
          </w:p>
        </w:tc>
        <w:tc>
          <w:tcPr>
            <w:tcW w:w="100" w:type="dxa"/>
            <w:vAlign w:val="bottom"/>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312</w:t>
            </w: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237</w:t>
            </w:r>
          </w:p>
        </w:tc>
        <w:tc>
          <w:tcPr>
            <w:tcW w:w="0" w:type="dxa"/>
            <w:vAlign w:val="bottom"/>
          </w:tcPr>
          <w:p>
            <w:pPr>
              <w:spacing w:after="0"/>
              <w:rPr>
                <w:sz w:val="1"/>
                <w:szCs w:val="1"/>
                <w:color w:val="auto"/>
              </w:rPr>
            </w:pPr>
          </w:p>
        </w:tc>
      </w:tr>
      <w:tr>
        <w:trPr>
          <w:trHeight w:val="250"/>
        </w:trPr>
        <w:tc>
          <w:tcPr>
            <w:tcW w:w="3840" w:type="dxa"/>
            <w:vAlign w:val="bottom"/>
            <w:tcBorders>
              <w:bottom w:val="single" w:sz="8" w:color="CCEEFF"/>
            </w:tcBorders>
          </w:tcPr>
          <w:p>
            <w:pPr>
              <w:ind w:left="400"/>
              <w:spacing w:after="0"/>
              <w:rPr>
                <w:sz w:val="20"/>
                <w:szCs w:val="20"/>
                <w:color w:val="auto"/>
              </w:rPr>
            </w:pPr>
            <w:r>
              <w:rPr>
                <w:rFonts w:ascii="Arial" w:cs="Arial" w:eastAsia="Arial" w:hAnsi="Arial"/>
                <w:sz w:val="14"/>
                <w:szCs w:val="14"/>
                <w:color w:val="auto"/>
              </w:rPr>
              <w:t>Net interest income</w:t>
            </w:r>
          </w:p>
        </w:tc>
        <w:tc>
          <w:tcPr>
            <w:tcW w:w="20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123</w:t>
            </w:r>
          </w:p>
        </w:tc>
        <w:tc>
          <w:tcPr>
            <w:tcW w:w="120" w:type="dxa"/>
            <w:vAlign w:val="bottom"/>
            <w:tcBorders>
              <w:bottom w:val="single" w:sz="8" w:color="CCEEFF"/>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164</w:t>
            </w:r>
          </w:p>
        </w:tc>
        <w:tc>
          <w:tcPr>
            <w:tcW w:w="10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186</w:t>
            </w:r>
          </w:p>
        </w:tc>
        <w:tc>
          <w:tcPr>
            <w:tcW w:w="100" w:type="dxa"/>
            <w:vAlign w:val="bottom"/>
            <w:tcBorders>
              <w:bottom w:val="single" w:sz="8" w:color="CCEEFF"/>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188</w:t>
            </w:r>
          </w:p>
        </w:tc>
        <w:tc>
          <w:tcPr>
            <w:tcW w:w="10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177</w:t>
            </w:r>
          </w:p>
        </w:tc>
        <w:tc>
          <w:tcPr>
            <w:tcW w:w="0" w:type="dxa"/>
            <w:vAlign w:val="bottom"/>
          </w:tcPr>
          <w:p>
            <w:pPr>
              <w:spacing w:after="0"/>
              <w:rPr>
                <w:sz w:val="1"/>
                <w:szCs w:val="1"/>
                <w:color w:val="auto"/>
              </w:rPr>
            </w:pPr>
          </w:p>
        </w:tc>
      </w:tr>
      <w:tr>
        <w:trPr>
          <w:trHeight w:val="270"/>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Other gain (loss), net:</w:t>
            </w:r>
          </w:p>
        </w:tc>
        <w:tc>
          <w:tcPr>
            <w:tcW w:w="20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840" w:type="dxa"/>
            <w:vAlign w:val="bottom"/>
          </w:tcPr>
          <w:p>
            <w:pPr>
              <w:ind w:left="180"/>
              <w:spacing w:after="0"/>
              <w:rPr>
                <w:sz w:val="20"/>
                <w:szCs w:val="20"/>
                <w:color w:val="auto"/>
              </w:rPr>
            </w:pPr>
            <w:r>
              <w:rPr>
                <w:rFonts w:ascii="Arial" w:cs="Arial" w:eastAsia="Arial" w:hAnsi="Arial"/>
                <w:sz w:val="14"/>
                <w:szCs w:val="14"/>
                <w:color w:val="auto"/>
              </w:rPr>
              <w:t>Realized gain (loss) on sale of investment securities, net</w:t>
            </w:r>
          </w:p>
        </w:tc>
        <w:tc>
          <w:tcPr>
            <w:tcW w:w="200" w:type="dxa"/>
            <w:vAlign w:val="bottom"/>
          </w:tcPr>
          <w:p>
            <w:pPr>
              <w:spacing w:after="0"/>
              <w:rPr>
                <w:sz w:val="22"/>
                <w:szCs w:val="22"/>
                <w:color w:val="auto"/>
              </w:rPr>
            </w:pPr>
          </w:p>
        </w:tc>
        <w:tc>
          <w:tcPr>
            <w:tcW w:w="780" w:type="dxa"/>
            <w:vAlign w:val="bottom"/>
          </w:tcPr>
          <w:p>
            <w:pPr>
              <w:jc w:val="right"/>
              <w:ind w:right="8"/>
              <w:spacing w:after="0"/>
              <w:rPr>
                <w:sz w:val="20"/>
                <w:szCs w:val="20"/>
                <w:color w:val="auto"/>
              </w:rPr>
            </w:pPr>
            <w:r>
              <w:rPr>
                <w:rFonts w:ascii="Arial" w:cs="Arial" w:eastAsia="Arial" w:hAnsi="Arial"/>
                <w:sz w:val="14"/>
                <w:szCs w:val="14"/>
                <w:color w:val="auto"/>
              </w:rPr>
              <w:t>132</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60</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(21)</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(40)</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(74)</w:t>
            </w:r>
          </w:p>
        </w:tc>
        <w:tc>
          <w:tcPr>
            <w:tcW w:w="0" w:type="dxa"/>
            <w:vAlign w:val="bottom"/>
          </w:tcPr>
          <w:p>
            <w:pPr>
              <w:spacing w:after="0"/>
              <w:rPr>
                <w:sz w:val="1"/>
                <w:szCs w:val="1"/>
                <w:color w:val="auto"/>
              </w:rPr>
            </w:pPr>
          </w:p>
        </w:tc>
      </w:tr>
      <w:tr>
        <w:trPr>
          <w:trHeight w:val="163"/>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w w:val="98"/>
              </w:rPr>
              <w:t>Unrealized gain (loss) on investment securities measured at</w:t>
            </w:r>
          </w:p>
        </w:tc>
        <w:tc>
          <w:tcPr>
            <w:tcW w:w="20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fair value through net income, net</w:t>
            </w:r>
          </w:p>
        </w:tc>
        <w:tc>
          <w:tcPr>
            <w:tcW w:w="200" w:type="dxa"/>
            <w:vAlign w:val="bottom"/>
            <w:shd w:val="clear" w:color="auto" w:fill="CCEEFF"/>
          </w:tcPr>
          <w:p>
            <w:pPr>
              <w:spacing w:after="0"/>
              <w:rPr>
                <w:sz w:val="16"/>
                <w:szCs w:val="16"/>
                <w:color w:val="auto"/>
              </w:rPr>
            </w:pPr>
          </w:p>
        </w:tc>
        <w:tc>
          <w:tcPr>
            <w:tcW w:w="7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759</w:t>
            </w:r>
          </w:p>
        </w:tc>
        <w:tc>
          <w:tcPr>
            <w:tcW w:w="12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1,060</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683</w:t>
            </w:r>
          </w:p>
        </w:tc>
        <w:tc>
          <w:tcPr>
            <w:tcW w:w="10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(363)</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(94)</w:t>
            </w:r>
          </w:p>
        </w:tc>
        <w:tc>
          <w:tcPr>
            <w:tcW w:w="0" w:type="dxa"/>
            <w:vAlign w:val="bottom"/>
          </w:tcPr>
          <w:p>
            <w:pPr>
              <w:spacing w:after="0"/>
              <w:rPr>
                <w:sz w:val="1"/>
                <w:szCs w:val="1"/>
                <w:color w:val="auto"/>
              </w:rPr>
            </w:pPr>
          </w:p>
        </w:tc>
      </w:tr>
      <w:tr>
        <w:trPr>
          <w:trHeight w:val="264"/>
        </w:trPr>
        <w:tc>
          <w:tcPr>
            <w:tcW w:w="3840" w:type="dxa"/>
            <w:vAlign w:val="bottom"/>
          </w:tcPr>
          <w:p>
            <w:pPr>
              <w:ind w:left="140"/>
              <w:spacing w:after="0"/>
              <w:rPr>
                <w:sz w:val="20"/>
                <w:szCs w:val="20"/>
                <w:color w:val="auto"/>
              </w:rPr>
            </w:pPr>
            <w:r>
              <w:rPr>
                <w:rFonts w:ascii="Arial" w:cs="Arial" w:eastAsia="Arial" w:hAnsi="Arial"/>
                <w:sz w:val="14"/>
                <w:szCs w:val="14"/>
                <w:color w:val="auto"/>
                <w:w w:val="96"/>
              </w:rPr>
              <w:t>Gain (loss) on derivative instruments and other securities, net</w:t>
            </w:r>
          </w:p>
        </w:tc>
        <w:tc>
          <w:tcPr>
            <w:tcW w:w="20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(1,438)</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(1,000)</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(1,633)</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jc w:val="right"/>
              <w:ind w:right="8"/>
              <w:spacing w:after="0"/>
              <w:rPr>
                <w:sz w:val="20"/>
                <w:szCs w:val="20"/>
                <w:color w:val="auto"/>
              </w:rPr>
            </w:pPr>
            <w:r>
              <w:rPr>
                <w:rFonts w:ascii="Arial" w:cs="Arial" w:eastAsia="Arial" w:hAnsi="Arial"/>
                <w:sz w:val="14"/>
                <w:szCs w:val="14"/>
                <w:color w:val="auto"/>
              </w:rPr>
              <w:t>430</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298</w:t>
            </w:r>
          </w:p>
        </w:tc>
        <w:tc>
          <w:tcPr>
            <w:tcW w:w="0" w:type="dxa"/>
            <w:vAlign w:val="bottom"/>
          </w:tcPr>
          <w:p>
            <w:pPr>
              <w:spacing w:after="0"/>
              <w:rPr>
                <w:sz w:val="1"/>
                <w:szCs w:val="1"/>
                <w:color w:val="auto"/>
              </w:rPr>
            </w:pPr>
          </w:p>
        </w:tc>
      </w:tr>
      <w:tr>
        <w:trPr>
          <w:trHeight w:val="270"/>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Management fee income</w:t>
            </w:r>
          </w:p>
        </w:tc>
        <w:tc>
          <w:tcPr>
            <w:tcW w:w="200" w:type="dxa"/>
            <w:vAlign w:val="bottom"/>
            <w:shd w:val="clear" w:color="auto" w:fill="CCEEFF"/>
          </w:tcPr>
          <w:p>
            <w:pPr>
              <w:spacing w:after="0"/>
              <w:rPr>
                <w:sz w:val="23"/>
                <w:szCs w:val="23"/>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23"/>
                <w:szCs w:val="23"/>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40" w:type="dxa"/>
            <w:vAlign w:val="bottom"/>
            <w:gridSpan w:val="3"/>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3"/>
                <w:szCs w:val="23"/>
                <w:color w:val="auto"/>
              </w:rPr>
            </w:pPr>
          </w:p>
        </w:tc>
        <w:tc>
          <w:tcPr>
            <w:tcW w:w="7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46</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250"/>
        </w:trPr>
        <w:tc>
          <w:tcPr>
            <w:tcW w:w="3840" w:type="dxa"/>
            <w:vAlign w:val="bottom"/>
            <w:tcBorders>
              <w:bottom w:val="single" w:sz="8" w:color="CCEEFF"/>
            </w:tcBorders>
          </w:tcPr>
          <w:p>
            <w:pPr>
              <w:ind w:left="380"/>
              <w:spacing w:after="0"/>
              <w:rPr>
                <w:sz w:val="20"/>
                <w:szCs w:val="20"/>
                <w:color w:val="auto"/>
              </w:rPr>
            </w:pPr>
            <w:r>
              <w:rPr>
                <w:rFonts w:ascii="Arial" w:cs="Arial" w:eastAsia="Arial" w:hAnsi="Arial"/>
                <w:sz w:val="14"/>
                <w:szCs w:val="14"/>
                <w:color w:val="auto"/>
              </w:rPr>
              <w:t>Total other gain (loss), net</w:t>
            </w:r>
          </w:p>
        </w:tc>
        <w:tc>
          <w:tcPr>
            <w:tcW w:w="200" w:type="dxa"/>
            <w:vAlign w:val="bottom"/>
            <w:tcBorders>
              <w:top w:val="single" w:sz="8" w:color="auto"/>
              <w:bottom w:val="single" w:sz="8" w:color="auto"/>
            </w:tcBorders>
          </w:tcPr>
          <w:p>
            <w:pPr>
              <w:spacing w:after="0"/>
              <w:rPr>
                <w:sz w:val="21"/>
                <w:szCs w:val="21"/>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(547)</w:t>
            </w:r>
          </w:p>
        </w:tc>
        <w:tc>
          <w:tcPr>
            <w:tcW w:w="120" w:type="dxa"/>
            <w:vAlign w:val="bottom"/>
            <w:tcBorders>
              <w:bottom w:val="single" w:sz="8" w:color="CCEEFF"/>
            </w:tcBorders>
          </w:tcPr>
          <w:p>
            <w:pPr>
              <w:spacing w:after="0"/>
              <w:rPr>
                <w:sz w:val="21"/>
                <w:szCs w:val="21"/>
                <w:color w:val="auto"/>
              </w:rPr>
            </w:pPr>
          </w:p>
        </w:tc>
        <w:tc>
          <w:tcPr>
            <w:tcW w:w="320" w:type="dxa"/>
            <w:vAlign w:val="bottom"/>
            <w:tcBorders>
              <w:top w:val="single" w:sz="8" w:color="auto"/>
              <w:bottom w:val="single" w:sz="8" w:color="auto"/>
            </w:tcBorders>
          </w:tcPr>
          <w:p>
            <w:pPr>
              <w:spacing w:after="0"/>
              <w:rPr>
                <w:sz w:val="21"/>
                <w:szCs w:val="21"/>
                <w:color w:val="auto"/>
              </w:rPr>
            </w:pPr>
          </w:p>
        </w:tc>
        <w:tc>
          <w:tcPr>
            <w:tcW w:w="7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120</w:t>
            </w:r>
          </w:p>
        </w:tc>
        <w:tc>
          <w:tcPr>
            <w:tcW w:w="10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spacing w:after="0"/>
              <w:rPr>
                <w:sz w:val="21"/>
                <w:szCs w:val="21"/>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(971)</w:t>
            </w:r>
          </w:p>
        </w:tc>
        <w:tc>
          <w:tcPr>
            <w:tcW w:w="100" w:type="dxa"/>
            <w:vAlign w:val="bottom"/>
            <w:tcBorders>
              <w:bottom w:val="single" w:sz="8" w:color="CCEEFF"/>
            </w:tcBorders>
          </w:tcPr>
          <w:p>
            <w:pPr>
              <w:spacing w:after="0"/>
              <w:rPr>
                <w:sz w:val="21"/>
                <w:szCs w:val="21"/>
                <w:color w:val="auto"/>
              </w:rPr>
            </w:pPr>
          </w:p>
        </w:tc>
        <w:tc>
          <w:tcPr>
            <w:tcW w:w="20" w:type="dxa"/>
            <w:vAlign w:val="bottom"/>
            <w:tcBorders>
              <w:top w:val="single" w:sz="8" w:color="auto"/>
              <w:bottom w:val="single" w:sz="8" w:color="auto"/>
            </w:tcBorders>
          </w:tcPr>
          <w:p>
            <w:pPr>
              <w:spacing w:after="0"/>
              <w:rPr>
                <w:sz w:val="21"/>
                <w:szCs w:val="21"/>
                <w:color w:val="auto"/>
              </w:rPr>
            </w:pPr>
          </w:p>
        </w:tc>
        <w:tc>
          <w:tcPr>
            <w:tcW w:w="220" w:type="dxa"/>
            <w:vAlign w:val="bottom"/>
            <w:tcBorders>
              <w:top w:val="single" w:sz="8" w:color="auto"/>
              <w:bottom w:val="single" w:sz="8" w:color="auto"/>
            </w:tcBorders>
          </w:tcPr>
          <w:p>
            <w:pPr>
              <w:spacing w:after="0"/>
              <w:rPr>
                <w:sz w:val="21"/>
                <w:szCs w:val="21"/>
                <w:color w:val="auto"/>
              </w:rPr>
            </w:pPr>
          </w:p>
        </w:tc>
        <w:tc>
          <w:tcPr>
            <w:tcW w:w="78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73</w:t>
            </w:r>
          </w:p>
        </w:tc>
        <w:tc>
          <w:tcPr>
            <w:tcW w:w="100" w:type="dxa"/>
            <w:vAlign w:val="bottom"/>
            <w:tcBorders>
              <w:bottom w:val="single" w:sz="8" w:color="CCEEFF"/>
            </w:tcBorders>
          </w:tcPr>
          <w:p>
            <w:pPr>
              <w:spacing w:after="0"/>
              <w:rPr>
                <w:sz w:val="21"/>
                <w:szCs w:val="21"/>
                <w:color w:val="auto"/>
              </w:rPr>
            </w:pPr>
          </w:p>
        </w:tc>
        <w:tc>
          <w:tcPr>
            <w:tcW w:w="220" w:type="dxa"/>
            <w:vAlign w:val="bottom"/>
            <w:tcBorders>
              <w:top w:val="single" w:sz="8" w:color="auto"/>
              <w:bottom w:val="single" w:sz="8" w:color="auto"/>
            </w:tcBorders>
          </w:tcPr>
          <w:p>
            <w:pPr>
              <w:spacing w:after="0"/>
              <w:rPr>
                <w:sz w:val="21"/>
                <w:szCs w:val="21"/>
                <w:color w:val="auto"/>
              </w:rPr>
            </w:pPr>
          </w:p>
        </w:tc>
        <w:tc>
          <w:tcPr>
            <w:tcW w:w="80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134</w:t>
            </w:r>
          </w:p>
        </w:tc>
        <w:tc>
          <w:tcPr>
            <w:tcW w:w="0" w:type="dxa"/>
            <w:vAlign w:val="bottom"/>
          </w:tcPr>
          <w:p>
            <w:pPr>
              <w:spacing w:after="0"/>
              <w:rPr>
                <w:sz w:val="1"/>
                <w:szCs w:val="1"/>
                <w:color w:val="auto"/>
              </w:rPr>
            </w:pPr>
          </w:p>
        </w:tc>
      </w:tr>
      <w:tr>
        <w:trPr>
          <w:trHeight w:val="270"/>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Expenses:</w:t>
            </w:r>
          </w:p>
        </w:tc>
        <w:tc>
          <w:tcPr>
            <w:tcW w:w="20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840" w:type="dxa"/>
            <w:vAlign w:val="bottom"/>
          </w:tcPr>
          <w:p>
            <w:pPr>
              <w:ind w:left="180"/>
              <w:spacing w:after="0"/>
              <w:rPr>
                <w:sz w:val="20"/>
                <w:szCs w:val="20"/>
                <w:color w:val="auto"/>
              </w:rPr>
            </w:pPr>
            <w:r>
              <w:rPr>
                <w:rFonts w:ascii="Arial" w:cs="Arial" w:eastAsia="Arial" w:hAnsi="Arial"/>
                <w:sz w:val="14"/>
                <w:szCs w:val="14"/>
                <w:color w:val="auto"/>
              </w:rPr>
              <w:t>Compensation and benefits</w:t>
            </w:r>
          </w:p>
        </w:tc>
        <w:tc>
          <w:tcPr>
            <w:tcW w:w="200" w:type="dxa"/>
            <w:vAlign w:val="bottom"/>
          </w:tcPr>
          <w:p>
            <w:pPr>
              <w:spacing w:after="0"/>
              <w:rPr>
                <w:sz w:val="22"/>
                <w:szCs w:val="22"/>
                <w:color w:val="auto"/>
              </w:rPr>
            </w:pPr>
          </w:p>
        </w:tc>
        <w:tc>
          <w:tcPr>
            <w:tcW w:w="780" w:type="dxa"/>
            <w:vAlign w:val="bottom"/>
          </w:tcPr>
          <w:p>
            <w:pPr>
              <w:jc w:val="right"/>
              <w:ind w:right="8"/>
              <w:spacing w:after="0"/>
              <w:rPr>
                <w:sz w:val="20"/>
                <w:szCs w:val="20"/>
                <w:color w:val="auto"/>
              </w:rPr>
            </w:pPr>
            <w:r>
              <w:rPr>
                <w:rFonts w:ascii="Arial" w:cs="Arial" w:eastAsia="Arial" w:hAnsi="Arial"/>
                <w:sz w:val="14"/>
                <w:szCs w:val="14"/>
                <w:color w:val="auto"/>
              </w:rPr>
              <w:t>11</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10</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20" w:type="dxa"/>
            <w:vAlign w:val="bottom"/>
          </w:tcPr>
          <w:p>
            <w:pPr>
              <w:jc w:val="right"/>
              <w:ind w:right="8"/>
              <w:spacing w:after="0"/>
              <w:rPr>
                <w:sz w:val="20"/>
                <w:szCs w:val="20"/>
                <w:color w:val="auto"/>
              </w:rPr>
            </w:pPr>
            <w:r>
              <w:rPr>
                <w:rFonts w:ascii="Arial" w:cs="Arial" w:eastAsia="Arial" w:hAnsi="Arial"/>
                <w:sz w:val="14"/>
                <w:szCs w:val="14"/>
                <w:color w:val="auto"/>
              </w:rPr>
              <w:t>11</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jc w:val="right"/>
              <w:ind w:right="8"/>
              <w:spacing w:after="0"/>
              <w:rPr>
                <w:sz w:val="20"/>
                <w:szCs w:val="20"/>
                <w:color w:val="auto"/>
              </w:rPr>
            </w:pPr>
            <w:r>
              <w:rPr>
                <w:rFonts w:ascii="Arial" w:cs="Arial" w:eastAsia="Arial" w:hAnsi="Arial"/>
                <w:sz w:val="14"/>
                <w:szCs w:val="14"/>
                <w:color w:val="auto"/>
              </w:rPr>
              <w:t>14</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10</w:t>
            </w:r>
          </w:p>
        </w:tc>
        <w:tc>
          <w:tcPr>
            <w:tcW w:w="0" w:type="dxa"/>
            <w:vAlign w:val="bottom"/>
          </w:tcPr>
          <w:p>
            <w:pPr>
              <w:spacing w:after="0"/>
              <w:rPr>
                <w:sz w:val="1"/>
                <w:szCs w:val="1"/>
                <w:color w:val="auto"/>
              </w:rPr>
            </w:pPr>
          </w:p>
        </w:tc>
      </w:tr>
      <w:tr>
        <w:trPr>
          <w:trHeight w:val="270"/>
        </w:trPr>
        <w:tc>
          <w:tcPr>
            <w:tcW w:w="38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Other operating expense</w:t>
            </w:r>
          </w:p>
        </w:tc>
        <w:tc>
          <w:tcPr>
            <w:tcW w:w="20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9</w:t>
            </w:r>
          </w:p>
        </w:tc>
        <w:tc>
          <w:tcPr>
            <w:tcW w:w="120" w:type="dxa"/>
            <w:vAlign w:val="bottom"/>
            <w:shd w:val="clear" w:color="auto" w:fill="CCEEFF"/>
          </w:tcPr>
          <w:p>
            <w:pPr>
              <w:spacing w:after="0"/>
              <w:rPr>
                <w:sz w:val="23"/>
                <w:szCs w:val="23"/>
                <w:color w:val="auto"/>
              </w:rPr>
            </w:pPr>
          </w:p>
        </w:tc>
        <w:tc>
          <w:tcPr>
            <w:tcW w:w="32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w:t>
            </w:r>
          </w:p>
        </w:tc>
        <w:tc>
          <w:tcPr>
            <w:tcW w:w="10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8</w:t>
            </w:r>
          </w:p>
        </w:tc>
        <w:tc>
          <w:tcPr>
            <w:tcW w:w="100" w:type="dxa"/>
            <w:vAlign w:val="bottom"/>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31</w:t>
            </w: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8</w:t>
            </w:r>
          </w:p>
        </w:tc>
        <w:tc>
          <w:tcPr>
            <w:tcW w:w="0" w:type="dxa"/>
            <w:vAlign w:val="bottom"/>
          </w:tcPr>
          <w:p>
            <w:pPr>
              <w:spacing w:after="0"/>
              <w:rPr>
                <w:sz w:val="1"/>
                <w:szCs w:val="1"/>
                <w:color w:val="auto"/>
              </w:rPr>
            </w:pPr>
          </w:p>
        </w:tc>
      </w:tr>
      <w:tr>
        <w:trPr>
          <w:trHeight w:val="250"/>
        </w:trPr>
        <w:tc>
          <w:tcPr>
            <w:tcW w:w="3840" w:type="dxa"/>
            <w:vAlign w:val="bottom"/>
            <w:tcBorders>
              <w:bottom w:val="single" w:sz="8" w:color="CCEEFF"/>
            </w:tcBorders>
          </w:tcPr>
          <w:p>
            <w:pPr>
              <w:ind w:left="400"/>
              <w:spacing w:after="0"/>
              <w:rPr>
                <w:sz w:val="20"/>
                <w:szCs w:val="20"/>
                <w:color w:val="auto"/>
              </w:rPr>
            </w:pPr>
            <w:r>
              <w:rPr>
                <w:rFonts w:ascii="Arial" w:cs="Arial" w:eastAsia="Arial" w:hAnsi="Arial"/>
                <w:sz w:val="14"/>
                <w:szCs w:val="14"/>
                <w:color w:val="auto"/>
              </w:rPr>
              <w:t>Total operating expense</w:t>
            </w:r>
          </w:p>
        </w:tc>
        <w:tc>
          <w:tcPr>
            <w:tcW w:w="20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20</w:t>
            </w:r>
          </w:p>
        </w:tc>
        <w:tc>
          <w:tcPr>
            <w:tcW w:w="120" w:type="dxa"/>
            <w:vAlign w:val="bottom"/>
            <w:tcBorders>
              <w:bottom w:val="single" w:sz="8" w:color="CCEEFF"/>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19</w:t>
            </w:r>
          </w:p>
        </w:tc>
        <w:tc>
          <w:tcPr>
            <w:tcW w:w="10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19</w:t>
            </w:r>
          </w:p>
        </w:tc>
        <w:tc>
          <w:tcPr>
            <w:tcW w:w="100" w:type="dxa"/>
            <w:vAlign w:val="bottom"/>
            <w:tcBorders>
              <w:bottom w:val="single" w:sz="8" w:color="CCEEFF"/>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45</w:t>
            </w:r>
          </w:p>
        </w:tc>
        <w:tc>
          <w:tcPr>
            <w:tcW w:w="10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18</w:t>
            </w:r>
          </w:p>
        </w:tc>
        <w:tc>
          <w:tcPr>
            <w:tcW w:w="0" w:type="dxa"/>
            <w:vAlign w:val="bottom"/>
          </w:tcPr>
          <w:p>
            <w:pPr>
              <w:spacing w:after="0"/>
              <w:rPr>
                <w:sz w:val="1"/>
                <w:szCs w:val="1"/>
                <w:color w:val="auto"/>
              </w:rPr>
            </w:pPr>
          </w:p>
        </w:tc>
      </w:tr>
      <w:tr>
        <w:trPr>
          <w:trHeight w:val="256"/>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Net income (loss)</w:t>
            </w:r>
          </w:p>
        </w:tc>
        <w:tc>
          <w:tcPr>
            <w:tcW w:w="200" w:type="dxa"/>
            <w:vAlign w:val="bottom"/>
            <w:shd w:val="clear" w:color="auto" w:fill="CCEEFF"/>
          </w:tcPr>
          <w:p>
            <w:pPr>
              <w:spacing w:after="0"/>
              <w:rPr>
                <w:sz w:val="22"/>
                <w:szCs w:val="22"/>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(444)</w:t>
            </w:r>
          </w:p>
        </w:tc>
        <w:tc>
          <w:tcPr>
            <w:tcW w:w="120" w:type="dxa"/>
            <w:vAlign w:val="bottom"/>
            <w:shd w:val="clear" w:color="auto" w:fill="CCEEFF"/>
          </w:tcPr>
          <w:p>
            <w:pPr>
              <w:spacing w:after="0"/>
              <w:rPr>
                <w:sz w:val="22"/>
                <w:szCs w:val="22"/>
                <w:color w:val="auto"/>
              </w:rPr>
            </w:pPr>
          </w:p>
        </w:tc>
        <w:tc>
          <w:tcPr>
            <w:tcW w:w="320" w:type="dxa"/>
            <w:vAlign w:val="bottom"/>
            <w:shd w:val="clear" w:color="auto" w:fill="CCEEFF"/>
          </w:tcPr>
          <w:p>
            <w:pPr>
              <w:spacing w:after="0"/>
              <w:rPr>
                <w:sz w:val="22"/>
                <w:szCs w:val="22"/>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265</w:t>
            </w:r>
          </w:p>
        </w:tc>
        <w:tc>
          <w:tcPr>
            <w:tcW w:w="1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(804)</w:t>
            </w:r>
          </w:p>
        </w:tc>
        <w:tc>
          <w:tcPr>
            <w:tcW w:w="10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216</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293</w:t>
            </w:r>
          </w:p>
        </w:tc>
        <w:tc>
          <w:tcPr>
            <w:tcW w:w="0" w:type="dxa"/>
            <w:vAlign w:val="bottom"/>
          </w:tcPr>
          <w:p>
            <w:pPr>
              <w:spacing w:after="0"/>
              <w:rPr>
                <w:sz w:val="1"/>
                <w:szCs w:val="1"/>
                <w:color w:val="auto"/>
              </w:rPr>
            </w:pPr>
          </w:p>
        </w:tc>
      </w:tr>
      <w:tr>
        <w:trPr>
          <w:trHeight w:val="264"/>
        </w:trPr>
        <w:tc>
          <w:tcPr>
            <w:tcW w:w="3840" w:type="dxa"/>
            <w:vAlign w:val="bottom"/>
            <w:tcBorders>
              <w:bottom w:val="single" w:sz="8" w:color="CCEEFF"/>
            </w:tcBorders>
          </w:tcPr>
          <w:p>
            <w:pPr>
              <w:ind w:left="180"/>
              <w:spacing w:after="0"/>
              <w:rPr>
                <w:sz w:val="20"/>
                <w:szCs w:val="20"/>
                <w:color w:val="auto"/>
              </w:rPr>
            </w:pPr>
            <w:r>
              <w:rPr>
                <w:rFonts w:ascii="Arial" w:cs="Arial" w:eastAsia="Arial" w:hAnsi="Arial"/>
                <w:sz w:val="14"/>
                <w:szCs w:val="14"/>
                <w:color w:val="auto"/>
              </w:rPr>
              <w:t>Dividend on preferred stock</w:t>
            </w:r>
          </w:p>
        </w:tc>
        <w:tc>
          <w:tcPr>
            <w:tcW w:w="20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13</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w:t>
            </w: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9</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9</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9</w:t>
            </w:r>
          </w:p>
        </w:tc>
        <w:tc>
          <w:tcPr>
            <w:tcW w:w="0" w:type="dxa"/>
            <w:vAlign w:val="bottom"/>
          </w:tcPr>
          <w:p>
            <w:pPr>
              <w:spacing w:after="0"/>
              <w:rPr>
                <w:sz w:val="1"/>
                <w:szCs w:val="1"/>
                <w:color w:val="auto"/>
              </w:rPr>
            </w:pPr>
          </w:p>
        </w:tc>
      </w:tr>
      <w:tr>
        <w:trPr>
          <w:trHeight w:val="139"/>
        </w:trPr>
        <w:tc>
          <w:tcPr>
            <w:tcW w:w="3840" w:type="dxa"/>
            <w:vAlign w:val="bottom"/>
            <w:shd w:val="clear" w:color="auto" w:fill="CCEEFF"/>
          </w:tcPr>
          <w:p>
            <w:pPr>
              <w:ind w:left="40"/>
              <w:spacing w:after="0" w:line="139" w:lineRule="exact"/>
              <w:rPr>
                <w:sz w:val="20"/>
                <w:szCs w:val="20"/>
                <w:color w:val="auto"/>
              </w:rPr>
            </w:pPr>
            <w:r>
              <w:rPr>
                <w:rFonts w:ascii="Arial" w:cs="Arial" w:eastAsia="Arial" w:hAnsi="Arial"/>
                <w:sz w:val="14"/>
                <w:szCs w:val="14"/>
                <w:b w:val="1"/>
                <w:bCs w:val="1"/>
                <w:color w:val="auto"/>
              </w:rPr>
              <w:t>Net income (loss) available (attributable) to common</w:t>
            </w:r>
          </w:p>
        </w:tc>
        <w:tc>
          <w:tcPr>
            <w:tcW w:w="20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(457)</w:t>
            </w:r>
          </w:p>
        </w:tc>
        <w:tc>
          <w:tcPr>
            <w:tcW w:w="120" w:type="dxa"/>
            <w:vAlign w:val="bottom"/>
            <w:shd w:val="clear" w:color="auto" w:fill="CCEEFF"/>
          </w:tcPr>
          <w:p>
            <w:pPr>
              <w:spacing w:after="0"/>
              <w:rPr>
                <w:sz w:val="12"/>
                <w:szCs w:val="12"/>
                <w:color w:val="auto"/>
              </w:rPr>
            </w:pPr>
          </w:p>
        </w:tc>
        <w:tc>
          <w:tcPr>
            <w:tcW w:w="320" w:type="dxa"/>
            <w:vAlign w:val="bottom"/>
            <w:vMerge w:val="restart"/>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7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255</w:t>
            </w:r>
          </w:p>
        </w:tc>
        <w:tc>
          <w:tcPr>
            <w:tcW w:w="20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(813)</w:t>
            </w:r>
          </w:p>
        </w:tc>
        <w:tc>
          <w:tcPr>
            <w:tcW w:w="1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22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7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207</w:t>
            </w:r>
          </w:p>
        </w:tc>
        <w:tc>
          <w:tcPr>
            <w:tcW w:w="100" w:type="dxa"/>
            <w:vAlign w:val="bottom"/>
            <w:shd w:val="clear" w:color="auto" w:fill="CCEEFF"/>
          </w:tcPr>
          <w:p>
            <w:pPr>
              <w:spacing w:after="0"/>
              <w:rPr>
                <w:sz w:val="12"/>
                <w:szCs w:val="12"/>
                <w:color w:val="auto"/>
              </w:rPr>
            </w:pPr>
          </w:p>
        </w:tc>
        <w:tc>
          <w:tcPr>
            <w:tcW w:w="22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284</w:t>
            </w:r>
          </w:p>
        </w:tc>
        <w:tc>
          <w:tcPr>
            <w:tcW w:w="0" w:type="dxa"/>
            <w:vAlign w:val="bottom"/>
          </w:tcPr>
          <w:p>
            <w:pPr>
              <w:spacing w:after="0"/>
              <w:rPr>
                <w:sz w:val="1"/>
                <w:szCs w:val="1"/>
                <w:color w:val="auto"/>
              </w:rPr>
            </w:pPr>
          </w:p>
        </w:tc>
      </w:tr>
      <w:tr>
        <w:trPr>
          <w:trHeight w:val="185"/>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stockholders</w:t>
            </w:r>
          </w:p>
        </w:tc>
        <w:tc>
          <w:tcPr>
            <w:tcW w:w="200" w:type="dxa"/>
            <w:vAlign w:val="bottom"/>
            <w:vMerge w:val="continue"/>
            <w:shd w:val="clear" w:color="auto" w:fill="CCEEFF"/>
          </w:tcPr>
          <w:p>
            <w:pPr>
              <w:spacing w:after="0"/>
              <w:rPr>
                <w:sz w:val="16"/>
                <w:szCs w:val="16"/>
                <w:color w:val="auto"/>
              </w:rPr>
            </w:pPr>
          </w:p>
        </w:tc>
        <w:tc>
          <w:tcPr>
            <w:tcW w:w="78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320" w:type="dxa"/>
            <w:vAlign w:val="bottom"/>
            <w:vMerge w:val="continue"/>
            <w:shd w:val="clear" w:color="auto" w:fill="CCEEFF"/>
          </w:tcPr>
          <w:p>
            <w:pPr>
              <w:spacing w:after="0"/>
              <w:rPr>
                <w:sz w:val="16"/>
                <w:szCs w:val="16"/>
                <w:color w:val="auto"/>
              </w:rPr>
            </w:pPr>
          </w:p>
        </w:tc>
        <w:tc>
          <w:tcPr>
            <w:tcW w:w="700" w:type="dxa"/>
            <w:vAlign w:val="bottom"/>
            <w:vMerge w:val="continue"/>
            <w:shd w:val="clear" w:color="auto" w:fill="CCEEFF"/>
          </w:tcPr>
          <w:p>
            <w:pPr>
              <w:spacing w:after="0"/>
              <w:rPr>
                <w:sz w:val="16"/>
                <w:szCs w:val="16"/>
                <w:color w:val="auto"/>
              </w:rPr>
            </w:pPr>
          </w:p>
        </w:tc>
        <w:tc>
          <w:tcPr>
            <w:tcW w:w="200" w:type="dxa"/>
            <w:vAlign w:val="bottom"/>
            <w:gridSpan w:val="2"/>
            <w:vMerge w:val="continue"/>
            <w:shd w:val="clear" w:color="auto" w:fill="CCEEFF"/>
          </w:tcPr>
          <w:p>
            <w:pPr>
              <w:spacing w:after="0"/>
              <w:rPr>
                <w:sz w:val="16"/>
                <w:szCs w:val="16"/>
                <w:color w:val="auto"/>
              </w:rPr>
            </w:pPr>
          </w:p>
        </w:tc>
        <w:tc>
          <w:tcPr>
            <w:tcW w:w="9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220" w:type="dxa"/>
            <w:vAlign w:val="bottom"/>
            <w:vMerge w:val="continue"/>
            <w:shd w:val="clear" w:color="auto" w:fill="CCEEFF"/>
          </w:tcPr>
          <w:p>
            <w:pPr>
              <w:spacing w:after="0"/>
              <w:rPr>
                <w:sz w:val="16"/>
                <w:szCs w:val="16"/>
                <w:color w:val="auto"/>
              </w:rPr>
            </w:pPr>
          </w:p>
        </w:tc>
        <w:tc>
          <w:tcPr>
            <w:tcW w:w="7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vMerge w:val="continue"/>
            <w:shd w:val="clear" w:color="auto" w:fill="CCEEFF"/>
          </w:tcPr>
          <w:p>
            <w:pPr>
              <w:spacing w:after="0"/>
              <w:rPr>
                <w:sz w:val="16"/>
                <w:szCs w:val="16"/>
                <w:color w:val="auto"/>
              </w:rPr>
            </w:pPr>
          </w:p>
        </w:tc>
        <w:tc>
          <w:tcPr>
            <w:tcW w:w="80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8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38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Net income (loss)</w:t>
            </w: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(444)</w:t>
            </w:r>
          </w:p>
        </w:tc>
        <w:tc>
          <w:tcPr>
            <w:tcW w:w="120" w:type="dxa"/>
            <w:vAlign w:val="bottom"/>
            <w:shd w:val="clear" w:color="auto" w:fill="CCEEFF"/>
          </w:tcPr>
          <w:p>
            <w:pPr>
              <w:spacing w:after="0"/>
              <w:rPr>
                <w:sz w:val="23"/>
                <w:szCs w:val="23"/>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265</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(804)</w:t>
            </w: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216</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293</w:t>
            </w:r>
          </w:p>
        </w:tc>
        <w:tc>
          <w:tcPr>
            <w:tcW w:w="0" w:type="dxa"/>
            <w:vAlign w:val="bottom"/>
          </w:tcPr>
          <w:p>
            <w:pPr>
              <w:spacing w:after="0"/>
              <w:rPr>
                <w:sz w:val="1"/>
                <w:szCs w:val="1"/>
                <w:color w:val="auto"/>
              </w:rPr>
            </w:pPr>
          </w:p>
        </w:tc>
      </w:tr>
      <w:tr>
        <w:trPr>
          <w:trHeight w:val="157"/>
        </w:trPr>
        <w:tc>
          <w:tcPr>
            <w:tcW w:w="3840" w:type="dxa"/>
            <w:vAlign w:val="bottom"/>
          </w:tcPr>
          <w:p>
            <w:pPr>
              <w:ind w:left="180"/>
              <w:spacing w:after="0" w:line="157" w:lineRule="exact"/>
              <w:rPr>
                <w:sz w:val="20"/>
                <w:szCs w:val="20"/>
                <w:color w:val="auto"/>
              </w:rPr>
            </w:pPr>
            <w:r>
              <w:rPr>
                <w:rFonts w:ascii="Arial" w:cs="Arial" w:eastAsia="Arial" w:hAnsi="Arial"/>
                <w:sz w:val="14"/>
                <w:szCs w:val="14"/>
                <w:color w:val="auto"/>
                <w:w w:val="98"/>
              </w:rPr>
              <w:t>Unrealized gain (loss) on investment securities measured at</w:t>
            </w:r>
          </w:p>
        </w:tc>
        <w:tc>
          <w:tcPr>
            <w:tcW w:w="2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3840" w:type="dxa"/>
            <w:vAlign w:val="bottom"/>
            <w:tcBorders>
              <w:bottom w:val="single" w:sz="8" w:color="CCEEFF"/>
            </w:tcBorders>
          </w:tcPr>
          <w:p>
            <w:pPr>
              <w:ind w:left="180"/>
              <w:spacing w:after="0"/>
              <w:rPr>
                <w:sz w:val="20"/>
                <w:szCs w:val="20"/>
                <w:color w:val="auto"/>
              </w:rPr>
            </w:pPr>
            <w:r>
              <w:rPr>
                <w:rFonts w:ascii="Arial" w:cs="Arial" w:eastAsia="Arial" w:hAnsi="Arial"/>
                <w:sz w:val="14"/>
                <w:szCs w:val="14"/>
                <w:color w:val="auto"/>
              </w:rPr>
              <w:t>fair value through other comprehensive income (loss), net</w:t>
            </w:r>
          </w:p>
        </w:tc>
        <w:tc>
          <w:tcPr>
            <w:tcW w:w="2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379</w:t>
            </w:r>
          </w:p>
        </w:tc>
        <w:tc>
          <w:tcPr>
            <w:tcW w:w="12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400</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361</w:t>
            </w:r>
          </w:p>
        </w:tc>
        <w:tc>
          <w:tcPr>
            <w:tcW w:w="10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(193)</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(145)</w:t>
            </w:r>
          </w:p>
        </w:tc>
        <w:tc>
          <w:tcPr>
            <w:tcW w:w="0" w:type="dxa"/>
            <w:vAlign w:val="bottom"/>
          </w:tcPr>
          <w:p>
            <w:pPr>
              <w:spacing w:after="0"/>
              <w:rPr>
                <w:sz w:val="1"/>
                <w:szCs w:val="1"/>
                <w:color w:val="auto"/>
              </w:rPr>
            </w:pPr>
          </w:p>
        </w:tc>
      </w:tr>
      <w:tr>
        <w:trPr>
          <w:trHeight w:val="256"/>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Comprehensive income (loss)</w:t>
            </w:r>
          </w:p>
        </w:tc>
        <w:tc>
          <w:tcPr>
            <w:tcW w:w="200" w:type="dxa"/>
            <w:vAlign w:val="bottom"/>
            <w:shd w:val="clear" w:color="auto" w:fill="CCEEFF"/>
          </w:tcPr>
          <w:p>
            <w:pPr>
              <w:spacing w:after="0"/>
              <w:rPr>
                <w:sz w:val="22"/>
                <w:szCs w:val="22"/>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(65)</w:t>
            </w:r>
          </w:p>
        </w:tc>
        <w:tc>
          <w:tcPr>
            <w:tcW w:w="120" w:type="dxa"/>
            <w:vAlign w:val="bottom"/>
            <w:shd w:val="clear" w:color="auto" w:fill="CCEEFF"/>
          </w:tcPr>
          <w:p>
            <w:pPr>
              <w:spacing w:after="0"/>
              <w:rPr>
                <w:sz w:val="22"/>
                <w:szCs w:val="22"/>
                <w:color w:val="auto"/>
              </w:rPr>
            </w:pPr>
          </w:p>
        </w:tc>
        <w:tc>
          <w:tcPr>
            <w:tcW w:w="320" w:type="dxa"/>
            <w:vAlign w:val="bottom"/>
            <w:shd w:val="clear" w:color="auto" w:fill="CCEEFF"/>
          </w:tcPr>
          <w:p>
            <w:pPr>
              <w:spacing w:after="0"/>
              <w:rPr>
                <w:sz w:val="22"/>
                <w:szCs w:val="22"/>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665</w:t>
            </w:r>
          </w:p>
        </w:tc>
        <w:tc>
          <w:tcPr>
            <w:tcW w:w="1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(443)</w:t>
            </w:r>
          </w:p>
        </w:tc>
        <w:tc>
          <w:tcPr>
            <w:tcW w:w="10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23</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148</w:t>
            </w:r>
          </w:p>
        </w:tc>
        <w:tc>
          <w:tcPr>
            <w:tcW w:w="0" w:type="dxa"/>
            <w:vAlign w:val="bottom"/>
          </w:tcPr>
          <w:p>
            <w:pPr>
              <w:spacing w:after="0"/>
              <w:rPr>
                <w:sz w:val="1"/>
                <w:szCs w:val="1"/>
                <w:color w:val="auto"/>
              </w:rPr>
            </w:pPr>
          </w:p>
        </w:tc>
      </w:tr>
      <w:tr>
        <w:trPr>
          <w:trHeight w:val="264"/>
        </w:trPr>
        <w:tc>
          <w:tcPr>
            <w:tcW w:w="3840" w:type="dxa"/>
            <w:vAlign w:val="bottom"/>
            <w:tcBorders>
              <w:bottom w:val="single" w:sz="8" w:color="CCEEFF"/>
            </w:tcBorders>
          </w:tcPr>
          <w:p>
            <w:pPr>
              <w:ind w:left="180"/>
              <w:spacing w:after="0"/>
              <w:rPr>
                <w:sz w:val="20"/>
                <w:szCs w:val="20"/>
                <w:color w:val="auto"/>
              </w:rPr>
            </w:pPr>
            <w:r>
              <w:rPr>
                <w:rFonts w:ascii="Arial" w:cs="Arial" w:eastAsia="Arial" w:hAnsi="Arial"/>
                <w:sz w:val="14"/>
                <w:szCs w:val="14"/>
                <w:color w:val="auto"/>
              </w:rPr>
              <w:t>Dividend on preferred stock</w:t>
            </w:r>
          </w:p>
        </w:tc>
        <w:tc>
          <w:tcPr>
            <w:tcW w:w="20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13</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w:t>
            </w: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9</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9</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9</w:t>
            </w:r>
          </w:p>
        </w:tc>
        <w:tc>
          <w:tcPr>
            <w:tcW w:w="0" w:type="dxa"/>
            <w:vAlign w:val="bottom"/>
          </w:tcPr>
          <w:p>
            <w:pPr>
              <w:spacing w:after="0"/>
              <w:rPr>
                <w:sz w:val="1"/>
                <w:szCs w:val="1"/>
                <w:color w:val="auto"/>
              </w:rPr>
            </w:pPr>
          </w:p>
        </w:tc>
      </w:tr>
      <w:tr>
        <w:trPr>
          <w:trHeight w:val="139"/>
        </w:trPr>
        <w:tc>
          <w:tcPr>
            <w:tcW w:w="3840" w:type="dxa"/>
            <w:vAlign w:val="bottom"/>
            <w:shd w:val="clear" w:color="auto" w:fill="CCEEFF"/>
          </w:tcPr>
          <w:p>
            <w:pPr>
              <w:ind w:left="40"/>
              <w:spacing w:after="0" w:line="139" w:lineRule="exact"/>
              <w:rPr>
                <w:sz w:val="20"/>
                <w:szCs w:val="20"/>
                <w:color w:val="auto"/>
              </w:rPr>
            </w:pPr>
            <w:r>
              <w:rPr>
                <w:rFonts w:ascii="Arial" w:cs="Arial" w:eastAsia="Arial" w:hAnsi="Arial"/>
                <w:sz w:val="14"/>
                <w:szCs w:val="14"/>
                <w:b w:val="1"/>
                <w:bCs w:val="1"/>
                <w:color w:val="auto"/>
              </w:rPr>
              <w:t>Comprehensive income (loss) available (attributable) to</w:t>
            </w:r>
          </w:p>
        </w:tc>
        <w:tc>
          <w:tcPr>
            <w:tcW w:w="20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(78)</w:t>
            </w:r>
          </w:p>
        </w:tc>
        <w:tc>
          <w:tcPr>
            <w:tcW w:w="120" w:type="dxa"/>
            <w:vAlign w:val="bottom"/>
            <w:shd w:val="clear" w:color="auto" w:fill="CCEEFF"/>
          </w:tcPr>
          <w:p>
            <w:pPr>
              <w:spacing w:after="0"/>
              <w:rPr>
                <w:sz w:val="12"/>
                <w:szCs w:val="12"/>
                <w:color w:val="auto"/>
              </w:rPr>
            </w:pPr>
          </w:p>
        </w:tc>
        <w:tc>
          <w:tcPr>
            <w:tcW w:w="320" w:type="dxa"/>
            <w:vAlign w:val="bottom"/>
            <w:vMerge w:val="restart"/>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7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655</w:t>
            </w:r>
          </w:p>
        </w:tc>
        <w:tc>
          <w:tcPr>
            <w:tcW w:w="20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(452)</w:t>
            </w:r>
          </w:p>
        </w:tc>
        <w:tc>
          <w:tcPr>
            <w:tcW w:w="1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22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7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14</w:t>
            </w:r>
          </w:p>
        </w:tc>
        <w:tc>
          <w:tcPr>
            <w:tcW w:w="100" w:type="dxa"/>
            <w:vAlign w:val="bottom"/>
            <w:shd w:val="clear" w:color="auto" w:fill="CCEEFF"/>
          </w:tcPr>
          <w:p>
            <w:pPr>
              <w:spacing w:after="0"/>
              <w:rPr>
                <w:sz w:val="12"/>
                <w:szCs w:val="12"/>
                <w:color w:val="auto"/>
              </w:rPr>
            </w:pPr>
          </w:p>
        </w:tc>
        <w:tc>
          <w:tcPr>
            <w:tcW w:w="22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139</w:t>
            </w:r>
          </w:p>
        </w:tc>
        <w:tc>
          <w:tcPr>
            <w:tcW w:w="0" w:type="dxa"/>
            <w:vAlign w:val="bottom"/>
          </w:tcPr>
          <w:p>
            <w:pPr>
              <w:spacing w:after="0"/>
              <w:rPr>
                <w:sz w:val="1"/>
                <w:szCs w:val="1"/>
                <w:color w:val="auto"/>
              </w:rPr>
            </w:pPr>
          </w:p>
        </w:tc>
      </w:tr>
      <w:tr>
        <w:trPr>
          <w:trHeight w:val="185"/>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common stockholders</w:t>
            </w:r>
          </w:p>
        </w:tc>
        <w:tc>
          <w:tcPr>
            <w:tcW w:w="200" w:type="dxa"/>
            <w:vAlign w:val="bottom"/>
            <w:vMerge w:val="continue"/>
            <w:shd w:val="clear" w:color="auto" w:fill="CCEEFF"/>
          </w:tcPr>
          <w:p>
            <w:pPr>
              <w:spacing w:after="0"/>
              <w:rPr>
                <w:sz w:val="16"/>
                <w:szCs w:val="16"/>
                <w:color w:val="auto"/>
              </w:rPr>
            </w:pPr>
          </w:p>
        </w:tc>
        <w:tc>
          <w:tcPr>
            <w:tcW w:w="78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320" w:type="dxa"/>
            <w:vAlign w:val="bottom"/>
            <w:vMerge w:val="continue"/>
            <w:shd w:val="clear" w:color="auto" w:fill="CCEEFF"/>
          </w:tcPr>
          <w:p>
            <w:pPr>
              <w:spacing w:after="0"/>
              <w:rPr>
                <w:sz w:val="16"/>
                <w:szCs w:val="16"/>
                <w:color w:val="auto"/>
              </w:rPr>
            </w:pPr>
          </w:p>
        </w:tc>
        <w:tc>
          <w:tcPr>
            <w:tcW w:w="700" w:type="dxa"/>
            <w:vAlign w:val="bottom"/>
            <w:vMerge w:val="continue"/>
            <w:shd w:val="clear" w:color="auto" w:fill="CCEEFF"/>
          </w:tcPr>
          <w:p>
            <w:pPr>
              <w:spacing w:after="0"/>
              <w:rPr>
                <w:sz w:val="16"/>
                <w:szCs w:val="16"/>
                <w:color w:val="auto"/>
              </w:rPr>
            </w:pPr>
          </w:p>
        </w:tc>
        <w:tc>
          <w:tcPr>
            <w:tcW w:w="200" w:type="dxa"/>
            <w:vAlign w:val="bottom"/>
            <w:gridSpan w:val="2"/>
            <w:vMerge w:val="continue"/>
            <w:shd w:val="clear" w:color="auto" w:fill="CCEEFF"/>
          </w:tcPr>
          <w:p>
            <w:pPr>
              <w:spacing w:after="0"/>
              <w:rPr>
                <w:sz w:val="16"/>
                <w:szCs w:val="16"/>
                <w:color w:val="auto"/>
              </w:rPr>
            </w:pPr>
          </w:p>
        </w:tc>
        <w:tc>
          <w:tcPr>
            <w:tcW w:w="9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220" w:type="dxa"/>
            <w:vAlign w:val="bottom"/>
            <w:vMerge w:val="continue"/>
            <w:shd w:val="clear" w:color="auto" w:fill="CCEEFF"/>
          </w:tcPr>
          <w:p>
            <w:pPr>
              <w:spacing w:after="0"/>
              <w:rPr>
                <w:sz w:val="16"/>
                <w:szCs w:val="16"/>
                <w:color w:val="auto"/>
              </w:rPr>
            </w:pPr>
          </w:p>
        </w:tc>
        <w:tc>
          <w:tcPr>
            <w:tcW w:w="7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vMerge w:val="continue"/>
            <w:shd w:val="clear" w:color="auto" w:fill="CCEEFF"/>
          </w:tcPr>
          <w:p>
            <w:pPr>
              <w:spacing w:after="0"/>
              <w:rPr>
                <w:sz w:val="16"/>
                <w:szCs w:val="16"/>
                <w:color w:val="auto"/>
              </w:rPr>
            </w:pPr>
          </w:p>
        </w:tc>
        <w:tc>
          <w:tcPr>
            <w:tcW w:w="80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8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38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3"/>
        </w:trPr>
        <w:tc>
          <w:tcPr>
            <w:tcW w:w="3840" w:type="dxa"/>
            <w:vAlign w:val="bottom"/>
            <w:shd w:val="clear" w:color="auto" w:fill="CCEEFF"/>
          </w:tcPr>
          <w:p>
            <w:pPr>
              <w:ind w:left="40"/>
              <w:spacing w:after="0" w:line="153" w:lineRule="exact"/>
              <w:rPr>
                <w:sz w:val="20"/>
                <w:szCs w:val="20"/>
                <w:color w:val="auto"/>
              </w:rPr>
            </w:pPr>
            <w:r>
              <w:rPr>
                <w:rFonts w:ascii="Arial" w:cs="Arial" w:eastAsia="Arial" w:hAnsi="Arial"/>
                <w:sz w:val="14"/>
                <w:szCs w:val="14"/>
                <w:b w:val="1"/>
                <w:bCs w:val="1"/>
                <w:color w:val="auto"/>
                <w:w w:val="95"/>
              </w:rPr>
              <w:t>Weighted average number of common shares outstanding -</w:t>
            </w:r>
          </w:p>
        </w:tc>
        <w:tc>
          <w:tcPr>
            <w:tcW w:w="200" w:type="dxa"/>
            <w:vAlign w:val="bottom"/>
            <w:shd w:val="clear" w:color="auto" w:fill="CCEEFF"/>
          </w:tcPr>
          <w:p>
            <w:pPr>
              <w:spacing w:after="0"/>
              <w:rPr>
                <w:sz w:val="13"/>
                <w:szCs w:val="13"/>
                <w:color w:val="auto"/>
              </w:rPr>
            </w:pPr>
          </w:p>
        </w:tc>
        <w:tc>
          <w:tcPr>
            <w:tcW w:w="7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537.8</w:t>
            </w:r>
          </w:p>
        </w:tc>
        <w:tc>
          <w:tcPr>
            <w:tcW w:w="12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7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536.7</w:t>
            </w:r>
          </w:p>
        </w:tc>
        <w:tc>
          <w:tcPr>
            <w:tcW w:w="1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2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504.2</w:t>
            </w:r>
          </w:p>
        </w:tc>
        <w:tc>
          <w:tcPr>
            <w:tcW w:w="1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7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462.3</w:t>
            </w:r>
          </w:p>
        </w:tc>
        <w:tc>
          <w:tcPr>
            <w:tcW w:w="1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80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404.9</w:t>
            </w:r>
          </w:p>
        </w:tc>
        <w:tc>
          <w:tcPr>
            <w:tcW w:w="0" w:type="dxa"/>
            <w:vAlign w:val="bottom"/>
          </w:tcPr>
          <w:p>
            <w:pPr>
              <w:spacing w:after="0"/>
              <w:rPr>
                <w:sz w:val="1"/>
                <w:szCs w:val="1"/>
                <w:color w:val="auto"/>
              </w:rPr>
            </w:pPr>
          </w:p>
        </w:tc>
      </w:tr>
      <w:tr>
        <w:trPr>
          <w:trHeight w:val="185"/>
        </w:trPr>
        <w:tc>
          <w:tcPr>
            <w:tcW w:w="3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basic</w:t>
            </w:r>
          </w:p>
        </w:tc>
        <w:tc>
          <w:tcPr>
            <w:tcW w:w="200" w:type="dxa"/>
            <w:vAlign w:val="bottom"/>
            <w:tcBorders>
              <w:bottom w:val="single" w:sz="8" w:color="auto"/>
            </w:tcBorders>
            <w:shd w:val="clear" w:color="auto" w:fill="CCEEFF"/>
          </w:tcPr>
          <w:p>
            <w:pPr>
              <w:spacing w:after="0"/>
              <w:rPr>
                <w:sz w:val="16"/>
                <w:szCs w:val="16"/>
                <w:color w:val="auto"/>
              </w:rPr>
            </w:pPr>
          </w:p>
        </w:tc>
        <w:tc>
          <w:tcPr>
            <w:tcW w:w="780" w:type="dxa"/>
            <w:vAlign w:val="bottom"/>
            <w:tcBorders>
              <w:bottom w:val="single" w:sz="8" w:color="auto"/>
            </w:tcBorders>
            <w:vMerge w:val="continue"/>
            <w:shd w:val="clear" w:color="auto" w:fill="CCEEFF"/>
          </w:tcPr>
          <w:p>
            <w:pPr>
              <w:spacing w:after="0"/>
              <w:rPr>
                <w:sz w:val="16"/>
                <w:szCs w:val="16"/>
                <w:color w:val="auto"/>
              </w:rPr>
            </w:pPr>
          </w:p>
        </w:tc>
        <w:tc>
          <w:tcPr>
            <w:tcW w:w="120" w:type="dxa"/>
            <w:vAlign w:val="bottom"/>
            <w:tcBorders>
              <w:bottom w:val="single" w:sz="8" w:color="CCEEFF"/>
            </w:tcBorders>
            <w:shd w:val="clear" w:color="auto" w:fill="CCEEFF"/>
          </w:tcPr>
          <w:p>
            <w:pPr>
              <w:spacing w:after="0"/>
              <w:rPr>
                <w:sz w:val="16"/>
                <w:szCs w:val="16"/>
                <w:color w:val="auto"/>
              </w:rPr>
            </w:pPr>
          </w:p>
        </w:tc>
        <w:tc>
          <w:tcPr>
            <w:tcW w:w="320" w:type="dxa"/>
            <w:vAlign w:val="bottom"/>
            <w:tcBorders>
              <w:bottom w:val="single" w:sz="8" w:color="auto"/>
            </w:tcBorders>
            <w:shd w:val="clear" w:color="auto" w:fill="CCEEFF"/>
          </w:tcPr>
          <w:p>
            <w:pPr>
              <w:spacing w:after="0"/>
              <w:rPr>
                <w:sz w:val="16"/>
                <w:szCs w:val="16"/>
                <w:color w:val="auto"/>
              </w:rPr>
            </w:pPr>
          </w:p>
        </w:tc>
        <w:tc>
          <w:tcPr>
            <w:tcW w:w="70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0" w:type="dxa"/>
            <w:vAlign w:val="bottom"/>
            <w:tcBorders>
              <w:bottom w:val="single" w:sz="8" w:color="auto"/>
            </w:tcBorders>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spacing w:after="0"/>
              <w:rPr>
                <w:sz w:val="16"/>
                <w:szCs w:val="16"/>
                <w:color w:val="auto"/>
              </w:rPr>
            </w:pPr>
          </w:p>
        </w:tc>
        <w:tc>
          <w:tcPr>
            <w:tcW w:w="78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spacing w:after="0"/>
              <w:rPr>
                <w:sz w:val="16"/>
                <w:szCs w:val="16"/>
                <w:color w:val="auto"/>
              </w:rPr>
            </w:pPr>
          </w:p>
        </w:tc>
        <w:tc>
          <w:tcPr>
            <w:tcW w:w="800" w:type="dxa"/>
            <w:vAlign w:val="bottom"/>
            <w:tcBorders>
              <w:bottom w:val="single" w:sz="8" w:color="auto"/>
            </w:tcBorders>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840" w:type="dxa"/>
            <w:vAlign w:val="bottom"/>
            <w:vMerge w:val="restart"/>
          </w:tcPr>
          <w:p>
            <w:pPr>
              <w:ind w:left="40"/>
              <w:spacing w:after="0" w:line="147" w:lineRule="exact"/>
              <w:rPr>
                <w:sz w:val="20"/>
                <w:szCs w:val="20"/>
                <w:color w:val="auto"/>
              </w:rPr>
            </w:pPr>
            <w:r>
              <w:rPr>
                <w:rFonts w:ascii="Arial" w:cs="Arial" w:eastAsia="Arial" w:hAnsi="Arial"/>
                <w:sz w:val="14"/>
                <w:szCs w:val="14"/>
                <w:b w:val="1"/>
                <w:bCs w:val="1"/>
                <w:color w:val="auto"/>
                <w:w w:val="95"/>
              </w:rPr>
              <w:t>Weighted average number of common shares outstanding -</w:t>
            </w:r>
          </w:p>
        </w:tc>
        <w:tc>
          <w:tcPr>
            <w:tcW w:w="2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6"/>
        </w:trPr>
        <w:tc>
          <w:tcPr>
            <w:tcW w:w="3840" w:type="dxa"/>
            <w:vAlign w:val="bottom"/>
            <w:vMerge w:val="continue"/>
          </w:tcPr>
          <w:p>
            <w:pPr>
              <w:spacing w:after="0"/>
              <w:rPr>
                <w:sz w:val="9"/>
                <w:szCs w:val="9"/>
                <w:color w:val="auto"/>
              </w:rPr>
            </w:pPr>
          </w:p>
        </w:tc>
        <w:tc>
          <w:tcPr>
            <w:tcW w:w="200" w:type="dxa"/>
            <w:vAlign w:val="bottom"/>
          </w:tcPr>
          <w:p>
            <w:pPr>
              <w:spacing w:after="0"/>
              <w:rPr>
                <w:sz w:val="9"/>
                <w:szCs w:val="9"/>
                <w:color w:val="auto"/>
              </w:rPr>
            </w:pPr>
          </w:p>
        </w:tc>
        <w:tc>
          <w:tcPr>
            <w:tcW w:w="780" w:type="dxa"/>
            <w:vAlign w:val="bottom"/>
            <w:vMerge w:val="restart"/>
          </w:tcPr>
          <w:p>
            <w:pPr>
              <w:jc w:val="right"/>
              <w:ind w:right="8"/>
              <w:spacing w:after="0"/>
              <w:rPr>
                <w:sz w:val="20"/>
                <w:szCs w:val="20"/>
                <w:color w:val="auto"/>
              </w:rPr>
            </w:pPr>
            <w:r>
              <w:rPr>
                <w:rFonts w:ascii="Arial" w:cs="Arial" w:eastAsia="Arial" w:hAnsi="Arial"/>
                <w:sz w:val="14"/>
                <w:szCs w:val="14"/>
                <w:color w:val="auto"/>
              </w:rPr>
              <w:t>537.8</w:t>
            </w:r>
          </w:p>
        </w:tc>
        <w:tc>
          <w:tcPr>
            <w:tcW w:w="120" w:type="dxa"/>
            <w:vAlign w:val="bottom"/>
          </w:tcPr>
          <w:p>
            <w:pPr>
              <w:spacing w:after="0"/>
              <w:rPr>
                <w:sz w:val="9"/>
                <w:szCs w:val="9"/>
                <w:color w:val="auto"/>
              </w:rPr>
            </w:pPr>
          </w:p>
        </w:tc>
        <w:tc>
          <w:tcPr>
            <w:tcW w:w="320" w:type="dxa"/>
            <w:vAlign w:val="bottom"/>
          </w:tcPr>
          <w:p>
            <w:pPr>
              <w:spacing w:after="0"/>
              <w:rPr>
                <w:sz w:val="9"/>
                <w:szCs w:val="9"/>
                <w:color w:val="auto"/>
              </w:rPr>
            </w:pPr>
          </w:p>
        </w:tc>
        <w:tc>
          <w:tcPr>
            <w:tcW w:w="700" w:type="dxa"/>
            <w:vAlign w:val="bottom"/>
            <w:vMerge w:val="restart"/>
          </w:tcPr>
          <w:p>
            <w:pPr>
              <w:jc w:val="right"/>
              <w:spacing w:after="0"/>
              <w:rPr>
                <w:sz w:val="20"/>
                <w:szCs w:val="20"/>
                <w:color w:val="auto"/>
              </w:rPr>
            </w:pPr>
            <w:r>
              <w:rPr>
                <w:rFonts w:ascii="Arial" w:cs="Arial" w:eastAsia="Arial" w:hAnsi="Arial"/>
                <w:sz w:val="14"/>
                <w:szCs w:val="14"/>
                <w:color w:val="auto"/>
              </w:rPr>
              <w:t>537.2</w:t>
            </w: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920" w:type="dxa"/>
            <w:vAlign w:val="bottom"/>
            <w:vMerge w:val="restart"/>
          </w:tcPr>
          <w:p>
            <w:pPr>
              <w:jc w:val="right"/>
              <w:spacing w:after="0"/>
              <w:rPr>
                <w:sz w:val="20"/>
                <w:szCs w:val="20"/>
                <w:color w:val="auto"/>
              </w:rPr>
            </w:pPr>
            <w:r>
              <w:rPr>
                <w:rFonts w:ascii="Arial" w:cs="Arial" w:eastAsia="Arial" w:hAnsi="Arial"/>
                <w:sz w:val="14"/>
                <w:szCs w:val="14"/>
                <w:color w:val="auto"/>
              </w:rPr>
              <w:t>504.2</w:t>
            </w: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vMerge w:val="restart"/>
          </w:tcPr>
          <w:p>
            <w:pPr>
              <w:jc w:val="right"/>
              <w:spacing w:after="0"/>
              <w:rPr>
                <w:sz w:val="20"/>
                <w:szCs w:val="20"/>
                <w:color w:val="auto"/>
              </w:rPr>
            </w:pPr>
            <w:r>
              <w:rPr>
                <w:rFonts w:ascii="Arial" w:cs="Arial" w:eastAsia="Arial" w:hAnsi="Arial"/>
                <w:sz w:val="14"/>
                <w:szCs w:val="14"/>
                <w:color w:val="auto"/>
              </w:rPr>
              <w:t>462.7</w:t>
            </w: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0" w:type="dxa"/>
            <w:vAlign w:val="bottom"/>
            <w:vMerge w:val="restart"/>
          </w:tcPr>
          <w:p>
            <w:pPr>
              <w:jc w:val="right"/>
              <w:spacing w:after="0"/>
              <w:rPr>
                <w:sz w:val="20"/>
                <w:szCs w:val="20"/>
                <w:color w:val="auto"/>
              </w:rPr>
            </w:pPr>
            <w:r>
              <w:rPr>
                <w:rFonts w:ascii="Arial" w:cs="Arial" w:eastAsia="Arial" w:hAnsi="Arial"/>
                <w:sz w:val="14"/>
                <w:szCs w:val="14"/>
                <w:color w:val="auto"/>
              </w:rPr>
              <w:t>405.2</w:t>
            </w:r>
          </w:p>
        </w:tc>
        <w:tc>
          <w:tcPr>
            <w:tcW w:w="0" w:type="dxa"/>
            <w:vAlign w:val="bottom"/>
          </w:tcPr>
          <w:p>
            <w:pPr>
              <w:spacing w:after="0"/>
              <w:rPr>
                <w:sz w:val="1"/>
                <w:szCs w:val="1"/>
                <w:color w:val="auto"/>
              </w:rPr>
            </w:pPr>
          </w:p>
        </w:tc>
      </w:tr>
      <w:tr>
        <w:trPr>
          <w:trHeight w:val="225"/>
        </w:trPr>
        <w:tc>
          <w:tcPr>
            <w:tcW w:w="38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diluted</w:t>
            </w:r>
          </w:p>
        </w:tc>
        <w:tc>
          <w:tcPr>
            <w:tcW w:w="2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vMerge w:val="continue"/>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vMerge w:val="continue"/>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vMerge w:val="continue"/>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vMerge w:val="continue"/>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3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Net income (loss) per common share - basic</w:t>
            </w: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(0.85)</w:t>
            </w:r>
          </w:p>
        </w:tc>
        <w:tc>
          <w:tcPr>
            <w:tcW w:w="120" w:type="dxa"/>
            <w:vAlign w:val="bottom"/>
            <w:tcBorders>
              <w:bottom w:val="single" w:sz="8" w:color="CCEEFF"/>
            </w:tcBorders>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0.48</w:t>
            </w:r>
          </w:p>
        </w:tc>
        <w:tc>
          <w:tcPr>
            <w:tcW w:w="1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(1.61)</w:t>
            </w:r>
          </w:p>
        </w:tc>
        <w:tc>
          <w:tcPr>
            <w:tcW w:w="100" w:type="dxa"/>
            <w:vAlign w:val="bottom"/>
            <w:tcBorders>
              <w:bottom w:val="single" w:sz="8" w:color="CCEEFF"/>
            </w:tcBorders>
            <w:shd w:val="clear" w:color="auto" w:fill="CCEEFF"/>
          </w:tcPr>
          <w:p>
            <w:pPr>
              <w:spacing w:after="0"/>
              <w:rPr>
                <w:sz w:val="18"/>
                <w:szCs w:val="18"/>
                <w:color w:val="auto"/>
              </w:rPr>
            </w:pPr>
          </w:p>
        </w:tc>
        <w:tc>
          <w:tcPr>
            <w:tcW w:w="20" w:type="dxa"/>
            <w:vAlign w:val="bottom"/>
            <w:tcBorders>
              <w:bottom w:val="single" w:sz="8" w:color="auto"/>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7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0.45</w:t>
            </w:r>
          </w:p>
        </w:tc>
        <w:tc>
          <w:tcPr>
            <w:tcW w:w="1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0.70</w:t>
            </w:r>
          </w:p>
        </w:tc>
        <w:tc>
          <w:tcPr>
            <w:tcW w:w="0" w:type="dxa"/>
            <w:vAlign w:val="bottom"/>
          </w:tcPr>
          <w:p>
            <w:pPr>
              <w:spacing w:after="0"/>
              <w:rPr>
                <w:sz w:val="1"/>
                <w:szCs w:val="1"/>
                <w:color w:val="auto"/>
              </w:rPr>
            </w:pPr>
          </w:p>
        </w:tc>
      </w:tr>
      <w:tr>
        <w:trPr>
          <w:trHeight w:val="20"/>
        </w:trPr>
        <w:tc>
          <w:tcPr>
            <w:tcW w:w="38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38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Net income (loss) per common share - diluted</w:t>
            </w: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(0.85)</w:t>
            </w:r>
          </w:p>
        </w:tc>
        <w:tc>
          <w:tcPr>
            <w:tcW w:w="120" w:type="dxa"/>
            <w:vAlign w:val="bottom"/>
            <w:tcBorders>
              <w:bottom w:val="single" w:sz="8" w:color="CCEEFF"/>
            </w:tcBorders>
          </w:tcPr>
          <w:p>
            <w:pPr>
              <w:spacing w:after="0"/>
              <w:rPr>
                <w:sz w:val="21"/>
                <w:szCs w:val="21"/>
                <w:color w:val="auto"/>
              </w:rPr>
            </w:pPr>
          </w:p>
        </w:tc>
        <w:tc>
          <w:tcPr>
            <w:tcW w:w="3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0.47</w:t>
            </w:r>
          </w:p>
        </w:tc>
        <w:tc>
          <w:tcPr>
            <w:tcW w:w="10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(1.61)</w:t>
            </w:r>
          </w:p>
        </w:tc>
        <w:tc>
          <w:tcPr>
            <w:tcW w:w="100" w:type="dxa"/>
            <w:vAlign w:val="bottom"/>
            <w:tcBorders>
              <w:bottom w:val="single" w:sz="8" w:color="CCEEFF"/>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w w:val="76"/>
              </w:rPr>
              <w:t>$</w:t>
            </w:r>
          </w:p>
        </w:tc>
        <w:tc>
          <w:tcPr>
            <w:tcW w:w="7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0.45</w:t>
            </w:r>
          </w:p>
        </w:tc>
        <w:tc>
          <w:tcPr>
            <w:tcW w:w="10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0.70</w:t>
            </w:r>
          </w:p>
        </w:tc>
        <w:tc>
          <w:tcPr>
            <w:tcW w:w="0" w:type="dxa"/>
            <w:vAlign w:val="bottom"/>
          </w:tcPr>
          <w:p>
            <w:pPr>
              <w:spacing w:after="0"/>
              <w:rPr>
                <w:sz w:val="1"/>
                <w:szCs w:val="1"/>
                <w:color w:val="auto"/>
              </w:rPr>
            </w:pPr>
          </w:p>
        </w:tc>
      </w:tr>
      <w:tr>
        <w:trPr>
          <w:trHeight w:val="106"/>
        </w:trPr>
        <w:tc>
          <w:tcPr>
            <w:tcW w:w="3840" w:type="dxa"/>
            <w:vAlign w:val="bottom"/>
            <w:shd w:val="clear" w:color="auto" w:fill="CCEEFF"/>
          </w:tcPr>
          <w:p>
            <w:pPr>
              <w:ind w:left="40"/>
              <w:spacing w:after="0" w:line="106" w:lineRule="exact"/>
              <w:rPr>
                <w:sz w:val="20"/>
                <w:szCs w:val="20"/>
                <w:color w:val="auto"/>
              </w:rPr>
            </w:pPr>
            <w:r>
              <w:rPr>
                <w:rFonts w:ascii="Arial" w:cs="Arial" w:eastAsia="Arial" w:hAnsi="Arial"/>
                <w:sz w:val="12"/>
                <w:szCs w:val="12"/>
                <w:b w:val="1"/>
                <w:bCs w:val="1"/>
                <w:color w:val="auto"/>
              </w:rPr>
              <w:t>Comprehensive income (loss) per common share - basic and</w:t>
            </w:r>
          </w:p>
        </w:tc>
        <w:tc>
          <w:tcPr>
            <w:tcW w:w="20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(0.15)</w:t>
            </w:r>
          </w:p>
        </w:tc>
        <w:tc>
          <w:tcPr>
            <w:tcW w:w="120" w:type="dxa"/>
            <w:vAlign w:val="bottom"/>
            <w:shd w:val="clear" w:color="auto" w:fill="CCEEFF"/>
          </w:tcPr>
          <w:p>
            <w:pPr>
              <w:spacing w:after="0"/>
              <w:rPr>
                <w:sz w:val="9"/>
                <w:szCs w:val="9"/>
                <w:color w:val="auto"/>
              </w:rPr>
            </w:pPr>
          </w:p>
        </w:tc>
        <w:tc>
          <w:tcPr>
            <w:tcW w:w="320" w:type="dxa"/>
            <w:vAlign w:val="bottom"/>
            <w:vMerge w:val="restart"/>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7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1.22</w:t>
            </w:r>
          </w:p>
        </w:tc>
        <w:tc>
          <w:tcPr>
            <w:tcW w:w="100" w:type="dxa"/>
            <w:vAlign w:val="bottom"/>
            <w:vMerge w:val="restart"/>
            <w:shd w:val="clear" w:color="auto" w:fill="CCEEFF"/>
          </w:tcPr>
          <w:p>
            <w:pPr>
              <w:spacing w:after="0"/>
              <w:rPr>
                <w:sz w:val="9"/>
                <w:szCs w:val="9"/>
                <w:color w:val="auto"/>
              </w:rPr>
            </w:pP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(0.90)</w:t>
            </w:r>
          </w:p>
        </w:tc>
        <w:tc>
          <w:tcPr>
            <w:tcW w:w="100" w:type="dxa"/>
            <w:vAlign w:val="bottom"/>
            <w:shd w:val="clear" w:color="auto" w:fill="CCEEFF"/>
          </w:tcPr>
          <w:p>
            <w:pPr>
              <w:spacing w:after="0"/>
              <w:rPr>
                <w:sz w:val="9"/>
                <w:szCs w:val="9"/>
                <w:color w:val="auto"/>
              </w:rPr>
            </w:pPr>
          </w:p>
        </w:tc>
        <w:tc>
          <w:tcPr>
            <w:tcW w:w="20" w:type="dxa"/>
            <w:vAlign w:val="bottom"/>
            <w:shd w:val="clear" w:color="auto" w:fill="CCEEFF"/>
          </w:tcPr>
          <w:p>
            <w:pPr>
              <w:spacing w:after="0"/>
              <w:rPr>
                <w:sz w:val="9"/>
                <w:szCs w:val="9"/>
                <w:color w:val="auto"/>
              </w:rPr>
            </w:pPr>
          </w:p>
        </w:tc>
        <w:tc>
          <w:tcPr>
            <w:tcW w:w="22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7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0.03</w:t>
            </w:r>
          </w:p>
        </w:tc>
        <w:tc>
          <w:tcPr>
            <w:tcW w:w="100" w:type="dxa"/>
            <w:vAlign w:val="bottom"/>
            <w:shd w:val="clear" w:color="auto" w:fill="CCEEFF"/>
          </w:tcPr>
          <w:p>
            <w:pPr>
              <w:spacing w:after="0"/>
              <w:rPr>
                <w:sz w:val="9"/>
                <w:szCs w:val="9"/>
                <w:color w:val="auto"/>
              </w:rPr>
            </w:pPr>
          </w:p>
        </w:tc>
        <w:tc>
          <w:tcPr>
            <w:tcW w:w="22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0.34</w:t>
            </w:r>
          </w:p>
        </w:tc>
        <w:tc>
          <w:tcPr>
            <w:tcW w:w="0" w:type="dxa"/>
            <w:vAlign w:val="bottom"/>
          </w:tcPr>
          <w:p>
            <w:pPr>
              <w:spacing w:after="0"/>
              <w:rPr>
                <w:sz w:val="1"/>
                <w:szCs w:val="1"/>
                <w:color w:val="auto"/>
              </w:rPr>
            </w:pPr>
          </w:p>
        </w:tc>
      </w:tr>
      <w:tr>
        <w:trPr>
          <w:trHeight w:val="185"/>
        </w:trPr>
        <w:tc>
          <w:tcPr>
            <w:tcW w:w="3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diluted</w:t>
            </w:r>
          </w:p>
        </w:tc>
        <w:tc>
          <w:tcPr>
            <w:tcW w:w="200" w:type="dxa"/>
            <w:vAlign w:val="bottom"/>
            <w:tcBorders>
              <w:bottom w:val="single" w:sz="8" w:color="auto"/>
            </w:tcBorders>
            <w:vMerge w:val="continue"/>
            <w:shd w:val="clear" w:color="auto" w:fill="CCEEFF"/>
          </w:tcPr>
          <w:p>
            <w:pPr>
              <w:spacing w:after="0"/>
              <w:rPr>
                <w:sz w:val="16"/>
                <w:szCs w:val="16"/>
                <w:color w:val="auto"/>
              </w:rPr>
            </w:pPr>
          </w:p>
        </w:tc>
        <w:tc>
          <w:tcPr>
            <w:tcW w:w="780" w:type="dxa"/>
            <w:vAlign w:val="bottom"/>
            <w:tcBorders>
              <w:bottom w:val="single" w:sz="8" w:color="auto"/>
            </w:tcBorders>
            <w:vMerge w:val="continue"/>
            <w:shd w:val="clear" w:color="auto" w:fill="CCEEFF"/>
          </w:tcPr>
          <w:p>
            <w:pPr>
              <w:spacing w:after="0"/>
              <w:rPr>
                <w:sz w:val="16"/>
                <w:szCs w:val="16"/>
                <w:color w:val="auto"/>
              </w:rPr>
            </w:pPr>
          </w:p>
        </w:tc>
        <w:tc>
          <w:tcPr>
            <w:tcW w:w="120" w:type="dxa"/>
            <w:vAlign w:val="bottom"/>
            <w:tcBorders>
              <w:bottom w:val="single" w:sz="8" w:color="CCEEFF"/>
            </w:tcBorders>
            <w:shd w:val="clear" w:color="auto" w:fill="CCEEFF"/>
          </w:tcPr>
          <w:p>
            <w:pPr>
              <w:spacing w:after="0"/>
              <w:rPr>
                <w:sz w:val="16"/>
                <w:szCs w:val="16"/>
                <w:color w:val="auto"/>
              </w:rPr>
            </w:pPr>
          </w:p>
        </w:tc>
        <w:tc>
          <w:tcPr>
            <w:tcW w:w="320" w:type="dxa"/>
            <w:vAlign w:val="bottom"/>
            <w:tcBorders>
              <w:bottom w:val="single" w:sz="8" w:color="auto"/>
            </w:tcBorders>
            <w:vMerge w:val="continue"/>
            <w:shd w:val="clear" w:color="auto" w:fill="CCEEFF"/>
          </w:tcPr>
          <w:p>
            <w:pPr>
              <w:spacing w:after="0"/>
              <w:rPr>
                <w:sz w:val="16"/>
                <w:szCs w:val="16"/>
                <w:color w:val="auto"/>
              </w:rPr>
            </w:pPr>
          </w:p>
        </w:tc>
        <w:tc>
          <w:tcPr>
            <w:tcW w:w="70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tcBorders>
              <w:bottom w:val="single" w:sz="8" w:color="CCEEFF"/>
            </w:tcBorders>
            <w:vMerge w:val="continue"/>
            <w:shd w:val="clear" w:color="auto" w:fill="CCEEFF"/>
          </w:tcPr>
          <w:p>
            <w:pPr>
              <w:spacing w:after="0"/>
              <w:rPr>
                <w:sz w:val="16"/>
                <w:szCs w:val="16"/>
                <w:color w:val="auto"/>
              </w:rPr>
            </w:pPr>
          </w:p>
        </w:tc>
        <w:tc>
          <w:tcPr>
            <w:tcW w:w="100" w:type="dxa"/>
            <w:vAlign w:val="bottom"/>
            <w:tcBorders>
              <w:bottom w:val="single" w:sz="8" w:color="auto"/>
            </w:tcBorders>
            <w:vMerge w:val="continue"/>
            <w:shd w:val="clear" w:color="auto" w:fill="CCEEFF"/>
          </w:tcPr>
          <w:p>
            <w:pPr>
              <w:spacing w:after="0"/>
              <w:rPr>
                <w:sz w:val="16"/>
                <w:szCs w:val="16"/>
                <w:color w:val="auto"/>
              </w:rPr>
            </w:pPr>
          </w:p>
        </w:tc>
        <w:tc>
          <w:tcPr>
            <w:tcW w:w="92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0" w:type="dxa"/>
            <w:vAlign w:val="bottom"/>
            <w:tcBorders>
              <w:bottom w:val="single" w:sz="8" w:color="auto"/>
            </w:tcBorders>
            <w:shd w:val="clear" w:color="auto" w:fill="CCEEFF"/>
          </w:tcPr>
          <w:p>
            <w:pPr>
              <w:spacing w:after="0"/>
              <w:rPr>
                <w:sz w:val="16"/>
                <w:szCs w:val="16"/>
                <w:color w:val="auto"/>
              </w:rPr>
            </w:pPr>
          </w:p>
        </w:tc>
        <w:tc>
          <w:tcPr>
            <w:tcW w:w="220" w:type="dxa"/>
            <w:vAlign w:val="bottom"/>
            <w:tcBorders>
              <w:bottom w:val="single" w:sz="8" w:color="auto"/>
            </w:tcBorders>
            <w:vMerge w:val="continue"/>
            <w:shd w:val="clear" w:color="auto" w:fill="CCEEFF"/>
          </w:tcPr>
          <w:p>
            <w:pPr>
              <w:spacing w:after="0"/>
              <w:rPr>
                <w:sz w:val="16"/>
                <w:szCs w:val="16"/>
                <w:color w:val="auto"/>
              </w:rPr>
            </w:pPr>
          </w:p>
        </w:tc>
        <w:tc>
          <w:tcPr>
            <w:tcW w:w="78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20" w:type="dxa"/>
            <w:vAlign w:val="bottom"/>
            <w:tcBorders>
              <w:bottom w:val="single" w:sz="8" w:color="auto"/>
            </w:tcBorders>
            <w:vMerge w:val="continue"/>
            <w:shd w:val="clear" w:color="auto" w:fill="CCEEFF"/>
          </w:tcPr>
          <w:p>
            <w:pPr>
              <w:spacing w:after="0"/>
              <w:rPr>
                <w:sz w:val="16"/>
                <w:szCs w:val="16"/>
                <w:color w:val="auto"/>
              </w:rPr>
            </w:pPr>
          </w:p>
        </w:tc>
        <w:tc>
          <w:tcPr>
            <w:tcW w:w="800" w:type="dxa"/>
            <w:vAlign w:val="bottom"/>
            <w:tcBorders>
              <w:bottom w:val="single" w:sz="8" w:color="auto"/>
            </w:tcBorders>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8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840" w:type="dxa"/>
            <w:vAlign w:val="bottom"/>
          </w:tcPr>
          <w:p>
            <w:pPr>
              <w:ind w:left="40"/>
              <w:spacing w:after="0"/>
              <w:rPr>
                <w:sz w:val="20"/>
                <w:szCs w:val="20"/>
                <w:color w:val="auto"/>
              </w:rPr>
            </w:pPr>
            <w:r>
              <w:rPr>
                <w:rFonts w:ascii="Arial" w:cs="Arial" w:eastAsia="Arial" w:hAnsi="Arial"/>
                <w:sz w:val="14"/>
                <w:szCs w:val="14"/>
                <w:b w:val="1"/>
                <w:bCs w:val="1"/>
                <w:color w:val="auto"/>
              </w:rPr>
              <w:t>Dividends declared per common share</w:t>
            </w: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780" w:type="dxa"/>
            <w:vAlign w:val="bottom"/>
          </w:tcPr>
          <w:p>
            <w:pPr>
              <w:jc w:val="right"/>
              <w:ind w:right="8"/>
              <w:spacing w:after="0"/>
              <w:rPr>
                <w:sz w:val="20"/>
                <w:szCs w:val="20"/>
                <w:color w:val="auto"/>
              </w:rPr>
            </w:pPr>
            <w:r>
              <w:rPr>
                <w:rFonts w:ascii="Arial" w:cs="Arial" w:eastAsia="Arial" w:hAnsi="Arial"/>
                <w:sz w:val="14"/>
                <w:szCs w:val="14"/>
                <w:color w:val="auto"/>
              </w:rPr>
              <w:t>0.50</w:t>
            </w:r>
          </w:p>
        </w:tc>
        <w:tc>
          <w:tcPr>
            <w:tcW w:w="120" w:type="dxa"/>
            <w:vAlign w:val="bottom"/>
          </w:tcPr>
          <w:p>
            <w:pPr>
              <w:spacing w:after="0"/>
              <w:rPr>
                <w:sz w:val="18"/>
                <w:szCs w:val="18"/>
                <w:color w:val="auto"/>
              </w:rPr>
            </w:pP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0.54</w:t>
            </w:r>
          </w:p>
        </w:tc>
        <w:tc>
          <w:tcPr>
            <w:tcW w:w="20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8"/>
              <w:spacing w:after="0"/>
              <w:rPr>
                <w:sz w:val="20"/>
                <w:szCs w:val="20"/>
                <w:color w:val="auto"/>
              </w:rPr>
            </w:pPr>
            <w:r>
              <w:rPr>
                <w:rFonts w:ascii="Arial" w:cs="Arial" w:eastAsia="Arial" w:hAnsi="Arial"/>
                <w:sz w:val="14"/>
                <w:szCs w:val="14"/>
                <w:color w:val="auto"/>
              </w:rPr>
              <w:t>0.54</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780" w:type="dxa"/>
            <w:vAlign w:val="bottom"/>
          </w:tcPr>
          <w:p>
            <w:pPr>
              <w:jc w:val="right"/>
              <w:ind w:right="8"/>
              <w:spacing w:after="0"/>
              <w:rPr>
                <w:sz w:val="20"/>
                <w:szCs w:val="20"/>
                <w:color w:val="auto"/>
              </w:rPr>
            </w:pPr>
            <w:r>
              <w:rPr>
                <w:rFonts w:ascii="Arial" w:cs="Arial" w:eastAsia="Arial" w:hAnsi="Arial"/>
                <w:sz w:val="14"/>
                <w:szCs w:val="14"/>
                <w:color w:val="auto"/>
              </w:rPr>
              <w:t>0.54</w:t>
            </w:r>
          </w:p>
        </w:tc>
        <w:tc>
          <w:tcPr>
            <w:tcW w:w="100" w:type="dxa"/>
            <w:vAlign w:val="bottom"/>
          </w:tcPr>
          <w:p>
            <w:pPr>
              <w:spacing w:after="0"/>
              <w:rPr>
                <w:sz w:val="18"/>
                <w:szCs w:val="18"/>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0.54</w:t>
            </w:r>
          </w:p>
        </w:tc>
        <w:tc>
          <w:tcPr>
            <w:tcW w:w="0" w:type="dxa"/>
            <w:vAlign w:val="bottom"/>
          </w:tcPr>
          <w:p>
            <w:pPr>
              <w:spacing w:after="0"/>
              <w:rPr>
                <w:sz w:val="1"/>
                <w:szCs w:val="1"/>
                <w:color w:val="auto"/>
              </w:rPr>
            </w:pPr>
          </w:p>
        </w:tc>
      </w:tr>
      <w:tr>
        <w:trPr>
          <w:trHeight w:val="20"/>
        </w:trPr>
        <w:tc>
          <w:tcPr>
            <w:tcW w:w="38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0219"/>
          </w:cols>
          <w:pgMar w:left="240" w:top="147" w:right="1440" w:bottom="1440" w:gutter="0" w:footer="0" w:header="0"/>
        </w:sectPr>
      </w:pPr>
    </w:p>
    <w:bookmarkStart w:id="11" w:name="page12"/>
    <w:bookmarkEnd w:id="11"/>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24,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9</w:t>
      </w:r>
    </w:p>
    <w:p>
      <w:pPr>
        <w:spacing w:after="0" w:line="383" w:lineRule="exact"/>
        <w:rPr>
          <w:sz w:val="20"/>
          <w:szCs w:val="20"/>
          <w:color w:val="auto"/>
        </w:rPr>
      </w:pPr>
    </w:p>
    <w:p>
      <w:pPr>
        <w:jc w:val="center"/>
        <w:ind w:right="939"/>
        <w:spacing w:after="0"/>
        <w:rPr>
          <w:sz w:val="20"/>
          <w:szCs w:val="20"/>
          <w:color w:val="auto"/>
        </w:rPr>
      </w:pPr>
      <w:r>
        <w:rPr>
          <w:rFonts w:ascii="Arial" w:cs="Arial" w:eastAsia="Arial" w:hAnsi="Arial"/>
          <w:sz w:val="14"/>
          <w:szCs w:val="14"/>
          <w:color w:val="auto"/>
        </w:rPr>
        <w:t>AGNC INVESTMENT CORP.</w:t>
      </w:r>
    </w:p>
    <w:p>
      <w:pPr>
        <w:spacing w:after="0" w:line="42" w:lineRule="exact"/>
        <w:rPr>
          <w:sz w:val="20"/>
          <w:szCs w:val="20"/>
          <w:color w:val="auto"/>
        </w:rPr>
      </w:pPr>
    </w:p>
    <w:p>
      <w:pPr>
        <w:jc w:val="center"/>
        <w:ind w:right="939"/>
        <w:spacing w:after="0"/>
        <w:rPr>
          <w:sz w:val="20"/>
          <w:szCs w:val="20"/>
          <w:color w:val="auto"/>
        </w:rPr>
      </w:pPr>
      <w:r>
        <w:rPr>
          <w:rFonts w:ascii="Arial" w:cs="Arial" w:eastAsia="Arial" w:hAnsi="Arial"/>
          <w:sz w:val="14"/>
          <w:szCs w:val="14"/>
          <w:color w:val="auto"/>
        </w:rPr>
        <w:t xml:space="preserve">RECONCILIATION OF GAAP NET INTEREST INCOME TO NET SPREAD AND DOLLAR ROLL INCOME (NON-GAAP MEASURE) </w:t>
      </w:r>
      <w:r>
        <w:rPr>
          <w:rFonts w:ascii="Arial" w:cs="Arial" w:eastAsia="Arial" w:hAnsi="Arial"/>
          <w:sz w:val="8"/>
          <w:szCs w:val="8"/>
          <w:color w:val="auto"/>
        </w:rPr>
        <w:t>2</w:t>
      </w:r>
    </w:p>
    <w:p>
      <w:pPr>
        <w:spacing w:after="0" w:line="42" w:lineRule="exact"/>
        <w:rPr>
          <w:sz w:val="20"/>
          <w:szCs w:val="20"/>
          <w:color w:val="auto"/>
        </w:rPr>
      </w:pPr>
    </w:p>
    <w:p>
      <w:pPr>
        <w:jc w:val="center"/>
        <w:ind w:right="939"/>
        <w:spacing w:after="0"/>
        <w:rPr>
          <w:sz w:val="20"/>
          <w:szCs w:val="20"/>
          <w:color w:val="auto"/>
        </w:rPr>
      </w:pPr>
      <w:r>
        <w:rPr>
          <w:rFonts w:ascii="Arial" w:cs="Arial" w:eastAsia="Arial" w:hAnsi="Arial"/>
          <w:sz w:val="14"/>
          <w:szCs w:val="14"/>
          <w:color w:val="auto"/>
        </w:rPr>
        <w:t>(in millions, except per share data)</w:t>
      </w:r>
    </w:p>
    <w:p>
      <w:pPr>
        <w:spacing w:after="0" w:line="42" w:lineRule="exact"/>
        <w:rPr>
          <w:sz w:val="20"/>
          <w:szCs w:val="20"/>
          <w:color w:val="auto"/>
        </w:rPr>
      </w:pPr>
    </w:p>
    <w:p>
      <w:pPr>
        <w:jc w:val="center"/>
        <w:ind w:right="939"/>
        <w:spacing w:after="0"/>
        <w:rPr>
          <w:sz w:val="20"/>
          <w:szCs w:val="20"/>
          <w:color w:val="auto"/>
        </w:rPr>
      </w:pPr>
      <w:r>
        <w:rPr>
          <w:rFonts w:ascii="Arial" w:cs="Arial" w:eastAsia="Arial" w:hAnsi="Arial"/>
          <w:sz w:val="14"/>
          <w:szCs w:val="14"/>
          <w:color w:val="auto"/>
        </w:rPr>
        <w:t>(unaudited)</w:t>
      </w:r>
    </w:p>
    <w:p>
      <w:pPr>
        <w:spacing w:after="0" w:line="249"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41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gridSpan w:val="4"/>
          </w:tcPr>
          <w:p>
            <w:pPr>
              <w:jc w:val="center"/>
              <w:spacing w:after="0"/>
              <w:rPr>
                <w:sz w:val="20"/>
                <w:szCs w:val="20"/>
                <w:color w:val="auto"/>
              </w:rPr>
            </w:pPr>
            <w:r>
              <w:rPr>
                <w:rFonts w:ascii="Arial" w:cs="Arial" w:eastAsia="Arial" w:hAnsi="Arial"/>
                <w:sz w:val="13"/>
                <w:szCs w:val="13"/>
                <w:color w:val="auto"/>
                <w:w w:val="87"/>
              </w:rPr>
              <w:t>Three Months Ended</w:t>
            </w: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4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tcPr>
          <w:p>
            <w:pPr>
              <w:jc w:val="center"/>
              <w:ind w:right="220"/>
              <w:spacing w:after="0" w:line="148" w:lineRule="exact"/>
              <w:rPr>
                <w:sz w:val="20"/>
                <w:szCs w:val="20"/>
                <w:color w:val="auto"/>
              </w:rPr>
            </w:pPr>
            <w:r>
              <w:rPr>
                <w:rFonts w:ascii="Arial" w:cs="Arial" w:eastAsia="Arial" w:hAnsi="Arial"/>
                <w:sz w:val="13"/>
                <w:szCs w:val="13"/>
                <w:color w:val="auto"/>
                <w:w w:val="85"/>
              </w:rPr>
              <w:t>December 31,</w:t>
            </w:r>
          </w:p>
        </w:tc>
        <w:tc>
          <w:tcPr>
            <w:tcW w:w="100" w:type="dxa"/>
            <w:vAlign w:val="bottom"/>
          </w:tcPr>
          <w:p>
            <w:pPr>
              <w:spacing w:after="0"/>
              <w:rPr>
                <w:sz w:val="12"/>
                <w:szCs w:val="12"/>
                <w:color w:val="auto"/>
              </w:rPr>
            </w:pPr>
          </w:p>
        </w:tc>
        <w:tc>
          <w:tcPr>
            <w:tcW w:w="940" w:type="dxa"/>
            <w:vAlign w:val="bottom"/>
            <w:gridSpan w:val="2"/>
          </w:tcPr>
          <w:p>
            <w:pPr>
              <w:spacing w:after="0" w:line="148" w:lineRule="exact"/>
              <w:rPr>
                <w:sz w:val="20"/>
                <w:szCs w:val="20"/>
                <w:color w:val="auto"/>
              </w:rPr>
            </w:pPr>
            <w:r>
              <w:rPr>
                <w:rFonts w:ascii="Arial" w:cs="Arial" w:eastAsia="Arial" w:hAnsi="Arial"/>
                <w:sz w:val="13"/>
                <w:szCs w:val="13"/>
                <w:color w:val="auto"/>
              </w:rPr>
              <w:t>September 30,</w:t>
            </w: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0"/>
        </w:trPr>
        <w:tc>
          <w:tcPr>
            <w:tcW w:w="4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gridSpan w:val="2"/>
          </w:tcPr>
          <w:p>
            <w:pPr>
              <w:ind w:left="60"/>
              <w:spacing w:after="0"/>
              <w:rPr>
                <w:sz w:val="20"/>
                <w:szCs w:val="20"/>
                <w:color w:val="auto"/>
              </w:rPr>
            </w:pPr>
            <w:r>
              <w:rPr>
                <w:rFonts w:ascii="Arial" w:cs="Arial" w:eastAsia="Arial" w:hAnsi="Arial"/>
                <w:sz w:val="13"/>
                <w:szCs w:val="13"/>
                <w:color w:val="auto"/>
                <w:w w:val="99"/>
              </w:rPr>
              <w:t>June 30, 2019</w:t>
            </w:r>
          </w:p>
        </w:tc>
        <w:tc>
          <w:tcPr>
            <w:tcW w:w="960" w:type="dxa"/>
            <w:vAlign w:val="bottom"/>
            <w:gridSpan w:val="2"/>
          </w:tcPr>
          <w:p>
            <w:pPr>
              <w:jc w:val="right"/>
              <w:ind w:right="8"/>
              <w:spacing w:after="0"/>
              <w:rPr>
                <w:sz w:val="20"/>
                <w:szCs w:val="20"/>
                <w:color w:val="auto"/>
              </w:rPr>
            </w:pPr>
            <w:r>
              <w:rPr>
                <w:rFonts w:ascii="Arial" w:cs="Arial" w:eastAsia="Arial" w:hAnsi="Arial"/>
                <w:sz w:val="13"/>
                <w:szCs w:val="13"/>
                <w:color w:val="auto"/>
                <w:w w:val="95"/>
              </w:rPr>
              <w:t>March 31, 2019</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center"/>
              <w:ind w:right="29"/>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ind w:right="269"/>
              <w:spacing w:after="0"/>
              <w:rPr>
                <w:sz w:val="20"/>
                <w:szCs w:val="20"/>
                <w:color w:val="auto"/>
              </w:rPr>
            </w:pPr>
            <w:r>
              <w:rPr>
                <w:rFonts w:ascii="Arial" w:cs="Arial" w:eastAsia="Arial" w:hAnsi="Arial"/>
                <w:sz w:val="13"/>
                <w:szCs w:val="13"/>
                <w:color w:val="auto"/>
              </w:rPr>
              <w:t>2018</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w w:val="89"/>
              </w:rPr>
              <w:t>June 30, 2018</w:t>
            </w:r>
          </w:p>
        </w:tc>
        <w:tc>
          <w:tcPr>
            <w:tcW w:w="0" w:type="dxa"/>
            <w:vAlign w:val="bottom"/>
          </w:tcPr>
          <w:p>
            <w:pPr>
              <w:spacing w:after="0"/>
              <w:rPr>
                <w:sz w:val="1"/>
                <w:szCs w:val="1"/>
                <w:color w:val="auto"/>
              </w:rPr>
            </w:pPr>
          </w:p>
        </w:tc>
      </w:tr>
      <w:tr>
        <w:trPr>
          <w:trHeight w:val="270"/>
        </w:trPr>
        <w:tc>
          <w:tcPr>
            <w:tcW w:w="412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GAAP net interest income:</w:t>
            </w:r>
          </w:p>
        </w:tc>
        <w:tc>
          <w:tcPr>
            <w:tcW w:w="140" w:type="dxa"/>
            <w:vAlign w:val="bottom"/>
            <w:tcBorders>
              <w:top w:val="single" w:sz="8" w:color="auto"/>
            </w:tcBorders>
            <w:shd w:val="clear" w:color="auto" w:fill="CCEEFF"/>
          </w:tcPr>
          <w:p>
            <w:pPr>
              <w:spacing w:after="0"/>
              <w:rPr>
                <w:sz w:val="23"/>
                <w:szCs w:val="23"/>
                <w:color w:val="auto"/>
              </w:rPr>
            </w:pPr>
          </w:p>
        </w:tc>
        <w:tc>
          <w:tcPr>
            <w:tcW w:w="80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320" w:type="dxa"/>
            <w:vAlign w:val="bottom"/>
            <w:tcBorders>
              <w:top w:val="single" w:sz="8" w:color="auto"/>
            </w:tcBorders>
            <w:shd w:val="clear" w:color="auto" w:fill="CCEEFF"/>
          </w:tcPr>
          <w:p>
            <w:pPr>
              <w:spacing w:after="0"/>
              <w:rPr>
                <w:sz w:val="23"/>
                <w:szCs w:val="23"/>
                <w:color w:val="auto"/>
              </w:rPr>
            </w:pPr>
          </w:p>
        </w:tc>
        <w:tc>
          <w:tcPr>
            <w:tcW w:w="64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84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84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60" w:type="dxa"/>
            <w:vAlign w:val="bottom"/>
            <w:tcBorders>
              <w:top w:val="single" w:sz="8" w:color="auto"/>
            </w:tcBorders>
            <w:shd w:val="clear" w:color="auto" w:fill="CCEEFF"/>
          </w:tcPr>
          <w:p>
            <w:pPr>
              <w:spacing w:after="0"/>
              <w:rPr>
                <w:sz w:val="23"/>
                <w:szCs w:val="23"/>
                <w:color w:val="auto"/>
              </w:rPr>
            </w:pPr>
          </w:p>
        </w:tc>
        <w:tc>
          <w:tcPr>
            <w:tcW w:w="800" w:type="dxa"/>
            <w:vAlign w:val="bottom"/>
            <w:tcBorders>
              <w:top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120" w:type="dxa"/>
            <w:vAlign w:val="bottom"/>
          </w:tcPr>
          <w:p>
            <w:pPr>
              <w:ind w:left="180"/>
              <w:spacing w:after="0"/>
              <w:rPr>
                <w:sz w:val="20"/>
                <w:szCs w:val="20"/>
                <w:color w:val="auto"/>
              </w:rPr>
            </w:pPr>
            <w:r>
              <w:rPr>
                <w:rFonts w:ascii="Arial" w:cs="Arial" w:eastAsia="Arial" w:hAnsi="Arial"/>
                <w:sz w:val="14"/>
                <w:szCs w:val="14"/>
                <w:color w:val="auto"/>
              </w:rPr>
              <w:t>Interest income</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693</w:t>
            </w:r>
          </w:p>
        </w:tc>
        <w:tc>
          <w:tcPr>
            <w:tcW w:w="100" w:type="dxa"/>
            <w:vAlign w:val="bottom"/>
          </w:tcPr>
          <w:p>
            <w:pPr>
              <w:spacing w:after="0"/>
              <w:rPr>
                <w:sz w:val="22"/>
                <w:szCs w:val="22"/>
                <w:color w:val="auto"/>
              </w:rPr>
            </w:pPr>
          </w:p>
        </w:tc>
        <w:tc>
          <w:tcPr>
            <w:tcW w:w="320" w:type="dxa"/>
            <w:vAlign w:val="bottom"/>
          </w:tcPr>
          <w:p>
            <w:pPr>
              <w:jc w:val="right"/>
              <w:ind w:right="149"/>
              <w:spacing w:after="0"/>
              <w:rPr>
                <w:sz w:val="20"/>
                <w:szCs w:val="20"/>
                <w:color w:val="auto"/>
              </w:rPr>
            </w:pPr>
            <w:r>
              <w:rPr>
                <w:rFonts w:ascii="Arial" w:cs="Arial" w:eastAsia="Arial" w:hAnsi="Arial"/>
                <w:sz w:val="14"/>
                <w:szCs w:val="14"/>
                <w:color w:val="auto"/>
              </w:rPr>
              <w:t>$</w:t>
            </w:r>
          </w:p>
        </w:tc>
        <w:tc>
          <w:tcPr>
            <w:tcW w:w="640" w:type="dxa"/>
            <w:vAlign w:val="bottom"/>
          </w:tcPr>
          <w:p>
            <w:pPr>
              <w:jc w:val="right"/>
              <w:ind w:right="8"/>
              <w:spacing w:after="0"/>
              <w:rPr>
                <w:sz w:val="20"/>
                <w:szCs w:val="20"/>
                <w:color w:val="auto"/>
              </w:rPr>
            </w:pPr>
            <w:r>
              <w:rPr>
                <w:rFonts w:ascii="Arial" w:cs="Arial" w:eastAsia="Arial" w:hAnsi="Arial"/>
                <w:sz w:val="14"/>
                <w:szCs w:val="14"/>
                <w:color w:val="auto"/>
              </w:rPr>
              <w:t>705</w:t>
            </w:r>
          </w:p>
        </w:tc>
        <w:tc>
          <w:tcPr>
            <w:tcW w:w="20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604</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500</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414</w:t>
            </w:r>
          </w:p>
        </w:tc>
        <w:tc>
          <w:tcPr>
            <w:tcW w:w="0" w:type="dxa"/>
            <w:vAlign w:val="bottom"/>
          </w:tcPr>
          <w:p>
            <w:pPr>
              <w:spacing w:after="0"/>
              <w:rPr>
                <w:sz w:val="1"/>
                <w:szCs w:val="1"/>
                <w:color w:val="auto"/>
              </w:rPr>
            </w:pPr>
          </w:p>
        </w:tc>
      </w:tr>
      <w:tr>
        <w:trPr>
          <w:trHeight w:val="270"/>
        </w:trPr>
        <w:tc>
          <w:tcPr>
            <w:tcW w:w="41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Interest expense</w:t>
            </w:r>
          </w:p>
        </w:tc>
        <w:tc>
          <w:tcPr>
            <w:tcW w:w="1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570</w:t>
            </w:r>
          </w:p>
        </w:tc>
        <w:tc>
          <w:tcPr>
            <w:tcW w:w="100" w:type="dxa"/>
            <w:vAlign w:val="bottom"/>
            <w:shd w:val="clear" w:color="auto" w:fill="CCEEFF"/>
          </w:tcPr>
          <w:p>
            <w:pPr>
              <w:spacing w:after="0"/>
              <w:rPr>
                <w:sz w:val="23"/>
                <w:szCs w:val="23"/>
                <w:color w:val="auto"/>
              </w:rPr>
            </w:pPr>
          </w:p>
        </w:tc>
        <w:tc>
          <w:tcPr>
            <w:tcW w:w="320" w:type="dxa"/>
            <w:vAlign w:val="bottom"/>
            <w:tcBorders>
              <w:bottom w:val="single" w:sz="8" w:color="auto"/>
            </w:tcBorders>
            <w:shd w:val="clear" w:color="auto" w:fill="CCEEFF"/>
          </w:tcPr>
          <w:p>
            <w:pPr>
              <w:spacing w:after="0"/>
              <w:rPr>
                <w:sz w:val="23"/>
                <w:szCs w:val="23"/>
                <w:color w:val="auto"/>
              </w:rPr>
            </w:pPr>
          </w:p>
        </w:tc>
        <w:tc>
          <w:tcPr>
            <w:tcW w:w="64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541</w:t>
            </w:r>
          </w:p>
        </w:tc>
        <w:tc>
          <w:tcPr>
            <w:tcW w:w="10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84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418</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84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312</w:t>
            </w:r>
          </w:p>
        </w:tc>
        <w:tc>
          <w:tcPr>
            <w:tcW w:w="10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237</w:t>
            </w:r>
          </w:p>
        </w:tc>
        <w:tc>
          <w:tcPr>
            <w:tcW w:w="0" w:type="dxa"/>
            <w:vAlign w:val="bottom"/>
          </w:tcPr>
          <w:p>
            <w:pPr>
              <w:spacing w:after="0"/>
              <w:rPr>
                <w:sz w:val="1"/>
                <w:szCs w:val="1"/>
                <w:color w:val="auto"/>
              </w:rPr>
            </w:pPr>
          </w:p>
        </w:tc>
      </w:tr>
      <w:tr>
        <w:trPr>
          <w:trHeight w:val="250"/>
        </w:trPr>
        <w:tc>
          <w:tcPr>
            <w:tcW w:w="4120" w:type="dxa"/>
            <w:vAlign w:val="bottom"/>
          </w:tcPr>
          <w:p>
            <w:pPr>
              <w:ind w:left="40"/>
              <w:spacing w:after="0"/>
              <w:rPr>
                <w:sz w:val="20"/>
                <w:szCs w:val="20"/>
                <w:color w:val="auto"/>
              </w:rPr>
            </w:pPr>
            <w:r>
              <w:rPr>
                <w:rFonts w:ascii="Arial" w:cs="Arial" w:eastAsia="Arial" w:hAnsi="Arial"/>
                <w:sz w:val="14"/>
                <w:szCs w:val="14"/>
                <w:color w:val="auto"/>
              </w:rPr>
              <w:t>GAAP net interest income</w:t>
            </w:r>
          </w:p>
        </w:tc>
        <w:tc>
          <w:tcPr>
            <w:tcW w:w="140" w:type="dxa"/>
            <w:vAlign w:val="bottom"/>
          </w:tcPr>
          <w:p>
            <w:pPr>
              <w:spacing w:after="0"/>
              <w:rPr>
                <w:sz w:val="21"/>
                <w:szCs w:val="21"/>
                <w:color w:val="auto"/>
              </w:rPr>
            </w:pP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123</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40" w:type="dxa"/>
            <w:vAlign w:val="bottom"/>
          </w:tcPr>
          <w:p>
            <w:pPr>
              <w:jc w:val="right"/>
              <w:ind w:right="8"/>
              <w:spacing w:after="0"/>
              <w:rPr>
                <w:sz w:val="20"/>
                <w:szCs w:val="20"/>
                <w:color w:val="auto"/>
              </w:rPr>
            </w:pPr>
            <w:r>
              <w:rPr>
                <w:rFonts w:ascii="Arial" w:cs="Arial" w:eastAsia="Arial" w:hAnsi="Arial"/>
                <w:sz w:val="14"/>
                <w:szCs w:val="14"/>
                <w:color w:val="auto"/>
              </w:rPr>
              <w:t>164</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186</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188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177</w:t>
            </w:r>
          </w:p>
        </w:tc>
        <w:tc>
          <w:tcPr>
            <w:tcW w:w="0" w:type="dxa"/>
            <w:vAlign w:val="bottom"/>
          </w:tcPr>
          <w:p>
            <w:pPr>
              <w:spacing w:after="0"/>
              <w:rPr>
                <w:sz w:val="1"/>
                <w:szCs w:val="1"/>
                <w:color w:val="auto"/>
              </w:rPr>
            </w:pPr>
          </w:p>
        </w:tc>
      </w:tr>
      <w:tr>
        <w:trPr>
          <w:trHeight w:val="276"/>
        </w:trPr>
        <w:tc>
          <w:tcPr>
            <w:tcW w:w="41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 xml:space="preserve">TBA dollar roll income, net </w:t>
            </w:r>
            <w:r>
              <w:rPr>
                <w:rFonts w:ascii="Arial" w:cs="Arial" w:eastAsia="Arial" w:hAnsi="Arial"/>
                <w:sz w:val="8"/>
                <w:szCs w:val="8"/>
                <w:color w:val="auto"/>
              </w:rPr>
              <w:t>3,4</w:t>
            </w:r>
          </w:p>
        </w:tc>
        <w:tc>
          <w:tcPr>
            <w:tcW w:w="14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22</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6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19</w:t>
            </w: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27</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68</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70</w:t>
            </w:r>
          </w:p>
        </w:tc>
        <w:tc>
          <w:tcPr>
            <w:tcW w:w="0" w:type="dxa"/>
            <w:vAlign w:val="bottom"/>
          </w:tcPr>
          <w:p>
            <w:pPr>
              <w:spacing w:after="0"/>
              <w:rPr>
                <w:sz w:val="1"/>
                <w:szCs w:val="1"/>
                <w:color w:val="auto"/>
              </w:rPr>
            </w:pPr>
          </w:p>
        </w:tc>
      </w:tr>
      <w:tr>
        <w:trPr>
          <w:trHeight w:val="264"/>
        </w:trPr>
        <w:tc>
          <w:tcPr>
            <w:tcW w:w="4120" w:type="dxa"/>
            <w:vAlign w:val="bottom"/>
          </w:tcPr>
          <w:p>
            <w:pPr>
              <w:ind w:left="180"/>
              <w:spacing w:after="0"/>
              <w:rPr>
                <w:sz w:val="20"/>
                <w:szCs w:val="20"/>
                <w:color w:val="auto"/>
              </w:rPr>
            </w:pPr>
            <w:r>
              <w:rPr>
                <w:rFonts w:ascii="Arial" w:cs="Arial" w:eastAsia="Arial" w:hAnsi="Arial"/>
                <w:sz w:val="14"/>
                <w:szCs w:val="14"/>
                <w:color w:val="auto"/>
              </w:rPr>
              <w:t xml:space="preserve">Interest rate swap periodic income (cost), net </w:t>
            </w:r>
            <w:r>
              <w:rPr>
                <w:rFonts w:ascii="Arial" w:cs="Arial" w:eastAsia="Arial" w:hAnsi="Arial"/>
                <w:sz w:val="8"/>
                <w:szCs w:val="8"/>
                <w:color w:val="auto"/>
              </w:rPr>
              <w:t>3,9</w:t>
            </w:r>
          </w:p>
        </w:tc>
        <w:tc>
          <w:tcPr>
            <w:tcW w:w="140" w:type="dxa"/>
            <w:vAlign w:val="bottom"/>
          </w:tcPr>
          <w:p>
            <w:pPr>
              <w:spacing w:after="0"/>
              <w:rPr>
                <w:sz w:val="22"/>
                <w:szCs w:val="22"/>
                <w:color w:val="auto"/>
              </w:rPr>
            </w:pP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88</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40" w:type="dxa"/>
            <w:vAlign w:val="bottom"/>
          </w:tcPr>
          <w:p>
            <w:pPr>
              <w:jc w:val="right"/>
              <w:ind w:right="8"/>
              <w:spacing w:after="0"/>
              <w:rPr>
                <w:sz w:val="20"/>
                <w:szCs w:val="20"/>
                <w:color w:val="auto"/>
              </w:rPr>
            </w:pPr>
            <w:r>
              <w:rPr>
                <w:rFonts w:ascii="Arial" w:cs="Arial" w:eastAsia="Arial" w:hAnsi="Arial"/>
                <w:sz w:val="14"/>
                <w:szCs w:val="14"/>
                <w:color w:val="auto"/>
              </w:rPr>
              <w:t>83</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63</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56</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41</w:t>
            </w:r>
          </w:p>
        </w:tc>
        <w:tc>
          <w:tcPr>
            <w:tcW w:w="0" w:type="dxa"/>
            <w:vAlign w:val="bottom"/>
          </w:tcPr>
          <w:p>
            <w:pPr>
              <w:spacing w:after="0"/>
              <w:rPr>
                <w:sz w:val="1"/>
                <w:szCs w:val="1"/>
                <w:color w:val="auto"/>
              </w:rPr>
            </w:pPr>
          </w:p>
        </w:tc>
      </w:tr>
      <w:tr>
        <w:trPr>
          <w:trHeight w:val="270"/>
        </w:trPr>
        <w:tc>
          <w:tcPr>
            <w:tcW w:w="41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 xml:space="preserve">Other interest and dividend income </w:t>
            </w:r>
            <w:r>
              <w:rPr>
                <w:rFonts w:ascii="Arial" w:cs="Arial" w:eastAsia="Arial" w:hAnsi="Arial"/>
                <w:sz w:val="8"/>
                <w:szCs w:val="8"/>
                <w:color w:val="auto"/>
              </w:rPr>
              <w:t>3</w:t>
            </w:r>
          </w:p>
        </w:tc>
        <w:tc>
          <w:tcPr>
            <w:tcW w:w="14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6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6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50"/>
        </w:trPr>
        <w:tc>
          <w:tcPr>
            <w:tcW w:w="41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Adjusted net interest and dollar roll income</w:t>
            </w:r>
          </w:p>
        </w:tc>
        <w:tc>
          <w:tcPr>
            <w:tcW w:w="140" w:type="dxa"/>
            <w:vAlign w:val="bottom"/>
            <w:tcBorders>
              <w:top w:val="single" w:sz="8" w:color="auto"/>
              <w:bottom w:val="single" w:sz="8" w:color="auto"/>
            </w:tcBorders>
          </w:tcPr>
          <w:p>
            <w:pPr>
              <w:spacing w:after="0"/>
              <w:rPr>
                <w:sz w:val="21"/>
                <w:szCs w:val="21"/>
                <w:color w:val="auto"/>
              </w:rPr>
            </w:pPr>
          </w:p>
        </w:tc>
        <w:tc>
          <w:tcPr>
            <w:tcW w:w="80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237</w:t>
            </w:r>
          </w:p>
        </w:tc>
        <w:tc>
          <w:tcPr>
            <w:tcW w:w="100" w:type="dxa"/>
            <w:vAlign w:val="bottom"/>
            <w:tcBorders>
              <w:bottom w:val="single" w:sz="8" w:color="CCEEFF"/>
            </w:tcBorders>
          </w:tcPr>
          <w:p>
            <w:pPr>
              <w:spacing w:after="0"/>
              <w:rPr>
                <w:sz w:val="21"/>
                <w:szCs w:val="21"/>
                <w:color w:val="auto"/>
              </w:rPr>
            </w:pPr>
          </w:p>
        </w:tc>
        <w:tc>
          <w:tcPr>
            <w:tcW w:w="320" w:type="dxa"/>
            <w:vAlign w:val="bottom"/>
            <w:tcBorders>
              <w:top w:val="single" w:sz="8" w:color="auto"/>
              <w:bottom w:val="single" w:sz="8" w:color="auto"/>
            </w:tcBorders>
          </w:tcPr>
          <w:p>
            <w:pPr>
              <w:spacing w:after="0"/>
              <w:rPr>
                <w:sz w:val="21"/>
                <w:szCs w:val="21"/>
                <w:color w:val="auto"/>
              </w:rPr>
            </w:pPr>
          </w:p>
        </w:tc>
        <w:tc>
          <w:tcPr>
            <w:tcW w:w="64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269</w:t>
            </w:r>
          </w:p>
        </w:tc>
        <w:tc>
          <w:tcPr>
            <w:tcW w:w="10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spacing w:after="0"/>
              <w:rPr>
                <w:sz w:val="21"/>
                <w:szCs w:val="21"/>
                <w:color w:val="auto"/>
              </w:rPr>
            </w:pPr>
          </w:p>
        </w:tc>
        <w:tc>
          <w:tcPr>
            <w:tcW w:w="84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4"/>
                <w:szCs w:val="14"/>
                <w:color w:val="auto"/>
              </w:rPr>
              <w:t>276</w:t>
            </w:r>
          </w:p>
        </w:tc>
        <w:tc>
          <w:tcPr>
            <w:tcW w:w="12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spacing w:after="0"/>
              <w:rPr>
                <w:sz w:val="21"/>
                <w:szCs w:val="21"/>
                <w:color w:val="auto"/>
              </w:rPr>
            </w:pPr>
          </w:p>
        </w:tc>
        <w:tc>
          <w:tcPr>
            <w:tcW w:w="84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4"/>
                <w:szCs w:val="14"/>
                <w:color w:val="auto"/>
              </w:rPr>
              <w:t>313</w:t>
            </w:r>
          </w:p>
        </w:tc>
        <w:tc>
          <w:tcPr>
            <w:tcW w:w="10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spacing w:after="0"/>
              <w:rPr>
                <w:sz w:val="21"/>
                <w:szCs w:val="21"/>
                <w:color w:val="auto"/>
              </w:rPr>
            </w:pPr>
          </w:p>
        </w:tc>
        <w:tc>
          <w:tcPr>
            <w:tcW w:w="80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289</w:t>
            </w:r>
          </w:p>
        </w:tc>
        <w:tc>
          <w:tcPr>
            <w:tcW w:w="0" w:type="dxa"/>
            <w:vAlign w:val="bottom"/>
          </w:tcPr>
          <w:p>
            <w:pPr>
              <w:spacing w:after="0"/>
              <w:rPr>
                <w:sz w:val="1"/>
                <w:szCs w:val="1"/>
                <w:color w:val="auto"/>
              </w:rPr>
            </w:pPr>
          </w:p>
        </w:tc>
      </w:tr>
      <w:tr>
        <w:trPr>
          <w:trHeight w:val="270"/>
        </w:trPr>
        <w:tc>
          <w:tcPr>
            <w:tcW w:w="4120" w:type="dxa"/>
            <w:vAlign w:val="bottom"/>
            <w:shd w:val="clear" w:color="auto" w:fill="CCEEFF"/>
          </w:tcPr>
          <w:p>
            <w:pPr>
              <w:ind w:left="40"/>
              <w:spacing w:after="0"/>
              <w:rPr>
                <w:sz w:val="20"/>
                <w:szCs w:val="20"/>
                <w:color w:val="auto"/>
              </w:rPr>
            </w:pPr>
            <w:r>
              <w:rPr>
                <w:rFonts w:ascii="Arial" w:cs="Arial" w:eastAsia="Arial" w:hAnsi="Arial"/>
                <w:sz w:val="14"/>
                <w:szCs w:val="14"/>
                <w:color w:val="auto"/>
              </w:rPr>
              <w:t>Other operating income (expense):</w:t>
            </w:r>
          </w:p>
        </w:tc>
        <w:tc>
          <w:tcPr>
            <w:tcW w:w="14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6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120" w:type="dxa"/>
            <w:vAlign w:val="bottom"/>
          </w:tcPr>
          <w:p>
            <w:pPr>
              <w:ind w:left="180"/>
              <w:spacing w:after="0"/>
              <w:rPr>
                <w:sz w:val="20"/>
                <w:szCs w:val="20"/>
                <w:color w:val="auto"/>
              </w:rPr>
            </w:pPr>
            <w:r>
              <w:rPr>
                <w:rFonts w:ascii="Arial" w:cs="Arial" w:eastAsia="Arial" w:hAnsi="Arial"/>
                <w:sz w:val="14"/>
                <w:szCs w:val="14"/>
                <w:color w:val="auto"/>
              </w:rPr>
              <w:t>Operating expense</w:t>
            </w:r>
          </w:p>
        </w:tc>
        <w:tc>
          <w:tcPr>
            <w:tcW w:w="1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(20)</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(19)</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(19)</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(45)</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(18)</w:t>
            </w:r>
          </w:p>
        </w:tc>
        <w:tc>
          <w:tcPr>
            <w:tcW w:w="0" w:type="dxa"/>
            <w:vAlign w:val="bottom"/>
          </w:tcPr>
          <w:p>
            <w:pPr>
              <w:spacing w:after="0"/>
              <w:rPr>
                <w:sz w:val="1"/>
                <w:szCs w:val="1"/>
                <w:color w:val="auto"/>
              </w:rPr>
            </w:pPr>
          </w:p>
        </w:tc>
      </w:tr>
      <w:tr>
        <w:trPr>
          <w:trHeight w:val="163"/>
        </w:trPr>
        <w:tc>
          <w:tcPr>
            <w:tcW w:w="4120" w:type="dxa"/>
            <w:vAlign w:val="bottom"/>
            <w:shd w:val="clear" w:color="auto" w:fill="CCEEFF"/>
          </w:tcPr>
          <w:p>
            <w:pPr>
              <w:ind w:left="180"/>
              <w:spacing w:after="0"/>
              <w:rPr>
                <w:sz w:val="20"/>
                <w:szCs w:val="20"/>
                <w:color w:val="auto"/>
              </w:rPr>
            </w:pPr>
            <w:r>
              <w:rPr>
                <w:rFonts w:ascii="Arial" w:cs="Arial" w:eastAsia="Arial" w:hAnsi="Arial"/>
                <w:sz w:val="14"/>
                <w:szCs w:val="14"/>
                <w:color w:val="auto"/>
                <w:w w:val="94"/>
              </w:rPr>
              <w:t>Less non-recurring write-off of intangible asset and other expenses</w:t>
            </w:r>
          </w:p>
        </w:tc>
        <w:tc>
          <w:tcPr>
            <w:tcW w:w="14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41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associated with termination of management agreement</w:t>
            </w:r>
          </w:p>
        </w:tc>
        <w:tc>
          <w:tcPr>
            <w:tcW w:w="140" w:type="dxa"/>
            <w:vAlign w:val="bottom"/>
            <w:shd w:val="clear" w:color="auto" w:fill="CCEEFF"/>
          </w:tcPr>
          <w:p>
            <w:pPr>
              <w:spacing w:after="0"/>
              <w:rPr>
                <w:sz w:val="16"/>
                <w:szCs w:val="16"/>
                <w:color w:val="auto"/>
              </w:rPr>
            </w:pPr>
          </w:p>
        </w:tc>
        <w:tc>
          <w:tcPr>
            <w:tcW w:w="90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6"/>
                <w:szCs w:val="16"/>
                <w:color w:val="auto"/>
              </w:rPr>
            </w:pPr>
          </w:p>
        </w:tc>
        <w:tc>
          <w:tcPr>
            <w:tcW w:w="6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26</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120" w:type="dxa"/>
            <w:vAlign w:val="bottom"/>
          </w:tcPr>
          <w:p>
            <w:pPr>
              <w:ind w:left="180"/>
              <w:spacing w:after="0"/>
              <w:rPr>
                <w:sz w:val="20"/>
                <w:szCs w:val="20"/>
                <w:color w:val="auto"/>
              </w:rPr>
            </w:pPr>
            <w:r>
              <w:rPr>
                <w:rFonts w:ascii="Arial" w:cs="Arial" w:eastAsia="Arial" w:hAnsi="Arial"/>
                <w:sz w:val="14"/>
                <w:szCs w:val="14"/>
                <w:color w:val="auto"/>
              </w:rPr>
              <w:t>Management fee income</w:t>
            </w:r>
          </w:p>
        </w:tc>
        <w:tc>
          <w:tcPr>
            <w:tcW w:w="140" w:type="dxa"/>
            <w:vAlign w:val="bottom"/>
          </w:tcPr>
          <w:p>
            <w:pPr>
              <w:spacing w:after="0"/>
              <w:rPr>
                <w:sz w:val="22"/>
                <w:szCs w:val="22"/>
                <w:color w:val="auto"/>
              </w:rPr>
            </w:pPr>
          </w:p>
        </w:tc>
        <w:tc>
          <w:tcPr>
            <w:tcW w:w="9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22"/>
                <w:szCs w:val="22"/>
                <w:color w:val="auto"/>
              </w:rPr>
            </w:pPr>
          </w:p>
        </w:tc>
        <w:tc>
          <w:tcPr>
            <w:tcW w:w="64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46</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270"/>
        </w:trPr>
        <w:tc>
          <w:tcPr>
            <w:tcW w:w="41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Less management agreement termination fee income</w:t>
            </w:r>
          </w:p>
        </w:tc>
        <w:tc>
          <w:tcPr>
            <w:tcW w:w="140" w:type="dxa"/>
            <w:vAlign w:val="bottom"/>
            <w:shd w:val="clear" w:color="auto" w:fill="CCEEFF"/>
          </w:tcPr>
          <w:p>
            <w:pPr>
              <w:spacing w:after="0"/>
              <w:rPr>
                <w:sz w:val="23"/>
                <w:szCs w:val="23"/>
                <w:color w:val="auto"/>
              </w:rPr>
            </w:pPr>
          </w:p>
        </w:tc>
        <w:tc>
          <w:tcPr>
            <w:tcW w:w="90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23"/>
                <w:szCs w:val="23"/>
                <w:color w:val="auto"/>
              </w:rPr>
            </w:pPr>
          </w:p>
        </w:tc>
        <w:tc>
          <w:tcPr>
            <w:tcW w:w="6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6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50"/>
        </w:trPr>
        <w:tc>
          <w:tcPr>
            <w:tcW w:w="41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Total operating income (expense), net</w:t>
            </w:r>
          </w:p>
        </w:tc>
        <w:tc>
          <w:tcPr>
            <w:tcW w:w="140" w:type="dxa"/>
            <w:vAlign w:val="bottom"/>
            <w:tcBorders>
              <w:top w:val="single" w:sz="8" w:color="auto"/>
              <w:bottom w:val="single" w:sz="8" w:color="auto"/>
            </w:tcBorders>
          </w:tcPr>
          <w:p>
            <w:pPr>
              <w:spacing w:after="0"/>
              <w:rPr>
                <w:sz w:val="21"/>
                <w:szCs w:val="21"/>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(20)</w:t>
            </w:r>
          </w:p>
        </w:tc>
        <w:tc>
          <w:tcPr>
            <w:tcW w:w="100" w:type="dxa"/>
            <w:vAlign w:val="bottom"/>
            <w:tcBorders>
              <w:bottom w:val="single" w:sz="8" w:color="CCEEFF"/>
            </w:tcBorders>
          </w:tcPr>
          <w:p>
            <w:pPr>
              <w:spacing w:after="0"/>
              <w:rPr>
                <w:sz w:val="21"/>
                <w:szCs w:val="21"/>
                <w:color w:val="auto"/>
              </w:rPr>
            </w:pPr>
          </w:p>
        </w:tc>
        <w:tc>
          <w:tcPr>
            <w:tcW w:w="320" w:type="dxa"/>
            <w:vAlign w:val="bottom"/>
            <w:tcBorders>
              <w:top w:val="single" w:sz="8" w:color="auto"/>
              <w:bottom w:val="single" w:sz="8" w:color="auto"/>
            </w:tcBorders>
          </w:tcPr>
          <w:p>
            <w:pPr>
              <w:spacing w:after="0"/>
              <w:rPr>
                <w:sz w:val="21"/>
                <w:szCs w:val="21"/>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(19)</w:t>
            </w:r>
          </w:p>
        </w:tc>
        <w:tc>
          <w:tcPr>
            <w:tcW w:w="10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spacing w:after="0"/>
              <w:rPr>
                <w:sz w:val="21"/>
                <w:szCs w:val="21"/>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(18)</w:t>
            </w:r>
          </w:p>
        </w:tc>
        <w:tc>
          <w:tcPr>
            <w:tcW w:w="12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spacing w:after="0"/>
              <w:rPr>
                <w:sz w:val="21"/>
                <w:szCs w:val="21"/>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(15)</w:t>
            </w:r>
          </w:p>
        </w:tc>
        <w:tc>
          <w:tcPr>
            <w:tcW w:w="10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spacing w:after="0"/>
              <w:rPr>
                <w:sz w:val="21"/>
                <w:szCs w:val="21"/>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(14)</w:t>
            </w:r>
          </w:p>
        </w:tc>
        <w:tc>
          <w:tcPr>
            <w:tcW w:w="0" w:type="dxa"/>
            <w:vAlign w:val="bottom"/>
          </w:tcPr>
          <w:p>
            <w:pPr>
              <w:spacing w:after="0"/>
              <w:rPr>
                <w:sz w:val="1"/>
                <w:szCs w:val="1"/>
                <w:color w:val="auto"/>
              </w:rPr>
            </w:pPr>
          </w:p>
        </w:tc>
      </w:tr>
      <w:tr>
        <w:trPr>
          <w:trHeight w:val="256"/>
        </w:trPr>
        <w:tc>
          <w:tcPr>
            <w:tcW w:w="412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spread and dollar roll income</w:t>
            </w:r>
          </w:p>
        </w:tc>
        <w:tc>
          <w:tcPr>
            <w:tcW w:w="140" w:type="dxa"/>
            <w:vAlign w:val="bottom"/>
            <w:shd w:val="clear" w:color="auto" w:fill="CCEEFF"/>
          </w:tcPr>
          <w:p>
            <w:pPr>
              <w:spacing w:after="0"/>
              <w:rPr>
                <w:sz w:val="22"/>
                <w:szCs w:val="22"/>
                <w:color w:val="auto"/>
              </w:rPr>
            </w:pP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217</w:t>
            </w:r>
          </w:p>
        </w:tc>
        <w:tc>
          <w:tcPr>
            <w:tcW w:w="100" w:type="dxa"/>
            <w:vAlign w:val="bottom"/>
            <w:shd w:val="clear" w:color="auto" w:fill="CCEEFF"/>
          </w:tcPr>
          <w:p>
            <w:pPr>
              <w:spacing w:after="0"/>
              <w:rPr>
                <w:sz w:val="22"/>
                <w:szCs w:val="22"/>
                <w:color w:val="auto"/>
              </w:rPr>
            </w:pPr>
          </w:p>
        </w:tc>
        <w:tc>
          <w:tcPr>
            <w:tcW w:w="320" w:type="dxa"/>
            <w:vAlign w:val="bottom"/>
            <w:shd w:val="clear" w:color="auto" w:fill="CCEEFF"/>
          </w:tcPr>
          <w:p>
            <w:pPr>
              <w:spacing w:after="0"/>
              <w:rPr>
                <w:sz w:val="22"/>
                <w:szCs w:val="22"/>
                <w:color w:val="auto"/>
              </w:rPr>
            </w:pPr>
          </w:p>
        </w:tc>
        <w:tc>
          <w:tcPr>
            <w:tcW w:w="6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250</w:t>
            </w:r>
          </w:p>
        </w:tc>
        <w:tc>
          <w:tcPr>
            <w:tcW w:w="1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258</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298</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275</w:t>
            </w:r>
          </w:p>
        </w:tc>
        <w:tc>
          <w:tcPr>
            <w:tcW w:w="0" w:type="dxa"/>
            <w:vAlign w:val="bottom"/>
          </w:tcPr>
          <w:p>
            <w:pPr>
              <w:spacing w:after="0"/>
              <w:rPr>
                <w:sz w:val="1"/>
                <w:szCs w:val="1"/>
                <w:color w:val="auto"/>
              </w:rPr>
            </w:pPr>
          </w:p>
        </w:tc>
      </w:tr>
      <w:tr>
        <w:trPr>
          <w:trHeight w:val="264"/>
        </w:trPr>
        <w:tc>
          <w:tcPr>
            <w:tcW w:w="4120" w:type="dxa"/>
            <w:vAlign w:val="bottom"/>
            <w:tcBorders>
              <w:bottom w:val="single" w:sz="8" w:color="CCEEFF"/>
            </w:tcBorders>
          </w:tcPr>
          <w:p>
            <w:pPr>
              <w:ind w:left="180"/>
              <w:spacing w:after="0"/>
              <w:rPr>
                <w:sz w:val="20"/>
                <w:szCs w:val="20"/>
                <w:color w:val="auto"/>
              </w:rPr>
            </w:pPr>
            <w:r>
              <w:rPr>
                <w:rFonts w:ascii="Arial" w:cs="Arial" w:eastAsia="Arial" w:hAnsi="Arial"/>
                <w:sz w:val="14"/>
                <w:szCs w:val="14"/>
                <w:color w:val="auto"/>
              </w:rPr>
              <w:t>Dividend on preferred stock</w:t>
            </w:r>
          </w:p>
        </w:tc>
        <w:tc>
          <w:tcPr>
            <w:tcW w:w="1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13</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10</w:t>
            </w: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9</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9</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9</w:t>
            </w:r>
          </w:p>
        </w:tc>
        <w:tc>
          <w:tcPr>
            <w:tcW w:w="0" w:type="dxa"/>
            <w:vAlign w:val="bottom"/>
          </w:tcPr>
          <w:p>
            <w:pPr>
              <w:spacing w:after="0"/>
              <w:rPr>
                <w:sz w:val="1"/>
                <w:szCs w:val="1"/>
                <w:color w:val="auto"/>
              </w:rPr>
            </w:pPr>
          </w:p>
        </w:tc>
      </w:tr>
      <w:tr>
        <w:trPr>
          <w:trHeight w:val="256"/>
        </w:trPr>
        <w:tc>
          <w:tcPr>
            <w:tcW w:w="4120" w:type="dxa"/>
            <w:vAlign w:val="bottom"/>
            <w:shd w:val="clear" w:color="auto" w:fill="CCEEFF"/>
          </w:tcPr>
          <w:p>
            <w:pPr>
              <w:ind w:left="40"/>
              <w:spacing w:after="0"/>
              <w:rPr>
                <w:sz w:val="20"/>
                <w:szCs w:val="20"/>
                <w:color w:val="auto"/>
              </w:rPr>
            </w:pPr>
            <w:r>
              <w:rPr>
                <w:rFonts w:ascii="Arial" w:cs="Arial" w:eastAsia="Arial" w:hAnsi="Arial"/>
                <w:sz w:val="14"/>
                <w:szCs w:val="14"/>
                <w:color w:val="auto"/>
                <w:w w:val="96"/>
              </w:rPr>
              <w:t>Net spread and dollar roll income available to common stockholders</w:t>
            </w:r>
          </w:p>
        </w:tc>
        <w:tc>
          <w:tcPr>
            <w:tcW w:w="140" w:type="dxa"/>
            <w:vAlign w:val="bottom"/>
            <w:shd w:val="clear" w:color="auto" w:fill="CCEEFF"/>
          </w:tcPr>
          <w:p>
            <w:pPr>
              <w:spacing w:after="0"/>
              <w:rPr>
                <w:sz w:val="22"/>
                <w:szCs w:val="22"/>
                <w:color w:val="auto"/>
              </w:rPr>
            </w:pP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204</w:t>
            </w:r>
          </w:p>
        </w:tc>
        <w:tc>
          <w:tcPr>
            <w:tcW w:w="100" w:type="dxa"/>
            <w:vAlign w:val="bottom"/>
            <w:shd w:val="clear" w:color="auto" w:fill="CCEEFF"/>
          </w:tcPr>
          <w:p>
            <w:pPr>
              <w:spacing w:after="0"/>
              <w:rPr>
                <w:sz w:val="22"/>
                <w:szCs w:val="22"/>
                <w:color w:val="auto"/>
              </w:rPr>
            </w:pPr>
          </w:p>
        </w:tc>
        <w:tc>
          <w:tcPr>
            <w:tcW w:w="320" w:type="dxa"/>
            <w:vAlign w:val="bottom"/>
            <w:shd w:val="clear" w:color="auto" w:fill="CCEEFF"/>
          </w:tcPr>
          <w:p>
            <w:pPr>
              <w:spacing w:after="0"/>
              <w:rPr>
                <w:sz w:val="22"/>
                <w:szCs w:val="22"/>
                <w:color w:val="auto"/>
              </w:rPr>
            </w:pPr>
          </w:p>
        </w:tc>
        <w:tc>
          <w:tcPr>
            <w:tcW w:w="6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240</w:t>
            </w:r>
          </w:p>
        </w:tc>
        <w:tc>
          <w:tcPr>
            <w:tcW w:w="1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249</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289</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266</w:t>
            </w:r>
          </w:p>
        </w:tc>
        <w:tc>
          <w:tcPr>
            <w:tcW w:w="0" w:type="dxa"/>
            <w:vAlign w:val="bottom"/>
          </w:tcPr>
          <w:p>
            <w:pPr>
              <w:spacing w:after="0"/>
              <w:rPr>
                <w:sz w:val="1"/>
                <w:szCs w:val="1"/>
                <w:color w:val="auto"/>
              </w:rPr>
            </w:pPr>
          </w:p>
        </w:tc>
      </w:tr>
      <w:tr>
        <w:trPr>
          <w:trHeight w:val="157"/>
        </w:trPr>
        <w:tc>
          <w:tcPr>
            <w:tcW w:w="4120" w:type="dxa"/>
            <w:vAlign w:val="bottom"/>
          </w:tcPr>
          <w:p>
            <w:pPr>
              <w:ind w:left="120"/>
              <w:spacing w:after="0" w:line="157" w:lineRule="exact"/>
              <w:rPr>
                <w:sz w:val="20"/>
                <w:szCs w:val="20"/>
                <w:color w:val="auto"/>
              </w:rPr>
            </w:pPr>
            <w:r>
              <w:rPr>
                <w:rFonts w:ascii="Arial" w:cs="Arial" w:eastAsia="Arial" w:hAnsi="Arial"/>
                <w:sz w:val="14"/>
                <w:szCs w:val="14"/>
                <w:color w:val="auto"/>
              </w:rPr>
              <w:t>Estimated "catch-up" premium amortization cost (benefit) due to</w:t>
            </w:r>
          </w:p>
        </w:tc>
        <w:tc>
          <w:tcPr>
            <w:tcW w:w="1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4120" w:type="dxa"/>
            <w:vAlign w:val="bottom"/>
            <w:tcBorders>
              <w:bottom w:val="single" w:sz="8" w:color="CCEEFF"/>
            </w:tcBorders>
          </w:tcPr>
          <w:p>
            <w:pPr>
              <w:ind w:left="120"/>
              <w:spacing w:after="0"/>
              <w:rPr>
                <w:sz w:val="20"/>
                <w:szCs w:val="20"/>
                <w:color w:val="auto"/>
              </w:rPr>
            </w:pPr>
            <w:r>
              <w:rPr>
                <w:rFonts w:ascii="Arial" w:cs="Arial" w:eastAsia="Arial" w:hAnsi="Arial"/>
                <w:sz w:val="14"/>
                <w:szCs w:val="14"/>
                <w:color w:val="auto"/>
              </w:rPr>
              <w:t xml:space="preserve">change in CPR forecast </w:t>
            </w:r>
            <w:r>
              <w:rPr>
                <w:rFonts w:ascii="Arial" w:cs="Arial" w:eastAsia="Arial" w:hAnsi="Arial"/>
                <w:sz w:val="8"/>
                <w:szCs w:val="8"/>
                <w:color w:val="auto"/>
              </w:rPr>
              <w:t>11</w:t>
            </w:r>
          </w:p>
        </w:tc>
        <w:tc>
          <w:tcPr>
            <w:tcW w:w="14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58</w:t>
            </w:r>
          </w:p>
        </w:tc>
        <w:tc>
          <w:tcPr>
            <w:tcW w:w="1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39</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16</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143"/>
        </w:trPr>
        <w:tc>
          <w:tcPr>
            <w:tcW w:w="4120" w:type="dxa"/>
            <w:vAlign w:val="bottom"/>
            <w:shd w:val="clear" w:color="auto" w:fill="CCEEFF"/>
          </w:tcPr>
          <w:p>
            <w:pPr>
              <w:ind w:left="40"/>
              <w:spacing w:after="0" w:line="143" w:lineRule="exact"/>
              <w:rPr>
                <w:sz w:val="20"/>
                <w:szCs w:val="20"/>
                <w:color w:val="auto"/>
              </w:rPr>
            </w:pPr>
            <w:r>
              <w:rPr>
                <w:rFonts w:ascii="Arial" w:cs="Arial" w:eastAsia="Arial" w:hAnsi="Arial"/>
                <w:sz w:val="14"/>
                <w:szCs w:val="14"/>
                <w:color w:val="auto"/>
              </w:rPr>
              <w:t>Net spread and dollar roll income, excluding "catch-up" premium</w:t>
            </w: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262</w:t>
            </w:r>
          </w:p>
        </w:tc>
        <w:tc>
          <w:tcPr>
            <w:tcW w:w="100" w:type="dxa"/>
            <w:vAlign w:val="bottom"/>
            <w:shd w:val="clear" w:color="auto" w:fill="CCEEFF"/>
          </w:tcPr>
          <w:p>
            <w:pPr>
              <w:spacing w:after="0"/>
              <w:rPr>
                <w:sz w:val="12"/>
                <w:szCs w:val="12"/>
                <w:color w:val="auto"/>
              </w:rPr>
            </w:pPr>
          </w:p>
        </w:tc>
        <w:tc>
          <w:tcPr>
            <w:tcW w:w="320" w:type="dxa"/>
            <w:vAlign w:val="bottom"/>
            <w:vMerge w:val="restart"/>
            <w:shd w:val="clear" w:color="auto" w:fill="CCEEFF"/>
          </w:tcPr>
          <w:p>
            <w:pPr>
              <w:jc w:val="right"/>
              <w:ind w:right="149"/>
              <w:spacing w:after="0"/>
              <w:rPr>
                <w:sz w:val="20"/>
                <w:szCs w:val="20"/>
                <w:color w:val="auto"/>
              </w:rPr>
            </w:pPr>
            <w:r>
              <w:rPr>
                <w:rFonts w:ascii="Arial" w:cs="Arial" w:eastAsia="Arial" w:hAnsi="Arial"/>
                <w:sz w:val="14"/>
                <w:szCs w:val="14"/>
                <w:color w:val="auto"/>
              </w:rPr>
              <w:t>$</w:t>
            </w:r>
          </w:p>
        </w:tc>
        <w:tc>
          <w:tcPr>
            <w:tcW w:w="64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279</w:t>
            </w:r>
          </w:p>
        </w:tc>
        <w:tc>
          <w:tcPr>
            <w:tcW w:w="20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vMerge w:val="restart"/>
            <w:shd w:val="clear" w:color="auto" w:fill="CCEEFF"/>
          </w:tcPr>
          <w:p>
            <w:pPr>
              <w:jc w:val="right"/>
              <w:ind w:right="9"/>
              <w:spacing w:after="0"/>
              <w:rPr>
                <w:sz w:val="20"/>
                <w:szCs w:val="20"/>
                <w:color w:val="auto"/>
              </w:rPr>
            </w:pPr>
            <w:r>
              <w:rPr>
                <w:rFonts w:ascii="Arial" w:cs="Arial" w:eastAsia="Arial" w:hAnsi="Arial"/>
                <w:sz w:val="14"/>
                <w:szCs w:val="14"/>
                <w:color w:val="auto"/>
              </w:rPr>
              <w:t>265</w:t>
            </w:r>
          </w:p>
        </w:tc>
        <w:tc>
          <w:tcPr>
            <w:tcW w:w="120" w:type="dxa"/>
            <w:vAlign w:val="bottom"/>
            <w:shd w:val="clear" w:color="auto" w:fill="CCEEFF"/>
          </w:tcPr>
          <w:p>
            <w:pPr>
              <w:spacing w:after="0"/>
              <w:rPr>
                <w:sz w:val="12"/>
                <w:szCs w:val="12"/>
                <w:color w:val="auto"/>
              </w:rPr>
            </w:pP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vMerge w:val="restart"/>
            <w:shd w:val="clear" w:color="auto" w:fill="CCEEFF"/>
          </w:tcPr>
          <w:p>
            <w:pPr>
              <w:jc w:val="right"/>
              <w:ind w:right="9"/>
              <w:spacing w:after="0"/>
              <w:rPr>
                <w:sz w:val="20"/>
                <w:szCs w:val="20"/>
                <w:color w:val="auto"/>
              </w:rPr>
            </w:pPr>
            <w:r>
              <w:rPr>
                <w:rFonts w:ascii="Arial" w:cs="Arial" w:eastAsia="Arial" w:hAnsi="Arial"/>
                <w:sz w:val="14"/>
                <w:szCs w:val="14"/>
                <w:color w:val="auto"/>
              </w:rPr>
              <w:t>283</w:t>
            </w:r>
          </w:p>
        </w:tc>
        <w:tc>
          <w:tcPr>
            <w:tcW w:w="100" w:type="dxa"/>
            <w:vAlign w:val="bottom"/>
            <w:shd w:val="clear" w:color="auto" w:fill="CCEEFF"/>
          </w:tcPr>
          <w:p>
            <w:pPr>
              <w:spacing w:after="0"/>
              <w:rPr>
                <w:sz w:val="12"/>
                <w:szCs w:val="12"/>
                <w:color w:val="auto"/>
              </w:rPr>
            </w:pP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254</w:t>
            </w:r>
          </w:p>
        </w:tc>
        <w:tc>
          <w:tcPr>
            <w:tcW w:w="0" w:type="dxa"/>
            <w:vAlign w:val="bottom"/>
          </w:tcPr>
          <w:p>
            <w:pPr>
              <w:spacing w:after="0"/>
              <w:rPr>
                <w:sz w:val="1"/>
                <w:szCs w:val="1"/>
                <w:color w:val="auto"/>
              </w:rPr>
            </w:pPr>
          </w:p>
        </w:tc>
      </w:tr>
      <w:tr>
        <w:trPr>
          <w:trHeight w:val="181"/>
        </w:trPr>
        <w:tc>
          <w:tcPr>
            <w:tcW w:w="4120" w:type="dxa"/>
            <w:vAlign w:val="bottom"/>
            <w:shd w:val="clear" w:color="auto" w:fill="CCEEFF"/>
          </w:tcPr>
          <w:p>
            <w:pPr>
              <w:ind w:left="40"/>
              <w:spacing w:after="0"/>
              <w:rPr>
                <w:sz w:val="20"/>
                <w:szCs w:val="20"/>
                <w:color w:val="auto"/>
              </w:rPr>
            </w:pPr>
            <w:r>
              <w:rPr>
                <w:rFonts w:ascii="Arial" w:cs="Arial" w:eastAsia="Arial" w:hAnsi="Arial"/>
                <w:sz w:val="14"/>
                <w:szCs w:val="14"/>
                <w:color w:val="auto"/>
              </w:rPr>
              <w:t>amortization, available to common stockholders</w:t>
            </w:r>
          </w:p>
        </w:tc>
        <w:tc>
          <w:tcPr>
            <w:tcW w:w="140" w:type="dxa"/>
            <w:vAlign w:val="bottom"/>
            <w:vMerge w:val="continue"/>
            <w:shd w:val="clear" w:color="auto" w:fill="CCEEFF"/>
          </w:tcPr>
          <w:p>
            <w:pPr>
              <w:spacing w:after="0"/>
              <w:rPr>
                <w:sz w:val="15"/>
                <w:szCs w:val="15"/>
                <w:color w:val="auto"/>
              </w:rPr>
            </w:pPr>
          </w:p>
        </w:tc>
        <w:tc>
          <w:tcPr>
            <w:tcW w:w="80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320" w:type="dxa"/>
            <w:vAlign w:val="bottom"/>
            <w:vMerge w:val="continue"/>
            <w:shd w:val="clear" w:color="auto" w:fill="CCEEFF"/>
          </w:tcPr>
          <w:p>
            <w:pPr>
              <w:spacing w:after="0"/>
              <w:rPr>
                <w:sz w:val="15"/>
                <w:szCs w:val="15"/>
                <w:color w:val="auto"/>
              </w:rPr>
            </w:pPr>
          </w:p>
        </w:tc>
        <w:tc>
          <w:tcPr>
            <w:tcW w:w="640" w:type="dxa"/>
            <w:vAlign w:val="bottom"/>
            <w:vMerge w:val="continue"/>
            <w:shd w:val="clear" w:color="auto" w:fill="CCEEFF"/>
          </w:tcPr>
          <w:p>
            <w:pPr>
              <w:spacing w:after="0"/>
              <w:rPr>
                <w:sz w:val="15"/>
                <w:szCs w:val="15"/>
                <w:color w:val="auto"/>
              </w:rPr>
            </w:pPr>
          </w:p>
        </w:tc>
        <w:tc>
          <w:tcPr>
            <w:tcW w:w="200" w:type="dxa"/>
            <w:vAlign w:val="bottom"/>
            <w:gridSpan w:val="2"/>
            <w:vMerge w:val="continue"/>
            <w:shd w:val="clear" w:color="auto" w:fill="CCEEFF"/>
          </w:tcPr>
          <w:p>
            <w:pPr>
              <w:spacing w:after="0"/>
              <w:rPr>
                <w:sz w:val="15"/>
                <w:szCs w:val="15"/>
                <w:color w:val="auto"/>
              </w:rPr>
            </w:pPr>
          </w:p>
        </w:tc>
        <w:tc>
          <w:tcPr>
            <w:tcW w:w="840" w:type="dxa"/>
            <w:vAlign w:val="bottom"/>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 w:type="dxa"/>
            <w:vAlign w:val="bottom"/>
            <w:vMerge w:val="continue"/>
            <w:shd w:val="clear" w:color="auto" w:fill="CCEEFF"/>
          </w:tcPr>
          <w:p>
            <w:pPr>
              <w:spacing w:after="0"/>
              <w:rPr>
                <w:sz w:val="15"/>
                <w:szCs w:val="15"/>
                <w:color w:val="auto"/>
              </w:rPr>
            </w:pPr>
          </w:p>
        </w:tc>
        <w:tc>
          <w:tcPr>
            <w:tcW w:w="84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60" w:type="dxa"/>
            <w:vAlign w:val="bottom"/>
            <w:vMerge w:val="continue"/>
            <w:shd w:val="clear" w:color="auto" w:fill="CCEEFF"/>
          </w:tcPr>
          <w:p>
            <w:pPr>
              <w:spacing w:after="0"/>
              <w:rPr>
                <w:sz w:val="15"/>
                <w:szCs w:val="15"/>
                <w:color w:val="auto"/>
              </w:rPr>
            </w:pPr>
          </w:p>
        </w:tc>
        <w:tc>
          <w:tcPr>
            <w:tcW w:w="800" w:type="dxa"/>
            <w:vAlign w:val="bottom"/>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4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4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Weighted average number of common shares outstanding - basic</w:t>
            </w:r>
          </w:p>
        </w:tc>
        <w:tc>
          <w:tcPr>
            <w:tcW w:w="140" w:type="dxa"/>
            <w:vAlign w:val="bottom"/>
            <w:tcBorders>
              <w:bottom w:val="single" w:sz="8" w:color="auto"/>
            </w:tcBorders>
            <w:shd w:val="clear" w:color="auto" w:fill="CCEEFF"/>
          </w:tcPr>
          <w:p>
            <w:pPr>
              <w:spacing w:after="0"/>
              <w:rPr>
                <w:sz w:val="22"/>
                <w:szCs w:val="22"/>
                <w:color w:val="auto"/>
              </w:rPr>
            </w:pPr>
          </w:p>
        </w:tc>
        <w:tc>
          <w:tcPr>
            <w:tcW w:w="8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537.8</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spacing w:after="0"/>
              <w:rPr>
                <w:sz w:val="22"/>
                <w:szCs w:val="22"/>
                <w:color w:val="auto"/>
              </w:rPr>
            </w:pPr>
          </w:p>
        </w:tc>
        <w:tc>
          <w:tcPr>
            <w:tcW w:w="64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536.7</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84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504.2</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84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462.3</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spacing w:after="0"/>
              <w:rPr>
                <w:sz w:val="22"/>
                <w:szCs w:val="22"/>
                <w:color w:val="auto"/>
              </w:rPr>
            </w:pPr>
          </w:p>
        </w:tc>
        <w:tc>
          <w:tcPr>
            <w:tcW w:w="8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404.9</w:t>
            </w: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w w:val="98"/>
              </w:rPr>
              <w:t>Weighted average number of common shares outstanding - diluted</w:t>
            </w:r>
          </w:p>
        </w:tc>
        <w:tc>
          <w:tcPr>
            <w:tcW w:w="14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538.4</w:t>
            </w:r>
          </w:p>
        </w:tc>
        <w:tc>
          <w:tcPr>
            <w:tcW w:w="100" w:type="dxa"/>
            <w:vAlign w:val="bottom"/>
            <w:tcBorders>
              <w:bottom w:val="single" w:sz="8" w:color="CCEEFF"/>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6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537.2</w:t>
            </w:r>
          </w:p>
        </w:tc>
        <w:tc>
          <w:tcPr>
            <w:tcW w:w="10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504.7</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462.7</w:t>
            </w:r>
          </w:p>
        </w:tc>
        <w:tc>
          <w:tcPr>
            <w:tcW w:w="100" w:type="dxa"/>
            <w:vAlign w:val="bottom"/>
            <w:tcBorders>
              <w:bottom w:val="single" w:sz="8" w:color="CCEEFF"/>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405.2</w:t>
            </w:r>
          </w:p>
        </w:tc>
        <w:tc>
          <w:tcPr>
            <w:tcW w:w="0" w:type="dxa"/>
            <w:vAlign w:val="bottom"/>
          </w:tcPr>
          <w:p>
            <w:pPr>
              <w:spacing w:after="0"/>
              <w:rPr>
                <w:sz w:val="1"/>
                <w:szCs w:val="1"/>
                <w:color w:val="auto"/>
              </w:rPr>
            </w:pPr>
          </w:p>
        </w:tc>
      </w:tr>
      <w:tr>
        <w:trPr>
          <w:trHeight w:val="21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Net spread and dollar roll income per common share - basic</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0.38</w:t>
            </w:r>
          </w:p>
        </w:tc>
        <w:tc>
          <w:tcPr>
            <w:tcW w:w="100" w:type="dxa"/>
            <w:vAlign w:val="bottom"/>
            <w:tcBorders>
              <w:bottom w:val="single" w:sz="8" w:color="CCEEFF"/>
            </w:tcBorders>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jc w:val="right"/>
              <w:ind w:right="149"/>
              <w:spacing w:after="0"/>
              <w:rPr>
                <w:sz w:val="20"/>
                <w:szCs w:val="20"/>
                <w:color w:val="auto"/>
              </w:rPr>
            </w:pPr>
            <w:r>
              <w:rPr>
                <w:rFonts w:ascii="Arial" w:cs="Arial" w:eastAsia="Arial" w:hAnsi="Arial"/>
                <w:sz w:val="14"/>
                <w:szCs w:val="14"/>
                <w:color w:val="auto"/>
              </w:rPr>
              <w:t>$</w:t>
            </w:r>
          </w:p>
        </w:tc>
        <w:tc>
          <w:tcPr>
            <w:tcW w:w="64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0.45</w:t>
            </w:r>
          </w:p>
        </w:tc>
        <w:tc>
          <w:tcPr>
            <w:tcW w:w="1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0.49</w:t>
            </w:r>
          </w:p>
        </w:tc>
        <w:tc>
          <w:tcPr>
            <w:tcW w:w="1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0.63</w:t>
            </w:r>
          </w:p>
        </w:tc>
        <w:tc>
          <w:tcPr>
            <w:tcW w:w="10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0.66</w:t>
            </w: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Net spread and dollar roll income per common share - diluted</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0.38</w:t>
            </w:r>
          </w:p>
        </w:tc>
        <w:tc>
          <w:tcPr>
            <w:tcW w:w="100" w:type="dxa"/>
            <w:vAlign w:val="bottom"/>
            <w:tcBorders>
              <w:bottom w:val="single" w:sz="8" w:color="CCEEFF"/>
            </w:tcBorders>
          </w:tcPr>
          <w:p>
            <w:pPr>
              <w:spacing w:after="0"/>
              <w:rPr>
                <w:sz w:val="21"/>
                <w:szCs w:val="21"/>
                <w:color w:val="auto"/>
              </w:rPr>
            </w:pPr>
          </w:p>
        </w:tc>
        <w:tc>
          <w:tcPr>
            <w:tcW w:w="320" w:type="dxa"/>
            <w:vAlign w:val="bottom"/>
            <w:tcBorders>
              <w:bottom w:val="single" w:sz="8" w:color="auto"/>
            </w:tcBorders>
          </w:tcPr>
          <w:p>
            <w:pPr>
              <w:jc w:val="right"/>
              <w:ind w:right="149"/>
              <w:spacing w:after="0"/>
              <w:rPr>
                <w:sz w:val="20"/>
                <w:szCs w:val="20"/>
                <w:color w:val="auto"/>
              </w:rPr>
            </w:pPr>
            <w:r>
              <w:rPr>
                <w:rFonts w:ascii="Arial" w:cs="Arial" w:eastAsia="Arial" w:hAnsi="Arial"/>
                <w:sz w:val="14"/>
                <w:szCs w:val="14"/>
                <w:color w:val="auto"/>
              </w:rPr>
              <w:t>$</w:t>
            </w:r>
          </w:p>
        </w:tc>
        <w:tc>
          <w:tcPr>
            <w:tcW w:w="6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0.45</w:t>
            </w:r>
          </w:p>
        </w:tc>
        <w:tc>
          <w:tcPr>
            <w:tcW w:w="10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0.49</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0.62</w:t>
            </w:r>
          </w:p>
        </w:tc>
        <w:tc>
          <w:tcPr>
            <w:tcW w:w="100" w:type="dxa"/>
            <w:vAlign w:val="bottom"/>
            <w:tcBorders>
              <w:bottom w:val="single" w:sz="8" w:color="CCEEFF"/>
            </w:tcBorders>
          </w:tcPr>
          <w:p>
            <w:pPr>
              <w:spacing w:after="0"/>
              <w:rPr>
                <w:sz w:val="21"/>
                <w:szCs w:val="21"/>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0.66</w:t>
            </w:r>
          </w:p>
        </w:tc>
        <w:tc>
          <w:tcPr>
            <w:tcW w:w="0" w:type="dxa"/>
            <w:vAlign w:val="bottom"/>
          </w:tcPr>
          <w:p>
            <w:pPr>
              <w:spacing w:after="0"/>
              <w:rPr>
                <w:sz w:val="1"/>
                <w:szCs w:val="1"/>
                <w:color w:val="auto"/>
              </w:rPr>
            </w:pPr>
          </w:p>
        </w:tc>
      </w:tr>
      <w:tr>
        <w:trPr>
          <w:trHeight w:val="110"/>
        </w:trPr>
        <w:tc>
          <w:tcPr>
            <w:tcW w:w="4120" w:type="dxa"/>
            <w:vAlign w:val="bottom"/>
            <w:shd w:val="clear" w:color="auto" w:fill="CCEEFF"/>
          </w:tcPr>
          <w:p>
            <w:pPr>
              <w:ind w:left="40"/>
              <w:spacing w:after="0" w:line="110" w:lineRule="exact"/>
              <w:rPr>
                <w:sz w:val="20"/>
                <w:szCs w:val="20"/>
                <w:color w:val="auto"/>
              </w:rPr>
            </w:pPr>
            <w:r>
              <w:rPr>
                <w:rFonts w:ascii="Arial" w:cs="Arial" w:eastAsia="Arial" w:hAnsi="Arial"/>
                <w:sz w:val="12"/>
                <w:szCs w:val="12"/>
                <w:color w:val="auto"/>
              </w:rPr>
              <w:t>Net spread and dollar roll income, excluding "catch-up" premium</w:t>
            </w: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0.49</w:t>
            </w:r>
          </w:p>
        </w:tc>
        <w:tc>
          <w:tcPr>
            <w:tcW w:w="100" w:type="dxa"/>
            <w:vAlign w:val="bottom"/>
            <w:shd w:val="clear" w:color="auto" w:fill="CCEEFF"/>
          </w:tcPr>
          <w:p>
            <w:pPr>
              <w:spacing w:after="0"/>
              <w:rPr>
                <w:sz w:val="9"/>
                <w:szCs w:val="9"/>
                <w:color w:val="auto"/>
              </w:rPr>
            </w:pPr>
          </w:p>
        </w:tc>
        <w:tc>
          <w:tcPr>
            <w:tcW w:w="320" w:type="dxa"/>
            <w:vAlign w:val="bottom"/>
            <w:vMerge w:val="restart"/>
            <w:shd w:val="clear" w:color="auto" w:fill="CCEEFF"/>
          </w:tcPr>
          <w:p>
            <w:pPr>
              <w:jc w:val="right"/>
              <w:ind w:right="149"/>
              <w:spacing w:after="0"/>
              <w:rPr>
                <w:sz w:val="20"/>
                <w:szCs w:val="20"/>
                <w:color w:val="auto"/>
              </w:rPr>
            </w:pPr>
            <w:r>
              <w:rPr>
                <w:rFonts w:ascii="Arial" w:cs="Arial" w:eastAsia="Arial" w:hAnsi="Arial"/>
                <w:sz w:val="14"/>
                <w:szCs w:val="14"/>
                <w:color w:val="auto"/>
              </w:rPr>
              <w:t>$</w:t>
            </w:r>
          </w:p>
        </w:tc>
        <w:tc>
          <w:tcPr>
            <w:tcW w:w="64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0.52</w:t>
            </w:r>
          </w:p>
        </w:tc>
        <w:tc>
          <w:tcPr>
            <w:tcW w:w="20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vMerge w:val="restart"/>
            <w:shd w:val="clear" w:color="auto" w:fill="CCEEFF"/>
          </w:tcPr>
          <w:p>
            <w:pPr>
              <w:jc w:val="right"/>
              <w:ind w:right="9"/>
              <w:spacing w:after="0"/>
              <w:rPr>
                <w:sz w:val="20"/>
                <w:szCs w:val="20"/>
                <w:color w:val="auto"/>
              </w:rPr>
            </w:pPr>
            <w:r>
              <w:rPr>
                <w:rFonts w:ascii="Arial" w:cs="Arial" w:eastAsia="Arial" w:hAnsi="Arial"/>
                <w:sz w:val="14"/>
                <w:szCs w:val="14"/>
                <w:color w:val="auto"/>
              </w:rPr>
              <w:t>0.53</w:t>
            </w:r>
          </w:p>
        </w:tc>
        <w:tc>
          <w:tcPr>
            <w:tcW w:w="120" w:type="dxa"/>
            <w:vAlign w:val="bottom"/>
            <w:shd w:val="clear" w:color="auto" w:fill="CCEEFF"/>
          </w:tcPr>
          <w:p>
            <w:pPr>
              <w:spacing w:after="0"/>
              <w:rPr>
                <w:sz w:val="9"/>
                <w:szCs w:val="9"/>
                <w:color w:val="auto"/>
              </w:rPr>
            </w:pP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vMerge w:val="restart"/>
            <w:shd w:val="clear" w:color="auto" w:fill="CCEEFF"/>
          </w:tcPr>
          <w:p>
            <w:pPr>
              <w:jc w:val="right"/>
              <w:ind w:right="9"/>
              <w:spacing w:after="0"/>
              <w:rPr>
                <w:sz w:val="20"/>
                <w:szCs w:val="20"/>
                <w:color w:val="auto"/>
              </w:rPr>
            </w:pPr>
            <w:r>
              <w:rPr>
                <w:rFonts w:ascii="Arial" w:cs="Arial" w:eastAsia="Arial" w:hAnsi="Arial"/>
                <w:sz w:val="14"/>
                <w:szCs w:val="14"/>
                <w:color w:val="auto"/>
              </w:rPr>
              <w:t>0.61</w:t>
            </w:r>
          </w:p>
        </w:tc>
        <w:tc>
          <w:tcPr>
            <w:tcW w:w="100" w:type="dxa"/>
            <w:vAlign w:val="bottom"/>
            <w:shd w:val="clear" w:color="auto" w:fill="CCEEFF"/>
          </w:tcPr>
          <w:p>
            <w:pPr>
              <w:spacing w:after="0"/>
              <w:rPr>
                <w:sz w:val="9"/>
                <w:szCs w:val="9"/>
                <w:color w:val="auto"/>
              </w:rPr>
            </w:pP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0.63</w:t>
            </w:r>
          </w:p>
        </w:tc>
        <w:tc>
          <w:tcPr>
            <w:tcW w:w="0" w:type="dxa"/>
            <w:vAlign w:val="bottom"/>
          </w:tcPr>
          <w:p>
            <w:pPr>
              <w:spacing w:after="0"/>
              <w:rPr>
                <w:sz w:val="1"/>
                <w:szCs w:val="1"/>
                <w:color w:val="auto"/>
              </w:rPr>
            </w:pPr>
          </w:p>
        </w:tc>
      </w:tr>
      <w:tr>
        <w:trPr>
          <w:trHeight w:val="181"/>
        </w:trPr>
        <w:tc>
          <w:tcPr>
            <w:tcW w:w="4120" w:type="dxa"/>
            <w:vAlign w:val="bottom"/>
            <w:shd w:val="clear" w:color="auto" w:fill="CCEEFF"/>
          </w:tcPr>
          <w:p>
            <w:pPr>
              <w:ind w:left="40"/>
              <w:spacing w:after="0"/>
              <w:rPr>
                <w:sz w:val="20"/>
                <w:szCs w:val="20"/>
                <w:color w:val="auto"/>
              </w:rPr>
            </w:pPr>
            <w:r>
              <w:rPr>
                <w:rFonts w:ascii="Arial" w:cs="Arial" w:eastAsia="Arial" w:hAnsi="Arial"/>
                <w:sz w:val="14"/>
                <w:szCs w:val="14"/>
                <w:color w:val="auto"/>
              </w:rPr>
              <w:t>amortization, per common share - basic</w:t>
            </w:r>
          </w:p>
        </w:tc>
        <w:tc>
          <w:tcPr>
            <w:tcW w:w="140" w:type="dxa"/>
            <w:vAlign w:val="bottom"/>
            <w:vMerge w:val="continue"/>
            <w:shd w:val="clear" w:color="auto" w:fill="CCEEFF"/>
          </w:tcPr>
          <w:p>
            <w:pPr>
              <w:spacing w:after="0"/>
              <w:rPr>
                <w:sz w:val="15"/>
                <w:szCs w:val="15"/>
                <w:color w:val="auto"/>
              </w:rPr>
            </w:pPr>
          </w:p>
        </w:tc>
        <w:tc>
          <w:tcPr>
            <w:tcW w:w="80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320" w:type="dxa"/>
            <w:vAlign w:val="bottom"/>
            <w:vMerge w:val="continue"/>
            <w:shd w:val="clear" w:color="auto" w:fill="CCEEFF"/>
          </w:tcPr>
          <w:p>
            <w:pPr>
              <w:spacing w:after="0"/>
              <w:rPr>
                <w:sz w:val="15"/>
                <w:szCs w:val="15"/>
                <w:color w:val="auto"/>
              </w:rPr>
            </w:pPr>
          </w:p>
        </w:tc>
        <w:tc>
          <w:tcPr>
            <w:tcW w:w="640" w:type="dxa"/>
            <w:vAlign w:val="bottom"/>
            <w:vMerge w:val="continue"/>
            <w:shd w:val="clear" w:color="auto" w:fill="CCEEFF"/>
          </w:tcPr>
          <w:p>
            <w:pPr>
              <w:spacing w:after="0"/>
              <w:rPr>
                <w:sz w:val="15"/>
                <w:szCs w:val="15"/>
                <w:color w:val="auto"/>
              </w:rPr>
            </w:pPr>
          </w:p>
        </w:tc>
        <w:tc>
          <w:tcPr>
            <w:tcW w:w="200" w:type="dxa"/>
            <w:vAlign w:val="bottom"/>
            <w:gridSpan w:val="2"/>
            <w:vMerge w:val="continue"/>
            <w:shd w:val="clear" w:color="auto" w:fill="CCEEFF"/>
          </w:tcPr>
          <w:p>
            <w:pPr>
              <w:spacing w:after="0"/>
              <w:rPr>
                <w:sz w:val="15"/>
                <w:szCs w:val="15"/>
                <w:color w:val="auto"/>
              </w:rPr>
            </w:pPr>
          </w:p>
        </w:tc>
        <w:tc>
          <w:tcPr>
            <w:tcW w:w="840" w:type="dxa"/>
            <w:vAlign w:val="bottom"/>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 w:type="dxa"/>
            <w:vAlign w:val="bottom"/>
            <w:vMerge w:val="continue"/>
            <w:shd w:val="clear" w:color="auto" w:fill="CCEEFF"/>
          </w:tcPr>
          <w:p>
            <w:pPr>
              <w:spacing w:after="0"/>
              <w:rPr>
                <w:sz w:val="15"/>
                <w:szCs w:val="15"/>
                <w:color w:val="auto"/>
              </w:rPr>
            </w:pPr>
          </w:p>
        </w:tc>
        <w:tc>
          <w:tcPr>
            <w:tcW w:w="84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60" w:type="dxa"/>
            <w:vAlign w:val="bottom"/>
            <w:vMerge w:val="continue"/>
            <w:shd w:val="clear" w:color="auto" w:fill="CCEEFF"/>
          </w:tcPr>
          <w:p>
            <w:pPr>
              <w:spacing w:after="0"/>
              <w:rPr>
                <w:sz w:val="15"/>
                <w:szCs w:val="15"/>
                <w:color w:val="auto"/>
              </w:rPr>
            </w:pPr>
          </w:p>
        </w:tc>
        <w:tc>
          <w:tcPr>
            <w:tcW w:w="800" w:type="dxa"/>
            <w:vAlign w:val="bottom"/>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4120" w:type="dxa"/>
            <w:vAlign w:val="bottom"/>
            <w:tcBorders>
              <w:top w:val="single" w:sz="8" w:color="CCEEFF"/>
              <w:bottom w:val="single" w:sz="8" w:color="CCEEFF"/>
            </w:tcBorders>
            <w:vMerge w:val="restart"/>
          </w:tcPr>
          <w:p>
            <w:pPr>
              <w:ind w:left="40"/>
              <w:spacing w:after="0" w:line="151" w:lineRule="exact"/>
              <w:rPr>
                <w:sz w:val="20"/>
                <w:szCs w:val="20"/>
                <w:color w:val="auto"/>
              </w:rPr>
            </w:pPr>
            <w:r>
              <w:rPr>
                <w:rFonts w:ascii="Arial" w:cs="Arial" w:eastAsia="Arial" w:hAnsi="Arial"/>
                <w:sz w:val="14"/>
                <w:szCs w:val="14"/>
                <w:color w:val="auto"/>
              </w:rPr>
              <w:t>Net spread and dollar roll income, excluding "catch-up" premium</w:t>
            </w: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0"/>
        </w:trPr>
        <w:tc>
          <w:tcPr>
            <w:tcW w:w="4120" w:type="dxa"/>
            <w:vAlign w:val="bottom"/>
            <w:vMerge w:val="continue"/>
          </w:tcPr>
          <w:p>
            <w:pPr>
              <w:spacing w:after="0"/>
              <w:rPr>
                <w:sz w:val="9"/>
                <w:szCs w:val="9"/>
                <w:color w:val="auto"/>
              </w:rPr>
            </w:pPr>
          </w:p>
        </w:tc>
        <w:tc>
          <w:tcPr>
            <w:tcW w:w="14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800" w:type="dxa"/>
            <w:vAlign w:val="bottom"/>
            <w:vMerge w:val="restart"/>
          </w:tcPr>
          <w:p>
            <w:pPr>
              <w:jc w:val="right"/>
              <w:ind w:right="8"/>
              <w:spacing w:after="0"/>
              <w:rPr>
                <w:sz w:val="20"/>
                <w:szCs w:val="20"/>
                <w:color w:val="auto"/>
              </w:rPr>
            </w:pPr>
            <w:r>
              <w:rPr>
                <w:rFonts w:ascii="Arial" w:cs="Arial" w:eastAsia="Arial" w:hAnsi="Arial"/>
                <w:sz w:val="14"/>
                <w:szCs w:val="14"/>
                <w:color w:val="auto"/>
              </w:rPr>
              <w:t>0.49</w:t>
            </w:r>
          </w:p>
        </w:tc>
        <w:tc>
          <w:tcPr>
            <w:tcW w:w="100" w:type="dxa"/>
            <w:vAlign w:val="bottom"/>
          </w:tcPr>
          <w:p>
            <w:pPr>
              <w:spacing w:after="0"/>
              <w:rPr>
                <w:sz w:val="9"/>
                <w:szCs w:val="9"/>
                <w:color w:val="auto"/>
              </w:rPr>
            </w:pPr>
          </w:p>
        </w:tc>
        <w:tc>
          <w:tcPr>
            <w:tcW w:w="320" w:type="dxa"/>
            <w:vAlign w:val="bottom"/>
            <w:vMerge w:val="restart"/>
          </w:tcPr>
          <w:p>
            <w:pPr>
              <w:jc w:val="right"/>
              <w:ind w:right="149"/>
              <w:spacing w:after="0"/>
              <w:rPr>
                <w:sz w:val="20"/>
                <w:szCs w:val="20"/>
                <w:color w:val="auto"/>
              </w:rPr>
            </w:pPr>
            <w:r>
              <w:rPr>
                <w:rFonts w:ascii="Arial" w:cs="Arial" w:eastAsia="Arial" w:hAnsi="Arial"/>
                <w:sz w:val="14"/>
                <w:szCs w:val="14"/>
                <w:color w:val="auto"/>
              </w:rPr>
              <w:t>$</w:t>
            </w:r>
          </w:p>
        </w:tc>
        <w:tc>
          <w:tcPr>
            <w:tcW w:w="640" w:type="dxa"/>
            <w:vAlign w:val="bottom"/>
            <w:vMerge w:val="restart"/>
          </w:tcPr>
          <w:p>
            <w:pPr>
              <w:jc w:val="right"/>
              <w:ind w:right="8"/>
              <w:spacing w:after="0"/>
              <w:rPr>
                <w:sz w:val="20"/>
                <w:szCs w:val="20"/>
                <w:color w:val="auto"/>
              </w:rPr>
            </w:pPr>
            <w:r>
              <w:rPr>
                <w:rFonts w:ascii="Arial" w:cs="Arial" w:eastAsia="Arial" w:hAnsi="Arial"/>
                <w:sz w:val="14"/>
                <w:szCs w:val="14"/>
                <w:color w:val="auto"/>
              </w:rPr>
              <w:t>0.52</w:t>
            </w:r>
          </w:p>
        </w:tc>
        <w:tc>
          <w:tcPr>
            <w:tcW w:w="200" w:type="dxa"/>
            <w:vAlign w:val="bottom"/>
            <w:gridSpan w:val="2"/>
            <w:vMerge w:val="restart"/>
          </w:tcPr>
          <w:p>
            <w:pPr>
              <w:jc w:val="right"/>
              <w:spacing w:after="0"/>
              <w:rPr>
                <w:sz w:val="20"/>
                <w:szCs w:val="20"/>
                <w:color w:val="auto"/>
              </w:rPr>
            </w:pPr>
            <w:r>
              <w:rPr>
                <w:rFonts w:ascii="Arial" w:cs="Arial" w:eastAsia="Arial" w:hAnsi="Arial"/>
                <w:sz w:val="14"/>
                <w:szCs w:val="14"/>
                <w:color w:val="auto"/>
              </w:rPr>
              <w:t>$</w:t>
            </w:r>
          </w:p>
        </w:tc>
        <w:tc>
          <w:tcPr>
            <w:tcW w:w="840" w:type="dxa"/>
            <w:vAlign w:val="bottom"/>
            <w:vMerge w:val="restart"/>
          </w:tcPr>
          <w:p>
            <w:pPr>
              <w:jc w:val="right"/>
              <w:ind w:right="9"/>
              <w:spacing w:after="0"/>
              <w:rPr>
                <w:sz w:val="20"/>
                <w:szCs w:val="20"/>
                <w:color w:val="auto"/>
              </w:rPr>
            </w:pPr>
            <w:r>
              <w:rPr>
                <w:rFonts w:ascii="Arial" w:cs="Arial" w:eastAsia="Arial" w:hAnsi="Arial"/>
                <w:sz w:val="14"/>
                <w:szCs w:val="14"/>
                <w:color w:val="auto"/>
              </w:rPr>
              <w:t>0.53</w:t>
            </w:r>
          </w:p>
        </w:tc>
        <w:tc>
          <w:tcPr>
            <w:tcW w:w="120" w:type="dxa"/>
            <w:vAlign w:val="bottom"/>
          </w:tcPr>
          <w:p>
            <w:pPr>
              <w:spacing w:after="0"/>
              <w:rPr>
                <w:sz w:val="9"/>
                <w:szCs w:val="9"/>
                <w:color w:val="auto"/>
              </w:rPr>
            </w:pPr>
          </w:p>
        </w:tc>
        <w:tc>
          <w:tcPr>
            <w:tcW w:w="10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840" w:type="dxa"/>
            <w:vAlign w:val="bottom"/>
            <w:vMerge w:val="restart"/>
          </w:tcPr>
          <w:p>
            <w:pPr>
              <w:jc w:val="right"/>
              <w:ind w:right="9"/>
              <w:spacing w:after="0"/>
              <w:rPr>
                <w:sz w:val="20"/>
                <w:szCs w:val="20"/>
                <w:color w:val="auto"/>
              </w:rPr>
            </w:pPr>
            <w:r>
              <w:rPr>
                <w:rFonts w:ascii="Arial" w:cs="Arial" w:eastAsia="Arial" w:hAnsi="Arial"/>
                <w:sz w:val="14"/>
                <w:szCs w:val="14"/>
                <w:color w:val="auto"/>
              </w:rPr>
              <w:t>0.61</w:t>
            </w:r>
          </w:p>
        </w:tc>
        <w:tc>
          <w:tcPr>
            <w:tcW w:w="100" w:type="dxa"/>
            <w:vAlign w:val="bottom"/>
          </w:tcPr>
          <w:p>
            <w:pPr>
              <w:spacing w:after="0"/>
              <w:rPr>
                <w:sz w:val="9"/>
                <w:szCs w:val="9"/>
                <w:color w:val="auto"/>
              </w:rPr>
            </w:pPr>
          </w:p>
        </w:tc>
        <w:tc>
          <w:tcPr>
            <w:tcW w:w="16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800" w:type="dxa"/>
            <w:vAlign w:val="bottom"/>
            <w:vMerge w:val="restart"/>
          </w:tcPr>
          <w:p>
            <w:pPr>
              <w:jc w:val="right"/>
              <w:ind w:right="8"/>
              <w:spacing w:after="0"/>
              <w:rPr>
                <w:sz w:val="20"/>
                <w:szCs w:val="20"/>
                <w:color w:val="auto"/>
              </w:rPr>
            </w:pPr>
            <w:r>
              <w:rPr>
                <w:rFonts w:ascii="Arial" w:cs="Arial" w:eastAsia="Arial" w:hAnsi="Arial"/>
                <w:sz w:val="14"/>
                <w:szCs w:val="14"/>
                <w:color w:val="auto"/>
              </w:rPr>
              <w:t>0.63</w:t>
            </w:r>
          </w:p>
        </w:tc>
        <w:tc>
          <w:tcPr>
            <w:tcW w:w="0" w:type="dxa"/>
            <w:vAlign w:val="bottom"/>
          </w:tcPr>
          <w:p>
            <w:pPr>
              <w:spacing w:after="0"/>
              <w:rPr>
                <w:sz w:val="1"/>
                <w:szCs w:val="1"/>
                <w:color w:val="auto"/>
              </w:rPr>
            </w:pPr>
          </w:p>
        </w:tc>
      </w:tr>
      <w:tr>
        <w:trPr>
          <w:trHeight w:val="181"/>
        </w:trPr>
        <w:tc>
          <w:tcPr>
            <w:tcW w:w="4120" w:type="dxa"/>
            <w:vAlign w:val="bottom"/>
          </w:tcPr>
          <w:p>
            <w:pPr>
              <w:ind w:left="40"/>
              <w:spacing w:after="0"/>
              <w:rPr>
                <w:sz w:val="20"/>
                <w:szCs w:val="20"/>
                <w:color w:val="auto"/>
              </w:rPr>
            </w:pPr>
            <w:r>
              <w:rPr>
                <w:rFonts w:ascii="Arial" w:cs="Arial" w:eastAsia="Arial" w:hAnsi="Arial"/>
                <w:sz w:val="14"/>
                <w:szCs w:val="14"/>
                <w:color w:val="auto"/>
              </w:rPr>
              <w:t>amortization, per common share - diluted</w:t>
            </w:r>
          </w:p>
        </w:tc>
        <w:tc>
          <w:tcPr>
            <w:tcW w:w="140" w:type="dxa"/>
            <w:vAlign w:val="bottom"/>
            <w:vMerge w:val="continue"/>
          </w:tcPr>
          <w:p>
            <w:pPr>
              <w:spacing w:after="0"/>
              <w:rPr>
                <w:sz w:val="15"/>
                <w:szCs w:val="15"/>
                <w:color w:val="auto"/>
              </w:rPr>
            </w:pPr>
          </w:p>
        </w:tc>
        <w:tc>
          <w:tcPr>
            <w:tcW w:w="80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320" w:type="dxa"/>
            <w:vAlign w:val="bottom"/>
            <w:vMerge w:val="continue"/>
          </w:tcPr>
          <w:p>
            <w:pPr>
              <w:spacing w:after="0"/>
              <w:rPr>
                <w:sz w:val="15"/>
                <w:szCs w:val="15"/>
                <w:color w:val="auto"/>
              </w:rPr>
            </w:pPr>
          </w:p>
        </w:tc>
        <w:tc>
          <w:tcPr>
            <w:tcW w:w="640" w:type="dxa"/>
            <w:vAlign w:val="bottom"/>
            <w:vMerge w:val="continue"/>
          </w:tcPr>
          <w:p>
            <w:pPr>
              <w:spacing w:after="0"/>
              <w:rPr>
                <w:sz w:val="15"/>
                <w:szCs w:val="15"/>
                <w:color w:val="auto"/>
              </w:rPr>
            </w:pPr>
          </w:p>
        </w:tc>
        <w:tc>
          <w:tcPr>
            <w:tcW w:w="200" w:type="dxa"/>
            <w:vAlign w:val="bottom"/>
            <w:gridSpan w:val="2"/>
            <w:vMerge w:val="continue"/>
          </w:tcPr>
          <w:p>
            <w:pPr>
              <w:spacing w:after="0"/>
              <w:rPr>
                <w:sz w:val="15"/>
                <w:szCs w:val="15"/>
                <w:color w:val="auto"/>
              </w:rPr>
            </w:pPr>
          </w:p>
        </w:tc>
        <w:tc>
          <w:tcPr>
            <w:tcW w:w="84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vMerge w:val="continue"/>
          </w:tcPr>
          <w:p>
            <w:pPr>
              <w:spacing w:after="0"/>
              <w:rPr>
                <w:sz w:val="15"/>
                <w:szCs w:val="15"/>
                <w:color w:val="auto"/>
              </w:rPr>
            </w:pPr>
          </w:p>
        </w:tc>
        <w:tc>
          <w:tcPr>
            <w:tcW w:w="84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vMerge w:val="continue"/>
          </w:tcPr>
          <w:p>
            <w:pPr>
              <w:spacing w:after="0"/>
              <w:rPr>
                <w:sz w:val="15"/>
                <w:szCs w:val="15"/>
                <w:color w:val="auto"/>
              </w:rPr>
            </w:pPr>
          </w:p>
        </w:tc>
        <w:tc>
          <w:tcPr>
            <w:tcW w:w="8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0219"/>
          </w:cols>
          <w:pgMar w:left="240" w:top="147" w:right="1440" w:bottom="1440" w:gutter="0" w:footer="0" w:header="0"/>
        </w:sectPr>
      </w:pPr>
    </w:p>
    <w:bookmarkStart w:id="12" w:name="page13"/>
    <w:bookmarkEnd w:id="12"/>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24,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10</w:t>
      </w:r>
    </w:p>
    <w:p>
      <w:pPr>
        <w:spacing w:after="0" w:line="383" w:lineRule="exact"/>
        <w:rPr>
          <w:sz w:val="20"/>
          <w:szCs w:val="20"/>
          <w:color w:val="auto"/>
        </w:rPr>
      </w:pPr>
    </w:p>
    <w:p>
      <w:pPr>
        <w:jc w:val="center"/>
        <w:ind w:right="259"/>
        <w:spacing w:after="0"/>
        <w:rPr>
          <w:sz w:val="20"/>
          <w:szCs w:val="20"/>
          <w:color w:val="auto"/>
        </w:rPr>
      </w:pPr>
      <w:r>
        <w:rPr>
          <w:rFonts w:ascii="Arial" w:cs="Arial" w:eastAsia="Arial" w:hAnsi="Arial"/>
          <w:sz w:val="14"/>
          <w:szCs w:val="14"/>
          <w:color w:val="auto"/>
        </w:rPr>
        <w:t>AGNC INVESTMENT CORP.</w:t>
      </w:r>
    </w:p>
    <w:p>
      <w:pPr>
        <w:spacing w:after="0" w:line="42" w:lineRule="exact"/>
        <w:rPr>
          <w:sz w:val="20"/>
          <w:szCs w:val="20"/>
          <w:color w:val="auto"/>
        </w:rPr>
      </w:pPr>
    </w:p>
    <w:p>
      <w:pPr>
        <w:jc w:val="center"/>
        <w:ind w:right="259"/>
        <w:spacing w:after="0"/>
        <w:rPr>
          <w:sz w:val="20"/>
          <w:szCs w:val="20"/>
          <w:color w:val="auto"/>
        </w:rPr>
      </w:pPr>
      <w:r>
        <w:rPr>
          <w:rFonts w:ascii="Arial" w:cs="Arial" w:eastAsia="Arial" w:hAnsi="Arial"/>
          <w:sz w:val="14"/>
          <w:szCs w:val="14"/>
          <w:color w:val="auto"/>
        </w:rPr>
        <w:t xml:space="preserve">RECONCILIATION OF GAAP NET INCOME TO ESTIMATED TAXABLE INCOME (NON-GAAP MEASURE) </w:t>
      </w:r>
      <w:r>
        <w:rPr>
          <w:rFonts w:ascii="Arial" w:cs="Arial" w:eastAsia="Arial" w:hAnsi="Arial"/>
          <w:sz w:val="8"/>
          <w:szCs w:val="8"/>
          <w:color w:val="auto"/>
        </w:rPr>
        <w:t>2</w:t>
      </w:r>
    </w:p>
    <w:p>
      <w:pPr>
        <w:spacing w:after="0" w:line="42" w:lineRule="exact"/>
        <w:rPr>
          <w:sz w:val="20"/>
          <w:szCs w:val="20"/>
          <w:color w:val="auto"/>
        </w:rPr>
      </w:pPr>
    </w:p>
    <w:p>
      <w:pPr>
        <w:jc w:val="center"/>
        <w:ind w:right="259"/>
        <w:spacing w:after="0"/>
        <w:rPr>
          <w:sz w:val="20"/>
          <w:szCs w:val="20"/>
          <w:color w:val="auto"/>
        </w:rPr>
      </w:pPr>
      <w:r>
        <w:rPr>
          <w:rFonts w:ascii="Arial" w:cs="Arial" w:eastAsia="Arial" w:hAnsi="Arial"/>
          <w:sz w:val="14"/>
          <w:szCs w:val="14"/>
          <w:color w:val="auto"/>
        </w:rPr>
        <w:t>(in millions, except per share data)</w:t>
      </w:r>
    </w:p>
    <w:p>
      <w:pPr>
        <w:spacing w:after="0" w:line="42" w:lineRule="exact"/>
        <w:rPr>
          <w:sz w:val="20"/>
          <w:szCs w:val="20"/>
          <w:color w:val="auto"/>
        </w:rPr>
      </w:pPr>
    </w:p>
    <w:p>
      <w:pPr>
        <w:jc w:val="center"/>
        <w:ind w:right="259"/>
        <w:spacing w:after="0"/>
        <w:rPr>
          <w:sz w:val="20"/>
          <w:szCs w:val="20"/>
          <w:color w:val="auto"/>
        </w:rPr>
      </w:pPr>
      <w:r>
        <w:rPr>
          <w:rFonts w:ascii="Arial" w:cs="Arial" w:eastAsia="Arial" w:hAnsi="Arial"/>
          <w:sz w:val="14"/>
          <w:szCs w:val="14"/>
          <w:color w:val="auto"/>
        </w:rPr>
        <w:t>(unaudited)</w:t>
      </w:r>
    </w:p>
    <w:p>
      <w:pPr>
        <w:spacing w:after="0" w:line="249" w:lineRule="exact"/>
        <w:rPr>
          <w:sz w:val="20"/>
          <w:szCs w:val="20"/>
          <w:color w:val="auto"/>
        </w:rPr>
      </w:pPr>
    </w:p>
    <w:tbl>
      <w:tblPr>
        <w:tblLayout w:type="fixed"/>
        <w:tblInd w:w="340" w:type="dxa"/>
        <w:tblCellMar>
          <w:top w:w="0" w:type="dxa"/>
          <w:left w:w="0" w:type="dxa"/>
          <w:bottom w:w="0" w:type="dxa"/>
          <w:right w:w="0" w:type="dxa"/>
        </w:tblCellMar>
      </w:tblPr>
      <w:tr>
        <w:trPr>
          <w:trHeight w:val="170"/>
        </w:trPr>
        <w:tc>
          <w:tcPr>
            <w:tcW w:w="436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gridSpan w:val="4"/>
          </w:tcPr>
          <w:p>
            <w:pPr>
              <w:ind w:left="60"/>
              <w:spacing w:after="0"/>
              <w:rPr>
                <w:sz w:val="20"/>
                <w:szCs w:val="20"/>
                <w:color w:val="auto"/>
              </w:rPr>
            </w:pPr>
            <w:r>
              <w:rPr>
                <w:rFonts w:ascii="Arial" w:cs="Arial" w:eastAsia="Arial" w:hAnsi="Arial"/>
                <w:sz w:val="13"/>
                <w:szCs w:val="13"/>
                <w:color w:val="auto"/>
                <w:w w:val="85"/>
              </w:rPr>
              <w:t>Three Months Ended</w:t>
            </w:r>
          </w:p>
        </w:tc>
        <w:tc>
          <w:tcPr>
            <w:tcW w:w="2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r>
      <w:tr>
        <w:trPr>
          <w:trHeight w:val="148"/>
        </w:trPr>
        <w:tc>
          <w:tcPr>
            <w:tcW w:w="43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gridSpan w:val="2"/>
          </w:tcPr>
          <w:p>
            <w:pPr>
              <w:ind w:left="120"/>
              <w:spacing w:after="0" w:line="148" w:lineRule="exact"/>
              <w:rPr>
                <w:sz w:val="20"/>
                <w:szCs w:val="20"/>
                <w:color w:val="auto"/>
              </w:rPr>
            </w:pPr>
            <w:r>
              <w:rPr>
                <w:rFonts w:ascii="Arial" w:cs="Arial" w:eastAsia="Arial" w:hAnsi="Arial"/>
                <w:sz w:val="13"/>
                <w:szCs w:val="13"/>
                <w:color w:val="auto"/>
              </w:rPr>
              <w:t>June 30,</w:t>
            </w:r>
          </w:p>
        </w:tc>
        <w:tc>
          <w:tcPr>
            <w:tcW w:w="2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spacing w:after="0" w:line="148" w:lineRule="exact"/>
              <w:rPr>
                <w:sz w:val="20"/>
                <w:szCs w:val="20"/>
                <w:color w:val="auto"/>
              </w:rPr>
            </w:pPr>
            <w:r>
              <w:rPr>
                <w:rFonts w:ascii="Arial" w:cs="Arial" w:eastAsia="Arial" w:hAnsi="Arial"/>
                <w:sz w:val="13"/>
                <w:szCs w:val="13"/>
                <w:color w:val="auto"/>
              </w:rPr>
              <w:t>December 31,</w:t>
            </w:r>
          </w:p>
        </w:tc>
        <w:tc>
          <w:tcPr>
            <w:tcW w:w="1020" w:type="dxa"/>
            <w:vAlign w:val="bottom"/>
            <w:gridSpan w:val="3"/>
          </w:tcPr>
          <w:p>
            <w:pPr>
              <w:ind w:left="100"/>
              <w:spacing w:after="0" w:line="148" w:lineRule="exact"/>
              <w:rPr>
                <w:sz w:val="20"/>
                <w:szCs w:val="20"/>
                <w:color w:val="auto"/>
              </w:rPr>
            </w:pPr>
            <w:r>
              <w:rPr>
                <w:rFonts w:ascii="Arial" w:cs="Arial" w:eastAsia="Arial" w:hAnsi="Arial"/>
                <w:sz w:val="13"/>
                <w:szCs w:val="13"/>
                <w:color w:val="auto"/>
              </w:rPr>
              <w:t>September 30,</w:t>
            </w:r>
          </w:p>
        </w:tc>
        <w:tc>
          <w:tcPr>
            <w:tcW w:w="220" w:type="dxa"/>
            <w:vAlign w:val="bottom"/>
          </w:tcPr>
          <w:p>
            <w:pPr>
              <w:spacing w:after="0"/>
              <w:rPr>
                <w:sz w:val="12"/>
                <w:szCs w:val="12"/>
                <w:color w:val="auto"/>
              </w:rPr>
            </w:pPr>
          </w:p>
        </w:tc>
        <w:tc>
          <w:tcPr>
            <w:tcW w:w="680" w:type="dxa"/>
            <w:vAlign w:val="bottom"/>
          </w:tcPr>
          <w:p>
            <w:pPr>
              <w:jc w:val="right"/>
              <w:ind w:right="89"/>
              <w:spacing w:after="0" w:line="148" w:lineRule="exact"/>
              <w:rPr>
                <w:sz w:val="20"/>
                <w:szCs w:val="20"/>
                <w:color w:val="auto"/>
              </w:rPr>
            </w:pPr>
            <w:r>
              <w:rPr>
                <w:rFonts w:ascii="Arial" w:cs="Arial" w:eastAsia="Arial" w:hAnsi="Arial"/>
                <w:sz w:val="13"/>
                <w:szCs w:val="13"/>
                <w:color w:val="auto"/>
              </w:rPr>
              <w:t>June 30,</w:t>
            </w:r>
          </w:p>
        </w:tc>
      </w:tr>
      <w:tr>
        <w:trPr>
          <w:trHeight w:val="170"/>
        </w:trPr>
        <w:tc>
          <w:tcPr>
            <w:tcW w:w="4360" w:type="dxa"/>
            <w:vAlign w:val="bottom"/>
            <w:tcBorders>
              <w:bottom w:val="single" w:sz="8" w:color="CCEEFF"/>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169"/>
              <w:spacing w:after="0"/>
              <w:rPr>
                <w:sz w:val="20"/>
                <w:szCs w:val="20"/>
                <w:color w:val="auto"/>
              </w:rPr>
            </w:pPr>
            <w:r>
              <w:rPr>
                <w:rFonts w:ascii="Arial" w:cs="Arial" w:eastAsia="Arial" w:hAnsi="Arial"/>
                <w:sz w:val="13"/>
                <w:szCs w:val="13"/>
                <w:color w:val="auto"/>
              </w:rPr>
              <w:t>2019</w:t>
            </w:r>
          </w:p>
        </w:tc>
        <w:tc>
          <w:tcPr>
            <w:tcW w:w="120" w:type="dxa"/>
            <w:vAlign w:val="bottom"/>
            <w:tcBorders>
              <w:bottom w:val="single" w:sz="8" w:color="CCEEFF"/>
            </w:tcBorders>
          </w:tcPr>
          <w:p>
            <w:pPr>
              <w:spacing w:after="0"/>
              <w:rPr>
                <w:sz w:val="14"/>
                <w:szCs w:val="14"/>
                <w:color w:val="auto"/>
              </w:rPr>
            </w:pPr>
          </w:p>
        </w:tc>
        <w:tc>
          <w:tcPr>
            <w:tcW w:w="880" w:type="dxa"/>
            <w:vAlign w:val="bottom"/>
            <w:tcBorders>
              <w:bottom w:val="single" w:sz="8" w:color="auto"/>
            </w:tcBorders>
            <w:gridSpan w:val="2"/>
          </w:tcPr>
          <w:p>
            <w:pPr>
              <w:ind w:left="40"/>
              <w:spacing w:after="0"/>
              <w:rPr>
                <w:sz w:val="20"/>
                <w:szCs w:val="20"/>
                <w:color w:val="auto"/>
              </w:rPr>
            </w:pPr>
            <w:r>
              <w:rPr>
                <w:rFonts w:ascii="Arial" w:cs="Arial" w:eastAsia="Arial" w:hAnsi="Arial"/>
                <w:sz w:val="13"/>
                <w:szCs w:val="13"/>
                <w:color w:val="auto"/>
                <w:w w:val="90"/>
              </w:rPr>
              <w:t>March 31, 2019</w:t>
            </w:r>
          </w:p>
        </w:tc>
        <w:tc>
          <w:tcPr>
            <w:tcW w:w="12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249"/>
              <w:spacing w:after="0"/>
              <w:rPr>
                <w:sz w:val="20"/>
                <w:szCs w:val="20"/>
                <w:color w:val="auto"/>
              </w:rPr>
            </w:pPr>
            <w:r>
              <w:rPr>
                <w:rFonts w:ascii="Arial" w:cs="Arial" w:eastAsia="Arial" w:hAnsi="Arial"/>
                <w:sz w:val="13"/>
                <w:szCs w:val="13"/>
                <w:color w:val="auto"/>
              </w:rPr>
              <w:t>2018</w:t>
            </w:r>
          </w:p>
        </w:tc>
        <w:tc>
          <w:tcPr>
            <w:tcW w:w="100" w:type="dxa"/>
            <w:vAlign w:val="bottom"/>
            <w:tcBorders>
              <w:bottom w:val="single" w:sz="8" w:color="CCEEFF"/>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268"/>
              <w:spacing w:after="0"/>
              <w:rPr>
                <w:sz w:val="20"/>
                <w:szCs w:val="20"/>
                <w:color w:val="auto"/>
              </w:rPr>
            </w:pPr>
            <w:r>
              <w:rPr>
                <w:rFonts w:ascii="Arial" w:cs="Arial" w:eastAsia="Arial" w:hAnsi="Arial"/>
                <w:sz w:val="13"/>
                <w:szCs w:val="13"/>
                <w:color w:val="auto"/>
              </w:rPr>
              <w:t>2018</w:t>
            </w:r>
          </w:p>
        </w:tc>
        <w:tc>
          <w:tcPr>
            <w:tcW w:w="100" w:type="dxa"/>
            <w:vAlign w:val="bottom"/>
            <w:tcBorders>
              <w:bottom w:val="single" w:sz="8" w:color="CCEEFF"/>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169"/>
              <w:spacing w:after="0"/>
              <w:rPr>
                <w:sz w:val="20"/>
                <w:szCs w:val="20"/>
                <w:color w:val="auto"/>
              </w:rPr>
            </w:pPr>
            <w:r>
              <w:rPr>
                <w:rFonts w:ascii="Arial" w:cs="Arial" w:eastAsia="Arial" w:hAnsi="Arial"/>
                <w:sz w:val="13"/>
                <w:szCs w:val="13"/>
                <w:color w:val="auto"/>
              </w:rPr>
              <w:t>2018</w:t>
            </w:r>
          </w:p>
        </w:tc>
      </w:tr>
      <w:tr>
        <w:trPr>
          <w:trHeight w:val="257"/>
        </w:trPr>
        <w:tc>
          <w:tcPr>
            <w:tcW w:w="436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income/(loss)</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(444)</w:t>
            </w:r>
          </w:p>
        </w:tc>
        <w:tc>
          <w:tcPr>
            <w:tcW w:w="120" w:type="dxa"/>
            <w:vAlign w:val="bottom"/>
            <w:shd w:val="clear" w:color="auto" w:fill="CCEEFF"/>
          </w:tcPr>
          <w:p>
            <w:pPr>
              <w:spacing w:after="0"/>
              <w:rPr>
                <w:sz w:val="22"/>
                <w:szCs w:val="22"/>
                <w:color w:val="auto"/>
              </w:rPr>
            </w:pPr>
          </w:p>
        </w:tc>
        <w:tc>
          <w:tcPr>
            <w:tcW w:w="28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265</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(804)</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216</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293</w:t>
            </w:r>
          </w:p>
        </w:tc>
      </w:tr>
      <w:tr>
        <w:trPr>
          <w:trHeight w:val="264"/>
        </w:trPr>
        <w:tc>
          <w:tcPr>
            <w:tcW w:w="4360" w:type="dxa"/>
            <w:vAlign w:val="bottom"/>
          </w:tcPr>
          <w:p>
            <w:pPr>
              <w:ind w:left="20"/>
              <w:spacing w:after="0"/>
              <w:rPr>
                <w:sz w:val="20"/>
                <w:szCs w:val="20"/>
                <w:color w:val="auto"/>
              </w:rPr>
            </w:pPr>
            <w:r>
              <w:rPr>
                <w:rFonts w:ascii="Arial" w:cs="Arial" w:eastAsia="Arial" w:hAnsi="Arial"/>
                <w:sz w:val="14"/>
                <w:szCs w:val="14"/>
                <w:color w:val="auto"/>
              </w:rPr>
              <w:t>Book to tax differences:</w:t>
            </w:r>
          </w:p>
        </w:tc>
        <w:tc>
          <w:tcPr>
            <w:tcW w:w="2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80" w:type="dxa"/>
            <w:vAlign w:val="bottom"/>
          </w:tcPr>
          <w:p>
            <w:pPr>
              <w:spacing w:after="0"/>
              <w:rPr>
                <w:sz w:val="22"/>
                <w:szCs w:val="22"/>
                <w:color w:val="auto"/>
              </w:rPr>
            </w:pPr>
          </w:p>
        </w:tc>
      </w:tr>
      <w:tr>
        <w:trPr>
          <w:trHeight w:val="276"/>
        </w:trPr>
        <w:tc>
          <w:tcPr>
            <w:tcW w:w="43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Premium amortization, net</w:t>
            </w: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67</w:t>
            </w: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54</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15</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w:t>
            </w:r>
          </w:p>
        </w:tc>
      </w:tr>
      <w:tr>
        <w:trPr>
          <w:trHeight w:val="264"/>
        </w:trPr>
        <w:tc>
          <w:tcPr>
            <w:tcW w:w="4360" w:type="dxa"/>
            <w:vAlign w:val="bottom"/>
          </w:tcPr>
          <w:p>
            <w:pPr>
              <w:ind w:left="160"/>
              <w:spacing w:after="0"/>
              <w:rPr>
                <w:sz w:val="20"/>
                <w:szCs w:val="20"/>
                <w:color w:val="auto"/>
              </w:rPr>
            </w:pPr>
            <w:r>
              <w:rPr>
                <w:rFonts w:ascii="Arial" w:cs="Arial" w:eastAsia="Arial" w:hAnsi="Arial"/>
                <w:sz w:val="14"/>
                <w:szCs w:val="14"/>
                <w:color w:val="auto"/>
              </w:rPr>
              <w:t>Realized gain/loss, net</w:t>
            </w:r>
          </w:p>
        </w:tc>
        <w:tc>
          <w:tcPr>
            <w:tcW w:w="200" w:type="dxa"/>
            <w:vAlign w:val="bottom"/>
          </w:tcPr>
          <w:p>
            <w:pPr>
              <w:spacing w:after="0"/>
              <w:rPr>
                <w:sz w:val="22"/>
                <w:szCs w:val="22"/>
                <w:color w:val="auto"/>
              </w:rPr>
            </w:pPr>
          </w:p>
        </w:tc>
        <w:tc>
          <w:tcPr>
            <w:tcW w:w="680" w:type="dxa"/>
            <w:vAlign w:val="bottom"/>
          </w:tcPr>
          <w:p>
            <w:pPr>
              <w:jc w:val="right"/>
              <w:ind w:right="9"/>
              <w:spacing w:after="0"/>
              <w:rPr>
                <w:sz w:val="20"/>
                <w:szCs w:val="20"/>
                <w:color w:val="auto"/>
              </w:rPr>
            </w:pPr>
            <w:r>
              <w:rPr>
                <w:rFonts w:ascii="Arial" w:cs="Arial" w:eastAsia="Arial" w:hAnsi="Arial"/>
                <w:sz w:val="14"/>
                <w:szCs w:val="14"/>
                <w:color w:val="auto"/>
              </w:rPr>
              <w:t>886</w:t>
            </w: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600" w:type="dxa"/>
            <w:vAlign w:val="bottom"/>
          </w:tcPr>
          <w:p>
            <w:pPr>
              <w:jc w:val="right"/>
              <w:ind w:right="8"/>
              <w:spacing w:after="0"/>
              <w:rPr>
                <w:sz w:val="20"/>
                <w:szCs w:val="20"/>
                <w:color w:val="auto"/>
              </w:rPr>
            </w:pPr>
            <w:r>
              <w:rPr>
                <w:rFonts w:ascii="Arial" w:cs="Arial" w:eastAsia="Arial" w:hAnsi="Arial"/>
                <w:sz w:val="14"/>
                <w:szCs w:val="14"/>
                <w:color w:val="auto"/>
              </w:rPr>
              <w:t>627</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Pr>
          <w:p>
            <w:pPr>
              <w:jc w:val="right"/>
              <w:ind w:right="9"/>
              <w:spacing w:after="0"/>
              <w:rPr>
                <w:sz w:val="20"/>
                <w:szCs w:val="20"/>
                <w:color w:val="auto"/>
              </w:rPr>
            </w:pPr>
            <w:r>
              <w:rPr>
                <w:rFonts w:ascii="Arial" w:cs="Arial" w:eastAsia="Arial" w:hAnsi="Arial"/>
                <w:sz w:val="14"/>
                <w:szCs w:val="14"/>
                <w:color w:val="auto"/>
              </w:rPr>
              <w:t>928</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(291)</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(221)</w:t>
            </w:r>
          </w:p>
        </w:tc>
      </w:tr>
      <w:tr>
        <w:trPr>
          <w:trHeight w:val="276"/>
        </w:trPr>
        <w:tc>
          <w:tcPr>
            <w:tcW w:w="43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Net capital loss/(utilization of net capital loss carryforward)</w:t>
            </w: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320</w:t>
            </w: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(105)</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(67)</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109</w:t>
            </w:r>
          </w:p>
        </w:tc>
      </w:tr>
      <w:tr>
        <w:trPr>
          <w:trHeight w:val="264"/>
        </w:trPr>
        <w:tc>
          <w:tcPr>
            <w:tcW w:w="4360" w:type="dxa"/>
            <w:vAlign w:val="bottom"/>
          </w:tcPr>
          <w:p>
            <w:pPr>
              <w:ind w:left="160"/>
              <w:spacing w:after="0"/>
              <w:rPr>
                <w:sz w:val="20"/>
                <w:szCs w:val="20"/>
                <w:color w:val="auto"/>
              </w:rPr>
            </w:pPr>
            <w:r>
              <w:rPr>
                <w:rFonts w:ascii="Arial" w:cs="Arial" w:eastAsia="Arial" w:hAnsi="Arial"/>
                <w:sz w:val="14"/>
                <w:szCs w:val="14"/>
                <w:color w:val="auto"/>
              </w:rPr>
              <w:t>Unrealized (gain)/loss, net</w:t>
            </w:r>
          </w:p>
        </w:tc>
        <w:tc>
          <w:tcPr>
            <w:tcW w:w="20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(644)</w:t>
            </w: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(719)</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Pr>
          <w:p>
            <w:pPr>
              <w:jc w:val="right"/>
              <w:ind w:right="9"/>
              <w:spacing w:after="0"/>
              <w:rPr>
                <w:sz w:val="20"/>
                <w:szCs w:val="20"/>
                <w:color w:val="auto"/>
              </w:rPr>
            </w:pPr>
            <w:r>
              <w:rPr>
                <w:rFonts w:ascii="Arial" w:cs="Arial" w:eastAsia="Arial" w:hAnsi="Arial"/>
                <w:sz w:val="14"/>
                <w:szCs w:val="14"/>
                <w:color w:val="auto"/>
              </w:rPr>
              <w:t>140</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316</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(46)</w:t>
            </w:r>
          </w:p>
        </w:tc>
      </w:tr>
      <w:tr>
        <w:trPr>
          <w:trHeight w:val="270"/>
        </w:trPr>
        <w:tc>
          <w:tcPr>
            <w:tcW w:w="43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Other</w:t>
            </w:r>
          </w:p>
        </w:tc>
        <w:tc>
          <w:tcPr>
            <w:tcW w:w="20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w:t>
            </w:r>
          </w:p>
        </w:tc>
      </w:tr>
      <w:tr>
        <w:trPr>
          <w:trHeight w:val="250"/>
        </w:trPr>
        <w:tc>
          <w:tcPr>
            <w:tcW w:w="4360" w:type="dxa"/>
            <w:vAlign w:val="bottom"/>
            <w:tcBorders>
              <w:bottom w:val="single" w:sz="8" w:color="CCEEFF"/>
            </w:tcBorders>
          </w:tcPr>
          <w:p>
            <w:pPr>
              <w:ind w:left="820"/>
              <w:spacing w:after="0"/>
              <w:rPr>
                <w:sz w:val="20"/>
                <w:szCs w:val="20"/>
                <w:color w:val="auto"/>
              </w:rPr>
            </w:pPr>
            <w:r>
              <w:rPr>
                <w:rFonts w:ascii="Arial" w:cs="Arial" w:eastAsia="Arial" w:hAnsi="Arial"/>
                <w:sz w:val="14"/>
                <w:szCs w:val="14"/>
                <w:color w:val="auto"/>
              </w:rPr>
              <w:t>Total book to tax differences</w:t>
            </w:r>
          </w:p>
        </w:tc>
        <w:tc>
          <w:tcPr>
            <w:tcW w:w="200" w:type="dxa"/>
            <w:vAlign w:val="bottom"/>
            <w:tcBorders>
              <w:bottom w:val="single" w:sz="8" w:color="auto"/>
            </w:tcBorders>
          </w:tcPr>
          <w:p>
            <w:pPr>
              <w:spacing w:after="0"/>
              <w:rPr>
                <w:sz w:val="21"/>
                <w:szCs w:val="21"/>
                <w:color w:val="auto"/>
              </w:rPr>
            </w:pPr>
          </w:p>
        </w:tc>
        <w:tc>
          <w:tcPr>
            <w:tcW w:w="68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628</w:t>
            </w:r>
          </w:p>
        </w:tc>
        <w:tc>
          <w:tcPr>
            <w:tcW w:w="120" w:type="dxa"/>
            <w:vAlign w:val="bottom"/>
            <w:tcBorders>
              <w:bottom w:val="single" w:sz="8" w:color="CCEEFF"/>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(59)</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977</w:t>
            </w:r>
          </w:p>
        </w:tc>
        <w:tc>
          <w:tcPr>
            <w:tcW w:w="10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(65)</w:t>
            </w:r>
          </w:p>
        </w:tc>
        <w:tc>
          <w:tcPr>
            <w:tcW w:w="10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(180)</w:t>
            </w:r>
          </w:p>
        </w:tc>
      </w:tr>
      <w:tr>
        <w:trPr>
          <w:trHeight w:val="256"/>
        </w:trPr>
        <w:tc>
          <w:tcPr>
            <w:tcW w:w="4360" w:type="dxa"/>
            <w:vAlign w:val="bottom"/>
            <w:shd w:val="clear" w:color="auto" w:fill="CCEEFF"/>
          </w:tcPr>
          <w:p>
            <w:pPr>
              <w:ind w:left="20"/>
              <w:spacing w:after="0"/>
              <w:rPr>
                <w:sz w:val="20"/>
                <w:szCs w:val="20"/>
                <w:color w:val="auto"/>
              </w:rPr>
            </w:pPr>
            <w:r>
              <w:rPr>
                <w:rFonts w:ascii="Arial" w:cs="Arial" w:eastAsia="Arial" w:hAnsi="Arial"/>
                <w:sz w:val="14"/>
                <w:szCs w:val="14"/>
                <w:color w:val="auto"/>
              </w:rPr>
              <w:t>Estimated REIT taxable income</w:t>
            </w:r>
          </w:p>
        </w:tc>
        <w:tc>
          <w:tcPr>
            <w:tcW w:w="200" w:type="dxa"/>
            <w:vAlign w:val="bottom"/>
            <w:shd w:val="clear" w:color="auto" w:fill="CCEEFF"/>
          </w:tcPr>
          <w:p>
            <w:pPr>
              <w:spacing w:after="0"/>
              <w:rPr>
                <w:sz w:val="22"/>
                <w:szCs w:val="22"/>
                <w:color w:val="auto"/>
              </w:rPr>
            </w:pPr>
          </w:p>
        </w:tc>
        <w:tc>
          <w:tcPr>
            <w:tcW w:w="6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184</w:t>
            </w:r>
          </w:p>
        </w:tc>
        <w:tc>
          <w:tcPr>
            <w:tcW w:w="12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206</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0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173</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151</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113</w:t>
            </w:r>
          </w:p>
        </w:tc>
      </w:tr>
      <w:tr>
        <w:trPr>
          <w:trHeight w:val="264"/>
        </w:trPr>
        <w:tc>
          <w:tcPr>
            <w:tcW w:w="436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Dividend on preferred stock</w:t>
            </w:r>
          </w:p>
        </w:tc>
        <w:tc>
          <w:tcPr>
            <w:tcW w:w="20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13</w:t>
            </w:r>
          </w:p>
        </w:tc>
        <w:tc>
          <w:tcPr>
            <w:tcW w:w="1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10</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9</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9</w:t>
            </w:r>
          </w:p>
        </w:tc>
      </w:tr>
      <w:tr>
        <w:trPr>
          <w:trHeight w:val="243"/>
        </w:trPr>
        <w:tc>
          <w:tcPr>
            <w:tcW w:w="4360" w:type="dxa"/>
            <w:vAlign w:val="bottom"/>
            <w:shd w:val="clear" w:color="auto" w:fill="CCEEFF"/>
          </w:tcPr>
          <w:p>
            <w:pPr>
              <w:ind w:left="20"/>
              <w:spacing w:after="0"/>
              <w:rPr>
                <w:sz w:val="20"/>
                <w:szCs w:val="20"/>
                <w:color w:val="auto"/>
              </w:rPr>
            </w:pPr>
            <w:r>
              <w:rPr>
                <w:rFonts w:ascii="Arial" w:cs="Arial" w:eastAsia="Arial" w:hAnsi="Arial"/>
                <w:sz w:val="14"/>
                <w:szCs w:val="14"/>
                <w:color w:val="auto"/>
              </w:rPr>
              <w:t>Estimated REIT taxable income, net of preferred stock dividend</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171</w:t>
            </w:r>
          </w:p>
        </w:tc>
        <w:tc>
          <w:tcPr>
            <w:tcW w:w="120" w:type="dxa"/>
            <w:vAlign w:val="bottom"/>
            <w:shd w:val="clear" w:color="auto" w:fill="CCEEFF"/>
          </w:tcPr>
          <w:p>
            <w:pPr>
              <w:spacing w:after="0"/>
              <w:rPr>
                <w:sz w:val="21"/>
                <w:szCs w:val="21"/>
                <w:color w:val="auto"/>
              </w:rPr>
            </w:pPr>
          </w:p>
        </w:tc>
        <w:tc>
          <w:tcPr>
            <w:tcW w:w="28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196</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164</w:t>
            </w:r>
          </w:p>
        </w:tc>
        <w:tc>
          <w:tcPr>
            <w:tcW w:w="100" w:type="dxa"/>
            <w:vAlign w:val="bottom"/>
            <w:shd w:val="clear" w:color="auto" w:fill="CCEEFF"/>
          </w:tcPr>
          <w:p>
            <w:pPr>
              <w:spacing w:after="0"/>
              <w:rPr>
                <w:sz w:val="21"/>
                <w:szCs w:val="21"/>
                <w:color w:val="auto"/>
              </w:rPr>
            </w:pPr>
          </w:p>
        </w:tc>
        <w:tc>
          <w:tcPr>
            <w:tcW w:w="22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142</w:t>
            </w:r>
          </w:p>
        </w:tc>
        <w:tc>
          <w:tcPr>
            <w:tcW w:w="100" w:type="dxa"/>
            <w:vAlign w:val="bottom"/>
            <w:shd w:val="clear" w:color="auto" w:fill="CCEEFF"/>
          </w:tcPr>
          <w:p>
            <w:pPr>
              <w:spacing w:after="0"/>
              <w:rPr>
                <w:sz w:val="21"/>
                <w:szCs w:val="21"/>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104</w:t>
            </w:r>
          </w:p>
        </w:tc>
      </w:tr>
      <w:tr>
        <w:trPr>
          <w:trHeight w:val="20"/>
        </w:trPr>
        <w:tc>
          <w:tcPr>
            <w:tcW w:w="43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r>
      <w:tr>
        <w:trPr>
          <w:trHeight w:val="250"/>
        </w:trPr>
        <w:tc>
          <w:tcPr>
            <w:tcW w:w="43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200" w:type="dxa"/>
            <w:vAlign w:val="bottom"/>
            <w:tcBorders>
              <w:bottom w:val="single" w:sz="8" w:color="auto"/>
            </w:tcBorders>
          </w:tcPr>
          <w:p>
            <w:pPr>
              <w:spacing w:after="0"/>
              <w:rPr>
                <w:sz w:val="21"/>
                <w:szCs w:val="21"/>
                <w:color w:val="auto"/>
              </w:rPr>
            </w:pPr>
          </w:p>
        </w:tc>
        <w:tc>
          <w:tcPr>
            <w:tcW w:w="68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537.8</w:t>
            </w:r>
          </w:p>
        </w:tc>
        <w:tc>
          <w:tcPr>
            <w:tcW w:w="120" w:type="dxa"/>
            <w:vAlign w:val="bottom"/>
            <w:tcBorders>
              <w:bottom w:val="single" w:sz="8" w:color="CCEEFF"/>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6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536.7</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504.2</w:t>
            </w:r>
          </w:p>
        </w:tc>
        <w:tc>
          <w:tcPr>
            <w:tcW w:w="10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462.3</w:t>
            </w:r>
          </w:p>
        </w:tc>
        <w:tc>
          <w:tcPr>
            <w:tcW w:w="10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68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404.9</w:t>
            </w:r>
          </w:p>
        </w:tc>
      </w:tr>
      <w:tr>
        <w:trPr>
          <w:trHeight w:val="210"/>
        </w:trPr>
        <w:tc>
          <w:tcPr>
            <w:tcW w:w="4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diluted</w:t>
            </w:r>
          </w:p>
        </w:tc>
        <w:tc>
          <w:tcPr>
            <w:tcW w:w="20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538.4</w:t>
            </w:r>
          </w:p>
        </w:tc>
        <w:tc>
          <w:tcPr>
            <w:tcW w:w="12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537.2</w:t>
            </w:r>
          </w:p>
        </w:tc>
        <w:tc>
          <w:tcPr>
            <w:tcW w:w="1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504.7</w:t>
            </w:r>
          </w:p>
        </w:tc>
        <w:tc>
          <w:tcPr>
            <w:tcW w:w="1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462.7</w:t>
            </w:r>
          </w:p>
        </w:tc>
        <w:tc>
          <w:tcPr>
            <w:tcW w:w="1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405.2</w:t>
            </w:r>
          </w:p>
        </w:tc>
      </w:tr>
      <w:tr>
        <w:trPr>
          <w:trHeight w:val="20"/>
        </w:trPr>
        <w:tc>
          <w:tcPr>
            <w:tcW w:w="43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r>
      <w:tr>
        <w:trPr>
          <w:trHeight w:val="250"/>
        </w:trPr>
        <w:tc>
          <w:tcPr>
            <w:tcW w:w="43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Estimated REIT taxable income per common share - basic</w:t>
            </w: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0.32</w:t>
            </w:r>
          </w:p>
        </w:tc>
        <w:tc>
          <w:tcPr>
            <w:tcW w:w="120" w:type="dxa"/>
            <w:vAlign w:val="bottom"/>
            <w:tcBorders>
              <w:bottom w:val="single" w:sz="8" w:color="CCEEFF"/>
            </w:tcBorders>
          </w:tcPr>
          <w:p>
            <w:pPr>
              <w:spacing w:after="0"/>
              <w:rPr>
                <w:sz w:val="21"/>
                <w:szCs w:val="21"/>
                <w:color w:val="auto"/>
              </w:rPr>
            </w:pPr>
          </w:p>
        </w:tc>
        <w:tc>
          <w:tcPr>
            <w:tcW w:w="28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w:t>
            </w:r>
          </w:p>
        </w:tc>
        <w:tc>
          <w:tcPr>
            <w:tcW w:w="6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0.37</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0.33</w:t>
            </w:r>
          </w:p>
        </w:tc>
        <w:tc>
          <w:tcPr>
            <w:tcW w:w="10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jc w:val="right"/>
              <w:ind w:right="49"/>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0.31</w:t>
            </w:r>
          </w:p>
        </w:tc>
        <w:tc>
          <w:tcPr>
            <w:tcW w:w="10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0.26</w:t>
            </w:r>
          </w:p>
        </w:tc>
      </w:tr>
      <w:tr>
        <w:trPr>
          <w:trHeight w:val="210"/>
        </w:trPr>
        <w:tc>
          <w:tcPr>
            <w:tcW w:w="4360" w:type="dxa"/>
            <w:vAlign w:val="bottom"/>
            <w:shd w:val="clear" w:color="auto" w:fill="CCEEFF"/>
          </w:tcPr>
          <w:p>
            <w:pPr>
              <w:ind w:left="20"/>
              <w:spacing w:after="0"/>
              <w:rPr>
                <w:sz w:val="20"/>
                <w:szCs w:val="20"/>
                <w:color w:val="auto"/>
              </w:rPr>
            </w:pPr>
            <w:r>
              <w:rPr>
                <w:rFonts w:ascii="Arial" w:cs="Arial" w:eastAsia="Arial" w:hAnsi="Arial"/>
                <w:sz w:val="14"/>
                <w:szCs w:val="14"/>
                <w:color w:val="auto"/>
              </w:rPr>
              <w:t>Estimated REIT taxable income per common share - diluted</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0.32</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0.36</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0.32</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0.31</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0.26</w:t>
            </w:r>
          </w:p>
        </w:tc>
      </w:tr>
      <w:tr>
        <w:trPr>
          <w:trHeight w:val="20"/>
        </w:trPr>
        <w:tc>
          <w:tcPr>
            <w:tcW w:w="43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r>
      <w:tr>
        <w:trPr>
          <w:trHeight w:val="372"/>
        </w:trPr>
        <w:tc>
          <w:tcPr>
            <w:tcW w:w="4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270"/>
        </w:trPr>
        <w:tc>
          <w:tcPr>
            <w:tcW w:w="4360" w:type="dxa"/>
            <w:vAlign w:val="bottom"/>
            <w:shd w:val="clear" w:color="auto" w:fill="CCEEFF"/>
          </w:tcPr>
          <w:p>
            <w:pPr>
              <w:ind w:left="20"/>
              <w:spacing w:after="0"/>
              <w:rPr>
                <w:sz w:val="20"/>
                <w:szCs w:val="20"/>
                <w:color w:val="auto"/>
              </w:rPr>
            </w:pPr>
            <w:r>
              <w:rPr>
                <w:rFonts w:ascii="Arial" w:cs="Arial" w:eastAsia="Arial" w:hAnsi="Arial"/>
                <w:sz w:val="14"/>
                <w:szCs w:val="14"/>
                <w:color w:val="auto"/>
              </w:rPr>
              <w:t>Beginning cumulative non-deductible net capital loss</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170</w:t>
            </w:r>
          </w:p>
        </w:tc>
        <w:tc>
          <w:tcPr>
            <w:tcW w:w="120" w:type="dxa"/>
            <w:vAlign w:val="bottom"/>
            <w:shd w:val="clear" w:color="auto" w:fill="CCEEFF"/>
          </w:tcPr>
          <w:p>
            <w:pPr>
              <w:spacing w:after="0"/>
              <w:rPr>
                <w:sz w:val="23"/>
                <w:szCs w:val="23"/>
                <w:color w:val="auto"/>
              </w:rPr>
            </w:pPr>
          </w:p>
        </w:tc>
        <w:tc>
          <w:tcPr>
            <w:tcW w:w="28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182</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644</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711</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602</w:t>
            </w:r>
          </w:p>
        </w:tc>
      </w:tr>
      <w:tr>
        <w:trPr>
          <w:trHeight w:val="264"/>
        </w:trPr>
        <w:tc>
          <w:tcPr>
            <w:tcW w:w="43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 xml:space="preserve">Increase (decrease) in net capital loss carryforward </w:t>
            </w:r>
            <w:r>
              <w:rPr>
                <w:rFonts w:ascii="Arial" w:cs="Arial" w:eastAsia="Arial" w:hAnsi="Arial"/>
                <w:sz w:val="8"/>
                <w:szCs w:val="8"/>
                <w:color w:val="auto"/>
              </w:rPr>
              <w:t>5</w:t>
            </w:r>
          </w:p>
        </w:tc>
        <w:tc>
          <w:tcPr>
            <w:tcW w:w="20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320</w:t>
            </w:r>
          </w:p>
        </w:tc>
        <w:tc>
          <w:tcPr>
            <w:tcW w:w="1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(462)</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(67)</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109</w:t>
            </w:r>
          </w:p>
        </w:tc>
      </w:tr>
      <w:tr>
        <w:trPr>
          <w:trHeight w:val="243"/>
        </w:trPr>
        <w:tc>
          <w:tcPr>
            <w:tcW w:w="4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Ending cumulative non-deductible net capital loss</w:t>
            </w: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490</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6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170</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182</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644</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711</w:t>
            </w:r>
          </w:p>
        </w:tc>
      </w:tr>
      <w:tr>
        <w:trPr>
          <w:trHeight w:val="20"/>
        </w:trPr>
        <w:tc>
          <w:tcPr>
            <w:tcW w:w="43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r>
      <w:tr>
        <w:trPr>
          <w:trHeight w:val="210"/>
        </w:trPr>
        <w:tc>
          <w:tcPr>
            <w:tcW w:w="4360" w:type="dxa"/>
            <w:vAlign w:val="bottom"/>
          </w:tcPr>
          <w:p>
            <w:pPr>
              <w:ind w:left="20"/>
              <w:spacing w:after="0"/>
              <w:rPr>
                <w:sz w:val="20"/>
                <w:szCs w:val="20"/>
                <w:color w:val="auto"/>
              </w:rPr>
            </w:pPr>
            <w:r>
              <w:rPr>
                <w:rFonts w:ascii="Arial" w:cs="Arial" w:eastAsia="Arial" w:hAnsi="Arial"/>
                <w:sz w:val="14"/>
                <w:szCs w:val="14"/>
                <w:color w:val="auto"/>
              </w:rPr>
              <w:t>Ending cumulative non-deductible net capital loss per common share</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9"/>
              <w:spacing w:after="0"/>
              <w:rPr>
                <w:sz w:val="20"/>
                <w:szCs w:val="20"/>
                <w:color w:val="auto"/>
              </w:rPr>
            </w:pPr>
            <w:r>
              <w:rPr>
                <w:rFonts w:ascii="Arial" w:cs="Arial" w:eastAsia="Arial" w:hAnsi="Arial"/>
                <w:sz w:val="14"/>
                <w:szCs w:val="14"/>
                <w:color w:val="auto"/>
              </w:rPr>
              <w:t>0.89</w:t>
            </w:r>
          </w:p>
        </w:tc>
        <w:tc>
          <w:tcPr>
            <w:tcW w:w="120" w:type="dxa"/>
            <w:vAlign w:val="bottom"/>
          </w:tcPr>
          <w:p>
            <w:pPr>
              <w:spacing w:after="0"/>
              <w:rPr>
                <w:sz w:val="18"/>
                <w:szCs w:val="18"/>
                <w:color w:val="auto"/>
              </w:rPr>
            </w:pPr>
          </w:p>
        </w:tc>
        <w:tc>
          <w:tcPr>
            <w:tcW w:w="280" w:type="dxa"/>
            <w:vAlign w:val="bottom"/>
          </w:tcPr>
          <w:p>
            <w:pPr>
              <w:ind w:left="20"/>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8"/>
              <w:spacing w:after="0"/>
              <w:rPr>
                <w:sz w:val="20"/>
                <w:szCs w:val="20"/>
                <w:color w:val="auto"/>
              </w:rPr>
            </w:pPr>
            <w:r>
              <w:rPr>
                <w:rFonts w:ascii="Arial" w:cs="Arial" w:eastAsia="Arial" w:hAnsi="Arial"/>
                <w:sz w:val="14"/>
                <w:szCs w:val="14"/>
                <w:color w:val="auto"/>
              </w:rPr>
              <w:t>0.32</w:t>
            </w:r>
          </w:p>
        </w:tc>
        <w:tc>
          <w:tcPr>
            <w:tcW w:w="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9"/>
              <w:spacing w:after="0"/>
              <w:rPr>
                <w:sz w:val="20"/>
                <w:szCs w:val="20"/>
                <w:color w:val="auto"/>
              </w:rPr>
            </w:pPr>
            <w:r>
              <w:rPr>
                <w:rFonts w:ascii="Arial" w:cs="Arial" w:eastAsia="Arial" w:hAnsi="Arial"/>
                <w:sz w:val="14"/>
                <w:szCs w:val="14"/>
                <w:color w:val="auto"/>
              </w:rPr>
              <w:t>0.34</w:t>
            </w:r>
          </w:p>
        </w:tc>
        <w:tc>
          <w:tcPr>
            <w:tcW w:w="100" w:type="dxa"/>
            <w:vAlign w:val="bottom"/>
          </w:tcPr>
          <w:p>
            <w:pPr>
              <w:spacing w:after="0"/>
              <w:rPr>
                <w:sz w:val="18"/>
                <w:szCs w:val="18"/>
                <w:color w:val="auto"/>
              </w:rPr>
            </w:pPr>
          </w:p>
        </w:tc>
        <w:tc>
          <w:tcPr>
            <w:tcW w:w="220" w:type="dxa"/>
            <w:vAlign w:val="bottom"/>
          </w:tcPr>
          <w:p>
            <w:pPr>
              <w:jc w:val="right"/>
              <w:ind w:right="49"/>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8"/>
              <w:spacing w:after="0"/>
              <w:rPr>
                <w:sz w:val="20"/>
                <w:szCs w:val="20"/>
                <w:color w:val="auto"/>
              </w:rPr>
            </w:pPr>
            <w:r>
              <w:rPr>
                <w:rFonts w:ascii="Arial" w:cs="Arial" w:eastAsia="Arial" w:hAnsi="Arial"/>
                <w:sz w:val="14"/>
                <w:szCs w:val="14"/>
                <w:color w:val="auto"/>
              </w:rPr>
              <w:t>1.35</w:t>
            </w:r>
          </w:p>
        </w:tc>
        <w:tc>
          <w:tcPr>
            <w:tcW w:w="100" w:type="dxa"/>
            <w:vAlign w:val="bottom"/>
          </w:tcPr>
          <w:p>
            <w:pPr>
              <w:spacing w:after="0"/>
              <w:rPr>
                <w:sz w:val="18"/>
                <w:szCs w:val="18"/>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9"/>
              <w:spacing w:after="0"/>
              <w:rPr>
                <w:sz w:val="20"/>
                <w:szCs w:val="20"/>
                <w:color w:val="auto"/>
              </w:rPr>
            </w:pPr>
            <w:r>
              <w:rPr>
                <w:rFonts w:ascii="Arial" w:cs="Arial" w:eastAsia="Arial" w:hAnsi="Arial"/>
                <w:sz w:val="14"/>
                <w:szCs w:val="14"/>
                <w:color w:val="auto"/>
              </w:rPr>
              <w:t>1.64</w:t>
            </w:r>
          </w:p>
        </w:tc>
      </w:tr>
      <w:tr>
        <w:trPr>
          <w:trHeight w:val="20"/>
        </w:trPr>
        <w:tc>
          <w:tcPr>
            <w:tcW w:w="43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r>
    </w:tbl>
    <w:p>
      <w:pPr>
        <w:sectPr>
          <w:pgSz w:w="11900" w:h="16838" w:orient="portrait"/>
          <w:cols w:equalWidth="0" w:num="1">
            <w:col w:w="10219"/>
          </w:cols>
          <w:pgMar w:left="240" w:top="147" w:right="1440" w:bottom="1440" w:gutter="0" w:footer="0" w:header="0"/>
        </w:sectPr>
      </w:pPr>
    </w:p>
    <w:bookmarkStart w:id="13" w:name="page14"/>
    <w:bookmarkEnd w:id="13"/>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24,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11</w:t>
      </w:r>
    </w:p>
    <w:p>
      <w:pPr>
        <w:spacing w:after="0" w:line="383" w:lineRule="exact"/>
        <w:rPr>
          <w:sz w:val="20"/>
          <w:szCs w:val="20"/>
          <w:color w:val="auto"/>
        </w:rPr>
      </w:pPr>
    </w:p>
    <w:p>
      <w:pPr>
        <w:jc w:val="center"/>
        <w:ind w:right="299"/>
        <w:spacing w:after="0"/>
        <w:rPr>
          <w:sz w:val="20"/>
          <w:szCs w:val="20"/>
          <w:color w:val="auto"/>
        </w:rPr>
      </w:pPr>
      <w:r>
        <w:rPr>
          <w:rFonts w:ascii="Arial" w:cs="Arial" w:eastAsia="Arial" w:hAnsi="Arial"/>
          <w:sz w:val="14"/>
          <w:szCs w:val="14"/>
          <w:color w:val="auto"/>
        </w:rPr>
        <w:t>AGNC INVESTMENT CORP.</w:t>
      </w:r>
    </w:p>
    <w:p>
      <w:pPr>
        <w:spacing w:after="0" w:line="42" w:lineRule="exact"/>
        <w:rPr>
          <w:sz w:val="20"/>
          <w:szCs w:val="20"/>
          <w:color w:val="auto"/>
        </w:rPr>
      </w:pPr>
    </w:p>
    <w:p>
      <w:pPr>
        <w:jc w:val="center"/>
        <w:ind w:right="299"/>
        <w:spacing w:after="0"/>
        <w:rPr>
          <w:sz w:val="20"/>
          <w:szCs w:val="20"/>
          <w:color w:val="auto"/>
        </w:rPr>
      </w:pPr>
      <w:r>
        <w:rPr>
          <w:rFonts w:ascii="Arial" w:cs="Arial" w:eastAsia="Arial" w:hAnsi="Arial"/>
          <w:sz w:val="14"/>
          <w:szCs w:val="14"/>
          <w:color w:val="auto"/>
        </w:rPr>
        <w:t xml:space="preserve">NET INTEREST SPREAD COMPONENTS BY FUNDING SOURCE </w:t>
      </w:r>
      <w:r>
        <w:rPr>
          <w:rFonts w:ascii="Arial" w:cs="Arial" w:eastAsia="Arial" w:hAnsi="Arial"/>
          <w:sz w:val="8"/>
          <w:szCs w:val="8"/>
          <w:color w:val="auto"/>
        </w:rPr>
        <w:t>2</w:t>
      </w:r>
    </w:p>
    <w:p>
      <w:pPr>
        <w:spacing w:after="0" w:line="42" w:lineRule="exact"/>
        <w:rPr>
          <w:sz w:val="20"/>
          <w:szCs w:val="20"/>
          <w:color w:val="auto"/>
        </w:rPr>
      </w:pPr>
    </w:p>
    <w:p>
      <w:pPr>
        <w:jc w:val="center"/>
        <w:ind w:right="299"/>
        <w:spacing w:after="0"/>
        <w:rPr>
          <w:sz w:val="20"/>
          <w:szCs w:val="20"/>
          <w:color w:val="auto"/>
        </w:rPr>
      </w:pPr>
      <w:r>
        <w:rPr>
          <w:rFonts w:ascii="Arial" w:cs="Arial" w:eastAsia="Arial" w:hAnsi="Arial"/>
          <w:sz w:val="14"/>
          <w:szCs w:val="14"/>
          <w:color w:val="auto"/>
        </w:rPr>
        <w:t>(in millions, except per share data)</w:t>
      </w:r>
    </w:p>
    <w:p>
      <w:pPr>
        <w:spacing w:after="0" w:line="42" w:lineRule="exact"/>
        <w:rPr>
          <w:sz w:val="20"/>
          <w:szCs w:val="20"/>
          <w:color w:val="auto"/>
        </w:rPr>
      </w:pPr>
    </w:p>
    <w:p>
      <w:pPr>
        <w:jc w:val="center"/>
        <w:ind w:right="299"/>
        <w:spacing w:after="0"/>
        <w:rPr>
          <w:sz w:val="20"/>
          <w:szCs w:val="20"/>
          <w:color w:val="auto"/>
        </w:rPr>
      </w:pPr>
      <w:r>
        <w:rPr>
          <w:rFonts w:ascii="Arial" w:cs="Arial" w:eastAsia="Arial" w:hAnsi="Arial"/>
          <w:sz w:val="14"/>
          <w:szCs w:val="14"/>
          <w:color w:val="auto"/>
        </w:rPr>
        <w:t>(unaudited)</w:t>
      </w:r>
    </w:p>
    <w:p>
      <w:pPr>
        <w:spacing w:after="0" w:line="249" w:lineRule="exact"/>
        <w:rPr>
          <w:sz w:val="20"/>
          <w:szCs w:val="20"/>
          <w:color w:val="auto"/>
        </w:rPr>
      </w:pPr>
    </w:p>
    <w:tbl>
      <w:tblPr>
        <w:tblLayout w:type="fixed"/>
        <w:tblInd w:w="340" w:type="dxa"/>
        <w:tblCellMar>
          <w:top w:w="0" w:type="dxa"/>
          <w:left w:w="0" w:type="dxa"/>
          <w:bottom w:w="0" w:type="dxa"/>
          <w:right w:w="0" w:type="dxa"/>
        </w:tblCellMar>
      </w:tblPr>
      <w:tr>
        <w:trPr>
          <w:trHeight w:val="170"/>
        </w:trPr>
        <w:tc>
          <w:tcPr>
            <w:tcW w:w="41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gridSpan w:val="4"/>
          </w:tcPr>
          <w:p>
            <w:pPr>
              <w:jc w:val="center"/>
              <w:spacing w:after="0"/>
              <w:rPr>
                <w:sz w:val="20"/>
                <w:szCs w:val="20"/>
                <w:color w:val="auto"/>
              </w:rPr>
            </w:pPr>
            <w:r>
              <w:rPr>
                <w:rFonts w:ascii="Arial" w:cs="Arial" w:eastAsia="Arial" w:hAnsi="Arial"/>
                <w:sz w:val="13"/>
                <w:szCs w:val="13"/>
                <w:color w:val="auto"/>
                <w:w w:val="87"/>
              </w:rPr>
              <w:t>Three Months Ended</w:t>
            </w: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4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tcPr>
          <w:p>
            <w:pPr>
              <w:jc w:val="center"/>
              <w:ind w:right="220"/>
              <w:spacing w:after="0" w:line="148" w:lineRule="exact"/>
              <w:rPr>
                <w:sz w:val="20"/>
                <w:szCs w:val="20"/>
                <w:color w:val="auto"/>
              </w:rPr>
            </w:pPr>
            <w:r>
              <w:rPr>
                <w:rFonts w:ascii="Arial" w:cs="Arial" w:eastAsia="Arial" w:hAnsi="Arial"/>
                <w:sz w:val="13"/>
                <w:szCs w:val="13"/>
                <w:color w:val="auto"/>
                <w:w w:val="88"/>
              </w:rPr>
              <w:t>December 31,</w:t>
            </w:r>
          </w:p>
        </w:tc>
        <w:tc>
          <w:tcPr>
            <w:tcW w:w="100" w:type="dxa"/>
            <w:vAlign w:val="bottom"/>
          </w:tcPr>
          <w:p>
            <w:pPr>
              <w:spacing w:after="0"/>
              <w:rPr>
                <w:sz w:val="12"/>
                <w:szCs w:val="12"/>
                <w:color w:val="auto"/>
              </w:rPr>
            </w:pPr>
          </w:p>
        </w:tc>
        <w:tc>
          <w:tcPr>
            <w:tcW w:w="960" w:type="dxa"/>
            <w:vAlign w:val="bottom"/>
            <w:gridSpan w:val="2"/>
          </w:tcPr>
          <w:p>
            <w:pPr>
              <w:spacing w:after="0" w:line="148" w:lineRule="exact"/>
              <w:rPr>
                <w:sz w:val="20"/>
                <w:szCs w:val="20"/>
                <w:color w:val="auto"/>
              </w:rPr>
            </w:pPr>
            <w:r>
              <w:rPr>
                <w:rFonts w:ascii="Arial" w:cs="Arial" w:eastAsia="Arial" w:hAnsi="Arial"/>
                <w:sz w:val="13"/>
                <w:szCs w:val="13"/>
                <w:color w:val="auto"/>
              </w:rPr>
              <w:t>September 30,</w:t>
            </w:r>
          </w:p>
        </w:tc>
        <w:tc>
          <w:tcPr>
            <w:tcW w:w="1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0"/>
        </w:trPr>
        <w:tc>
          <w:tcPr>
            <w:tcW w:w="4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20" w:type="dxa"/>
            <w:vAlign w:val="bottom"/>
            <w:gridSpan w:val="2"/>
          </w:tcPr>
          <w:p>
            <w:pPr>
              <w:ind w:left="60"/>
              <w:spacing w:after="0"/>
              <w:rPr>
                <w:sz w:val="20"/>
                <w:szCs w:val="20"/>
                <w:color w:val="auto"/>
              </w:rPr>
            </w:pPr>
            <w:r>
              <w:rPr>
                <w:rFonts w:ascii="Arial" w:cs="Arial" w:eastAsia="Arial" w:hAnsi="Arial"/>
                <w:sz w:val="13"/>
                <w:szCs w:val="13"/>
                <w:color w:val="auto"/>
              </w:rPr>
              <w:t>June 30, 2019</w:t>
            </w:r>
          </w:p>
        </w:tc>
        <w:tc>
          <w:tcPr>
            <w:tcW w:w="940" w:type="dxa"/>
            <w:vAlign w:val="bottom"/>
            <w:gridSpan w:val="2"/>
          </w:tcPr>
          <w:p>
            <w:pPr>
              <w:jc w:val="right"/>
              <w:ind w:right="8"/>
              <w:spacing w:after="0"/>
              <w:rPr>
                <w:sz w:val="20"/>
                <w:szCs w:val="20"/>
                <w:color w:val="auto"/>
              </w:rPr>
            </w:pPr>
            <w:r>
              <w:rPr>
                <w:rFonts w:ascii="Arial" w:cs="Arial" w:eastAsia="Arial" w:hAnsi="Arial"/>
                <w:sz w:val="13"/>
                <w:szCs w:val="13"/>
                <w:color w:val="auto"/>
                <w:w w:val="92"/>
              </w:rPr>
              <w:t>March 31, 2019</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tcPr>
          <w:p>
            <w:pPr>
              <w:jc w:val="center"/>
              <w:ind w:right="29"/>
              <w:spacing w:after="0"/>
              <w:rPr>
                <w:sz w:val="20"/>
                <w:szCs w:val="20"/>
                <w:color w:val="auto"/>
              </w:rPr>
            </w:pPr>
            <w:r>
              <w:rPr>
                <w:rFonts w:ascii="Arial" w:cs="Arial" w:eastAsia="Arial" w:hAnsi="Arial"/>
                <w:sz w:val="13"/>
                <w:szCs w:val="13"/>
                <w:color w:val="auto"/>
                <w:w w:val="82"/>
              </w:rPr>
              <w:t>2018</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ind w:right="269"/>
              <w:spacing w:after="0"/>
              <w:rPr>
                <w:sz w:val="20"/>
                <w:szCs w:val="20"/>
                <w:color w:val="auto"/>
              </w:rPr>
            </w:pPr>
            <w:r>
              <w:rPr>
                <w:rFonts w:ascii="Arial" w:cs="Arial" w:eastAsia="Arial" w:hAnsi="Arial"/>
                <w:sz w:val="13"/>
                <w:szCs w:val="13"/>
                <w:color w:val="auto"/>
              </w:rPr>
              <w:t>2018</w:t>
            </w: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w w:val="89"/>
              </w:rPr>
              <w:t>June 30, 2018</w:t>
            </w:r>
          </w:p>
        </w:tc>
        <w:tc>
          <w:tcPr>
            <w:tcW w:w="0" w:type="dxa"/>
            <w:vAlign w:val="bottom"/>
          </w:tcPr>
          <w:p>
            <w:pPr>
              <w:spacing w:after="0"/>
              <w:rPr>
                <w:sz w:val="1"/>
                <w:szCs w:val="1"/>
                <w:color w:val="auto"/>
              </w:rPr>
            </w:pPr>
          </w:p>
        </w:tc>
      </w:tr>
      <w:tr>
        <w:trPr>
          <w:trHeight w:val="139"/>
        </w:trPr>
        <w:tc>
          <w:tcPr>
            <w:tcW w:w="4100" w:type="dxa"/>
            <w:vAlign w:val="bottom"/>
          </w:tcPr>
          <w:p>
            <w:pPr>
              <w:ind w:left="20"/>
              <w:spacing w:after="0" w:line="139" w:lineRule="exact"/>
              <w:rPr>
                <w:sz w:val="20"/>
                <w:szCs w:val="20"/>
                <w:color w:val="auto"/>
              </w:rPr>
            </w:pPr>
            <w:r>
              <w:rPr>
                <w:rFonts w:ascii="Arial" w:cs="Arial" w:eastAsia="Arial" w:hAnsi="Arial"/>
                <w:sz w:val="14"/>
                <w:szCs w:val="14"/>
                <w:b w:val="1"/>
                <w:bCs w:val="1"/>
                <w:color w:val="auto"/>
                <w:w w:val="98"/>
              </w:rPr>
              <w:t>Adjusted net interest and dollar roll income, excluding "catch-</w:t>
            </w:r>
          </w:p>
        </w:tc>
        <w:tc>
          <w:tcPr>
            <w:tcW w:w="14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4100" w:type="dxa"/>
            <w:vAlign w:val="bottom"/>
          </w:tcPr>
          <w:p>
            <w:pPr>
              <w:ind w:left="20"/>
              <w:spacing w:after="0"/>
              <w:rPr>
                <w:sz w:val="20"/>
                <w:szCs w:val="20"/>
                <w:color w:val="auto"/>
              </w:rPr>
            </w:pPr>
            <w:r>
              <w:rPr>
                <w:rFonts w:ascii="Arial" w:cs="Arial" w:eastAsia="Arial" w:hAnsi="Arial"/>
                <w:sz w:val="14"/>
                <w:szCs w:val="14"/>
                <w:b w:val="1"/>
                <w:bCs w:val="1"/>
                <w:color w:val="auto"/>
              </w:rPr>
              <w:t>up" premium amortization:</w:t>
            </w:r>
          </w:p>
        </w:tc>
        <w:tc>
          <w:tcPr>
            <w:tcW w:w="1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6"/>
        </w:trPr>
        <w:tc>
          <w:tcPr>
            <w:tcW w:w="4100" w:type="dxa"/>
            <w:vAlign w:val="bottom"/>
            <w:shd w:val="clear" w:color="auto" w:fill="CCEEFF"/>
          </w:tcPr>
          <w:p>
            <w:pPr>
              <w:ind w:left="160"/>
              <w:spacing w:after="0"/>
              <w:rPr>
                <w:sz w:val="20"/>
                <w:szCs w:val="20"/>
                <w:color w:val="auto"/>
              </w:rPr>
            </w:pPr>
            <w:r>
              <w:rPr>
                <w:rFonts w:ascii="Arial" w:cs="Arial" w:eastAsia="Arial" w:hAnsi="Arial"/>
                <w:sz w:val="14"/>
                <w:szCs w:val="14"/>
                <w:color w:val="auto"/>
              </w:rPr>
              <w:t>Economic interest income:</w:t>
            </w:r>
          </w:p>
        </w:tc>
        <w:tc>
          <w:tcPr>
            <w:tcW w:w="1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100" w:type="dxa"/>
            <w:vAlign w:val="bottom"/>
          </w:tcPr>
          <w:p>
            <w:pPr>
              <w:ind w:left="260"/>
              <w:spacing w:after="0"/>
              <w:rPr>
                <w:sz w:val="20"/>
                <w:szCs w:val="20"/>
                <w:color w:val="auto"/>
              </w:rPr>
            </w:pPr>
            <w:r>
              <w:rPr>
                <w:rFonts w:ascii="Arial" w:cs="Arial" w:eastAsia="Arial" w:hAnsi="Arial"/>
                <w:sz w:val="14"/>
                <w:szCs w:val="14"/>
                <w:color w:val="auto"/>
              </w:rPr>
              <w:t xml:space="preserve">Investment securities - GAAP interest income </w:t>
            </w:r>
            <w:r>
              <w:rPr>
                <w:rFonts w:ascii="Arial" w:cs="Arial" w:eastAsia="Arial" w:hAnsi="Arial"/>
                <w:sz w:val="8"/>
                <w:szCs w:val="8"/>
                <w:color w:val="auto"/>
              </w:rPr>
              <w:t>12</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128"/>
              <w:spacing w:after="0"/>
              <w:rPr>
                <w:sz w:val="20"/>
                <w:szCs w:val="20"/>
                <w:color w:val="auto"/>
              </w:rPr>
            </w:pPr>
            <w:r>
              <w:rPr>
                <w:rFonts w:ascii="Arial" w:cs="Arial" w:eastAsia="Arial" w:hAnsi="Arial"/>
                <w:sz w:val="14"/>
                <w:szCs w:val="14"/>
                <w:color w:val="auto"/>
              </w:rPr>
              <w:t>693</w:t>
            </w:r>
          </w:p>
        </w:tc>
        <w:tc>
          <w:tcPr>
            <w:tcW w:w="120" w:type="dxa"/>
            <w:vAlign w:val="bottom"/>
          </w:tcPr>
          <w:p>
            <w:pPr>
              <w:spacing w:after="0"/>
              <w:rPr>
                <w:sz w:val="22"/>
                <w:szCs w:val="22"/>
                <w:color w:val="auto"/>
              </w:rPr>
            </w:pPr>
          </w:p>
        </w:tc>
        <w:tc>
          <w:tcPr>
            <w:tcW w:w="260" w:type="dxa"/>
            <w:vAlign w:val="bottom"/>
          </w:tcPr>
          <w:p>
            <w:pPr>
              <w:jc w:val="right"/>
              <w:ind w:right="91"/>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128"/>
              <w:spacing w:after="0"/>
              <w:rPr>
                <w:sz w:val="20"/>
                <w:szCs w:val="20"/>
                <w:color w:val="auto"/>
              </w:rPr>
            </w:pPr>
            <w:r>
              <w:rPr>
                <w:rFonts w:ascii="Arial" w:cs="Arial" w:eastAsia="Arial" w:hAnsi="Arial"/>
                <w:sz w:val="14"/>
                <w:szCs w:val="14"/>
                <w:color w:val="auto"/>
              </w:rPr>
              <w:t>705</w:t>
            </w:r>
          </w:p>
        </w:tc>
        <w:tc>
          <w:tcPr>
            <w:tcW w:w="2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129"/>
              <w:spacing w:after="0"/>
              <w:rPr>
                <w:sz w:val="20"/>
                <w:szCs w:val="20"/>
                <w:color w:val="auto"/>
              </w:rPr>
            </w:pPr>
            <w:r>
              <w:rPr>
                <w:rFonts w:ascii="Arial" w:cs="Arial" w:eastAsia="Arial" w:hAnsi="Arial"/>
                <w:sz w:val="14"/>
                <w:szCs w:val="14"/>
                <w:color w:val="auto"/>
              </w:rPr>
              <w:t>604</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129"/>
              <w:spacing w:after="0"/>
              <w:rPr>
                <w:sz w:val="20"/>
                <w:szCs w:val="20"/>
                <w:color w:val="auto"/>
              </w:rPr>
            </w:pPr>
            <w:r>
              <w:rPr>
                <w:rFonts w:ascii="Arial" w:cs="Arial" w:eastAsia="Arial" w:hAnsi="Arial"/>
                <w:sz w:val="14"/>
                <w:szCs w:val="14"/>
                <w:color w:val="auto"/>
              </w:rPr>
              <w:t>500</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128"/>
              <w:spacing w:after="0"/>
              <w:rPr>
                <w:sz w:val="20"/>
                <w:szCs w:val="20"/>
                <w:color w:val="auto"/>
              </w:rPr>
            </w:pPr>
            <w:r>
              <w:rPr>
                <w:rFonts w:ascii="Arial" w:cs="Arial" w:eastAsia="Arial" w:hAnsi="Arial"/>
                <w:sz w:val="14"/>
                <w:szCs w:val="14"/>
                <w:color w:val="auto"/>
              </w:rPr>
              <w:t>414</w:t>
            </w:r>
          </w:p>
        </w:tc>
        <w:tc>
          <w:tcPr>
            <w:tcW w:w="0" w:type="dxa"/>
            <w:vAlign w:val="bottom"/>
          </w:tcPr>
          <w:p>
            <w:pPr>
              <w:spacing w:after="0"/>
              <w:rPr>
                <w:sz w:val="1"/>
                <w:szCs w:val="1"/>
                <w:color w:val="auto"/>
              </w:rPr>
            </w:pPr>
          </w:p>
        </w:tc>
      </w:tr>
      <w:tr>
        <w:trPr>
          <w:trHeight w:val="163"/>
        </w:trPr>
        <w:tc>
          <w:tcPr>
            <w:tcW w:w="4100" w:type="dxa"/>
            <w:vAlign w:val="bottom"/>
            <w:shd w:val="clear" w:color="auto" w:fill="CCEEFF"/>
          </w:tcPr>
          <w:p>
            <w:pPr>
              <w:ind w:left="260"/>
              <w:spacing w:after="0"/>
              <w:rPr>
                <w:sz w:val="20"/>
                <w:szCs w:val="20"/>
                <w:color w:val="auto"/>
              </w:rPr>
            </w:pPr>
            <w:r>
              <w:rPr>
                <w:rFonts w:ascii="Arial" w:cs="Arial" w:eastAsia="Arial" w:hAnsi="Arial"/>
                <w:sz w:val="14"/>
                <w:szCs w:val="14"/>
                <w:color w:val="auto"/>
                <w:w w:val="96"/>
              </w:rPr>
              <w:t>Estimated "catch-up" premium amortization cost (benefit) due to</w:t>
            </w:r>
          </w:p>
        </w:tc>
        <w:tc>
          <w:tcPr>
            <w:tcW w:w="14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4100" w:type="dxa"/>
            <w:vAlign w:val="bottom"/>
            <w:shd w:val="clear" w:color="auto" w:fill="CCEEFF"/>
          </w:tcPr>
          <w:p>
            <w:pPr>
              <w:ind w:left="260"/>
              <w:spacing w:after="0"/>
              <w:rPr>
                <w:sz w:val="20"/>
                <w:szCs w:val="20"/>
                <w:color w:val="auto"/>
              </w:rPr>
            </w:pPr>
            <w:r>
              <w:rPr>
                <w:rFonts w:ascii="Arial" w:cs="Arial" w:eastAsia="Arial" w:hAnsi="Arial"/>
                <w:sz w:val="14"/>
                <w:szCs w:val="14"/>
                <w:color w:val="auto"/>
              </w:rPr>
              <w:t xml:space="preserve">change in CPR forecast </w:t>
            </w:r>
            <w:r>
              <w:rPr>
                <w:rFonts w:ascii="Arial" w:cs="Arial" w:eastAsia="Arial" w:hAnsi="Arial"/>
                <w:sz w:val="8"/>
                <w:szCs w:val="8"/>
                <w:color w:val="auto"/>
              </w:rPr>
              <w:t>11</w:t>
            </w:r>
          </w:p>
        </w:tc>
        <w:tc>
          <w:tcPr>
            <w:tcW w:w="140" w:type="dxa"/>
            <w:vAlign w:val="bottom"/>
            <w:shd w:val="clear" w:color="auto" w:fill="CCEEFF"/>
          </w:tcPr>
          <w:p>
            <w:pPr>
              <w:spacing w:after="0"/>
              <w:rPr>
                <w:sz w:val="16"/>
                <w:szCs w:val="16"/>
                <w:color w:val="auto"/>
              </w:rPr>
            </w:pPr>
          </w:p>
        </w:tc>
        <w:tc>
          <w:tcPr>
            <w:tcW w:w="8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58</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6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39</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20" w:type="dxa"/>
            <w:vAlign w:val="bottom"/>
            <w:shd w:val="clear" w:color="auto" w:fill="CCEEFF"/>
          </w:tcPr>
          <w:p>
            <w:pPr>
              <w:jc w:val="right"/>
              <w:ind w:right="129"/>
              <w:spacing w:after="0"/>
              <w:rPr>
                <w:sz w:val="20"/>
                <w:szCs w:val="20"/>
                <w:color w:val="auto"/>
              </w:rPr>
            </w:pPr>
            <w:r>
              <w:rPr>
                <w:rFonts w:ascii="Arial" w:cs="Arial" w:eastAsia="Arial" w:hAnsi="Arial"/>
                <w:sz w:val="14"/>
                <w:szCs w:val="14"/>
                <w:color w:val="auto"/>
              </w:rPr>
              <w:t>16</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(6)</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264"/>
        </w:trPr>
        <w:tc>
          <w:tcPr>
            <w:tcW w:w="4100" w:type="dxa"/>
            <w:vAlign w:val="bottom"/>
            <w:tcBorders>
              <w:bottom w:val="single" w:sz="8" w:color="CCEEFF"/>
            </w:tcBorders>
          </w:tcPr>
          <w:p>
            <w:pPr>
              <w:ind w:left="260"/>
              <w:spacing w:after="0"/>
              <w:rPr>
                <w:sz w:val="20"/>
                <w:szCs w:val="20"/>
                <w:color w:val="auto"/>
              </w:rPr>
            </w:pPr>
            <w:r>
              <w:rPr>
                <w:rFonts w:ascii="Arial" w:cs="Arial" w:eastAsia="Arial" w:hAnsi="Arial"/>
                <w:sz w:val="14"/>
                <w:szCs w:val="14"/>
                <w:color w:val="auto"/>
              </w:rPr>
              <w:t xml:space="preserve">TBA dollar roll income - implied interest income </w:t>
            </w:r>
            <w:r>
              <w:rPr>
                <w:rFonts w:ascii="Arial" w:cs="Arial" w:eastAsia="Arial" w:hAnsi="Arial"/>
                <w:sz w:val="8"/>
                <w:szCs w:val="8"/>
                <w:color w:val="auto"/>
              </w:rPr>
              <w:t>3,7</w:t>
            </w:r>
          </w:p>
        </w:tc>
        <w:tc>
          <w:tcPr>
            <w:tcW w:w="1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96</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71</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129"/>
              <w:spacing w:after="0"/>
              <w:rPr>
                <w:sz w:val="20"/>
                <w:szCs w:val="20"/>
                <w:color w:val="auto"/>
              </w:rPr>
            </w:pPr>
            <w:r>
              <w:rPr>
                <w:rFonts w:ascii="Arial" w:cs="Arial" w:eastAsia="Arial" w:hAnsi="Arial"/>
                <w:sz w:val="14"/>
                <w:szCs w:val="14"/>
                <w:color w:val="auto"/>
              </w:rPr>
              <w:t>74</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129"/>
              <w:spacing w:after="0"/>
              <w:rPr>
                <w:sz w:val="20"/>
                <w:szCs w:val="20"/>
                <w:color w:val="auto"/>
              </w:rPr>
            </w:pPr>
            <w:r>
              <w:rPr>
                <w:rFonts w:ascii="Arial" w:cs="Arial" w:eastAsia="Arial" w:hAnsi="Arial"/>
                <w:sz w:val="14"/>
                <w:szCs w:val="14"/>
                <w:color w:val="auto"/>
              </w:rPr>
              <w:t>162</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144</w:t>
            </w:r>
          </w:p>
        </w:tc>
        <w:tc>
          <w:tcPr>
            <w:tcW w:w="0" w:type="dxa"/>
            <w:vAlign w:val="bottom"/>
          </w:tcPr>
          <w:p>
            <w:pPr>
              <w:spacing w:after="0"/>
              <w:rPr>
                <w:sz w:val="1"/>
                <w:szCs w:val="1"/>
                <w:color w:val="auto"/>
              </w:rPr>
            </w:pPr>
          </w:p>
        </w:tc>
      </w:tr>
      <w:tr>
        <w:trPr>
          <w:trHeight w:val="143"/>
        </w:trPr>
        <w:tc>
          <w:tcPr>
            <w:tcW w:w="4100" w:type="dxa"/>
            <w:vAlign w:val="bottom"/>
            <w:shd w:val="clear" w:color="auto" w:fill="CCEEFF"/>
          </w:tcPr>
          <w:p>
            <w:pPr>
              <w:ind w:left="160"/>
              <w:spacing w:after="0" w:line="143" w:lineRule="exact"/>
              <w:rPr>
                <w:sz w:val="20"/>
                <w:szCs w:val="20"/>
                <w:color w:val="auto"/>
              </w:rPr>
            </w:pPr>
            <w:r>
              <w:rPr>
                <w:rFonts w:ascii="Arial" w:cs="Arial" w:eastAsia="Arial" w:hAnsi="Arial"/>
                <w:sz w:val="14"/>
                <w:szCs w:val="14"/>
                <w:color w:val="auto"/>
              </w:rPr>
              <w:t>Economic interest income, excluding "catch-up" premium</w:t>
            </w:r>
          </w:p>
        </w:tc>
        <w:tc>
          <w:tcPr>
            <w:tcW w:w="14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94"/>
        </w:trPr>
        <w:tc>
          <w:tcPr>
            <w:tcW w:w="4100" w:type="dxa"/>
            <w:vAlign w:val="bottom"/>
            <w:shd w:val="clear" w:color="auto" w:fill="CCEEFF"/>
          </w:tcPr>
          <w:p>
            <w:pPr>
              <w:ind w:left="160"/>
              <w:spacing w:after="0"/>
              <w:rPr>
                <w:sz w:val="20"/>
                <w:szCs w:val="20"/>
                <w:color w:val="auto"/>
              </w:rPr>
            </w:pPr>
            <w:r>
              <w:rPr>
                <w:rFonts w:ascii="Arial" w:cs="Arial" w:eastAsia="Arial" w:hAnsi="Arial"/>
                <w:sz w:val="14"/>
                <w:szCs w:val="14"/>
                <w:color w:val="auto"/>
              </w:rPr>
              <w:t>amortization</w:t>
            </w:r>
          </w:p>
        </w:tc>
        <w:tc>
          <w:tcPr>
            <w:tcW w:w="140" w:type="dxa"/>
            <w:vAlign w:val="bottom"/>
            <w:tcBorders>
              <w:bottom w:val="single" w:sz="8" w:color="auto"/>
            </w:tcBorders>
            <w:shd w:val="clear" w:color="auto" w:fill="CCEEFF"/>
          </w:tcPr>
          <w:p>
            <w:pPr>
              <w:spacing w:after="0"/>
              <w:rPr>
                <w:sz w:val="16"/>
                <w:szCs w:val="16"/>
                <w:color w:val="auto"/>
              </w:rPr>
            </w:pPr>
          </w:p>
        </w:tc>
        <w:tc>
          <w:tcPr>
            <w:tcW w:w="8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847</w:t>
            </w:r>
          </w:p>
        </w:tc>
        <w:tc>
          <w:tcPr>
            <w:tcW w:w="120" w:type="dxa"/>
            <w:vAlign w:val="bottom"/>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815</w:t>
            </w:r>
          </w:p>
        </w:tc>
        <w:tc>
          <w:tcPr>
            <w:tcW w:w="100" w:type="dxa"/>
            <w:vAlign w:val="bottom"/>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820" w:type="dxa"/>
            <w:vAlign w:val="bottom"/>
            <w:tcBorders>
              <w:bottom w:val="single" w:sz="8" w:color="auto"/>
            </w:tcBorders>
            <w:shd w:val="clear" w:color="auto" w:fill="CCEEFF"/>
          </w:tcPr>
          <w:p>
            <w:pPr>
              <w:jc w:val="right"/>
              <w:ind w:right="129"/>
              <w:spacing w:after="0"/>
              <w:rPr>
                <w:sz w:val="20"/>
                <w:szCs w:val="20"/>
                <w:color w:val="auto"/>
              </w:rPr>
            </w:pPr>
            <w:r>
              <w:rPr>
                <w:rFonts w:ascii="Arial" w:cs="Arial" w:eastAsia="Arial" w:hAnsi="Arial"/>
                <w:sz w:val="14"/>
                <w:szCs w:val="14"/>
                <w:color w:val="auto"/>
              </w:rPr>
              <w:t>694</w:t>
            </w:r>
          </w:p>
        </w:tc>
        <w:tc>
          <w:tcPr>
            <w:tcW w:w="12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840" w:type="dxa"/>
            <w:vAlign w:val="bottom"/>
            <w:tcBorders>
              <w:bottom w:val="single" w:sz="8" w:color="auto"/>
            </w:tcBorders>
            <w:shd w:val="clear" w:color="auto" w:fill="CCEEFF"/>
          </w:tcPr>
          <w:p>
            <w:pPr>
              <w:jc w:val="right"/>
              <w:ind w:right="129"/>
              <w:spacing w:after="0"/>
              <w:rPr>
                <w:sz w:val="20"/>
                <w:szCs w:val="20"/>
                <w:color w:val="auto"/>
              </w:rPr>
            </w:pPr>
            <w:r>
              <w:rPr>
                <w:rFonts w:ascii="Arial" w:cs="Arial" w:eastAsia="Arial" w:hAnsi="Arial"/>
                <w:sz w:val="14"/>
                <w:szCs w:val="14"/>
                <w:color w:val="auto"/>
              </w:rPr>
              <w:t>656</w:t>
            </w:r>
          </w:p>
        </w:tc>
        <w:tc>
          <w:tcPr>
            <w:tcW w:w="12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8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546</w:t>
            </w:r>
          </w:p>
        </w:tc>
        <w:tc>
          <w:tcPr>
            <w:tcW w:w="0" w:type="dxa"/>
            <w:vAlign w:val="bottom"/>
          </w:tcPr>
          <w:p>
            <w:pPr>
              <w:spacing w:after="0"/>
              <w:rPr>
                <w:sz w:val="1"/>
                <w:szCs w:val="1"/>
                <w:color w:val="auto"/>
              </w:rPr>
            </w:pPr>
          </w:p>
        </w:tc>
      </w:tr>
      <w:tr>
        <w:trPr>
          <w:trHeight w:val="258"/>
        </w:trPr>
        <w:tc>
          <w:tcPr>
            <w:tcW w:w="4100" w:type="dxa"/>
            <w:vAlign w:val="bottom"/>
          </w:tcPr>
          <w:p>
            <w:pPr>
              <w:ind w:left="160"/>
              <w:spacing w:after="0"/>
              <w:rPr>
                <w:sz w:val="20"/>
                <w:szCs w:val="20"/>
                <w:color w:val="auto"/>
              </w:rPr>
            </w:pPr>
            <w:r>
              <w:rPr>
                <w:rFonts w:ascii="Arial" w:cs="Arial" w:eastAsia="Arial" w:hAnsi="Arial"/>
                <w:sz w:val="14"/>
                <w:szCs w:val="14"/>
                <w:color w:val="auto"/>
              </w:rPr>
              <w:t>Economic interest expense:</w:t>
            </w:r>
          </w:p>
        </w:tc>
        <w:tc>
          <w:tcPr>
            <w:tcW w:w="1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4100" w:type="dxa"/>
            <w:vAlign w:val="bottom"/>
            <w:shd w:val="clear" w:color="auto" w:fill="CCEEFF"/>
          </w:tcPr>
          <w:p>
            <w:pPr>
              <w:ind w:left="260"/>
              <w:spacing w:after="0"/>
              <w:rPr>
                <w:sz w:val="20"/>
                <w:szCs w:val="20"/>
                <w:color w:val="auto"/>
              </w:rPr>
            </w:pPr>
            <w:r>
              <w:rPr>
                <w:rFonts w:ascii="Arial" w:cs="Arial" w:eastAsia="Arial" w:hAnsi="Arial"/>
                <w:sz w:val="14"/>
                <w:szCs w:val="14"/>
                <w:color w:val="auto"/>
                <w:w w:val="94"/>
              </w:rPr>
              <w:t>Repurchase agreements and other debt - GAAP interest expense</w:t>
            </w:r>
          </w:p>
        </w:tc>
        <w:tc>
          <w:tcPr>
            <w:tcW w:w="14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(570)</w:t>
            </w: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(541)</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(418)</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(312)</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(237)</w:t>
            </w:r>
          </w:p>
        </w:tc>
        <w:tc>
          <w:tcPr>
            <w:tcW w:w="0" w:type="dxa"/>
            <w:vAlign w:val="bottom"/>
          </w:tcPr>
          <w:p>
            <w:pPr>
              <w:spacing w:after="0"/>
              <w:rPr>
                <w:sz w:val="1"/>
                <w:szCs w:val="1"/>
                <w:color w:val="auto"/>
              </w:rPr>
            </w:pPr>
          </w:p>
        </w:tc>
      </w:tr>
      <w:tr>
        <w:trPr>
          <w:trHeight w:val="264"/>
        </w:trPr>
        <w:tc>
          <w:tcPr>
            <w:tcW w:w="4100" w:type="dxa"/>
            <w:vAlign w:val="bottom"/>
          </w:tcPr>
          <w:p>
            <w:pPr>
              <w:ind w:left="260"/>
              <w:spacing w:after="0"/>
              <w:rPr>
                <w:sz w:val="20"/>
                <w:szCs w:val="20"/>
                <w:color w:val="auto"/>
              </w:rPr>
            </w:pPr>
            <w:r>
              <w:rPr>
                <w:rFonts w:ascii="Arial" w:cs="Arial" w:eastAsia="Arial" w:hAnsi="Arial"/>
                <w:sz w:val="14"/>
                <w:szCs w:val="14"/>
                <w:color w:val="auto"/>
              </w:rPr>
              <w:t xml:space="preserve">TBA dollar roll income - implied interest expense </w:t>
            </w:r>
            <w:r>
              <w:rPr>
                <w:rFonts w:ascii="Arial" w:cs="Arial" w:eastAsia="Arial" w:hAnsi="Arial"/>
                <w:sz w:val="8"/>
                <w:szCs w:val="8"/>
                <w:color w:val="auto"/>
              </w:rPr>
              <w:t>3,6</w:t>
            </w:r>
          </w:p>
        </w:tc>
        <w:tc>
          <w:tcPr>
            <w:tcW w:w="140" w:type="dxa"/>
            <w:vAlign w:val="bottom"/>
          </w:tcPr>
          <w:p>
            <w:pPr>
              <w:spacing w:after="0"/>
              <w:rPr>
                <w:sz w:val="22"/>
                <w:szCs w:val="22"/>
                <w:color w:val="auto"/>
              </w:rPr>
            </w:pPr>
          </w:p>
        </w:tc>
        <w:tc>
          <w:tcPr>
            <w:tcW w:w="800" w:type="dxa"/>
            <w:vAlign w:val="bottom"/>
          </w:tcPr>
          <w:p>
            <w:pPr>
              <w:jc w:val="right"/>
              <w:ind w:right="88"/>
              <w:spacing w:after="0"/>
              <w:rPr>
                <w:sz w:val="20"/>
                <w:szCs w:val="20"/>
                <w:color w:val="auto"/>
              </w:rPr>
            </w:pPr>
            <w:r>
              <w:rPr>
                <w:rFonts w:ascii="Arial" w:cs="Arial" w:eastAsia="Arial" w:hAnsi="Arial"/>
                <w:sz w:val="14"/>
                <w:szCs w:val="14"/>
                <w:color w:val="auto"/>
              </w:rPr>
              <w:t>(74)</w:t>
            </w: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80" w:type="dxa"/>
            <w:vAlign w:val="bottom"/>
          </w:tcPr>
          <w:p>
            <w:pPr>
              <w:jc w:val="right"/>
              <w:ind w:right="88"/>
              <w:spacing w:after="0"/>
              <w:rPr>
                <w:sz w:val="20"/>
                <w:szCs w:val="20"/>
                <w:color w:val="auto"/>
              </w:rPr>
            </w:pPr>
            <w:r>
              <w:rPr>
                <w:rFonts w:ascii="Arial" w:cs="Arial" w:eastAsia="Arial" w:hAnsi="Arial"/>
                <w:sz w:val="14"/>
                <w:szCs w:val="14"/>
                <w:color w:val="auto"/>
              </w:rPr>
              <w:t>(52)</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20" w:type="dxa"/>
            <w:vAlign w:val="bottom"/>
          </w:tcPr>
          <w:p>
            <w:pPr>
              <w:jc w:val="right"/>
              <w:ind w:right="69"/>
              <w:spacing w:after="0"/>
              <w:rPr>
                <w:sz w:val="20"/>
                <w:szCs w:val="20"/>
                <w:color w:val="auto"/>
              </w:rPr>
            </w:pPr>
            <w:r>
              <w:rPr>
                <w:rFonts w:ascii="Arial" w:cs="Arial" w:eastAsia="Arial" w:hAnsi="Arial"/>
                <w:sz w:val="14"/>
                <w:szCs w:val="14"/>
                <w:color w:val="auto"/>
              </w:rPr>
              <w:t>(47)</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jc w:val="right"/>
              <w:ind w:right="89"/>
              <w:spacing w:after="0"/>
              <w:rPr>
                <w:sz w:val="20"/>
                <w:szCs w:val="20"/>
                <w:color w:val="auto"/>
              </w:rPr>
            </w:pPr>
            <w:r>
              <w:rPr>
                <w:rFonts w:ascii="Arial" w:cs="Arial" w:eastAsia="Arial" w:hAnsi="Arial"/>
                <w:sz w:val="14"/>
                <w:szCs w:val="14"/>
                <w:color w:val="auto"/>
              </w:rPr>
              <w:t>(94)</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0" w:type="dxa"/>
            <w:vAlign w:val="bottom"/>
          </w:tcPr>
          <w:p>
            <w:pPr>
              <w:jc w:val="right"/>
              <w:ind w:right="88"/>
              <w:spacing w:after="0"/>
              <w:rPr>
                <w:sz w:val="20"/>
                <w:szCs w:val="20"/>
                <w:color w:val="auto"/>
              </w:rPr>
            </w:pPr>
            <w:r>
              <w:rPr>
                <w:rFonts w:ascii="Arial" w:cs="Arial" w:eastAsia="Arial" w:hAnsi="Arial"/>
                <w:sz w:val="14"/>
                <w:szCs w:val="14"/>
                <w:color w:val="auto"/>
              </w:rPr>
              <w:t>(74)</w:t>
            </w:r>
          </w:p>
        </w:tc>
        <w:tc>
          <w:tcPr>
            <w:tcW w:w="0" w:type="dxa"/>
            <w:vAlign w:val="bottom"/>
          </w:tcPr>
          <w:p>
            <w:pPr>
              <w:spacing w:after="0"/>
              <w:rPr>
                <w:sz w:val="1"/>
                <w:szCs w:val="1"/>
                <w:color w:val="auto"/>
              </w:rPr>
            </w:pPr>
          </w:p>
        </w:tc>
      </w:tr>
      <w:tr>
        <w:trPr>
          <w:trHeight w:val="270"/>
        </w:trPr>
        <w:tc>
          <w:tcPr>
            <w:tcW w:w="4100" w:type="dxa"/>
            <w:vAlign w:val="bottom"/>
            <w:shd w:val="clear" w:color="auto" w:fill="CCEEFF"/>
          </w:tcPr>
          <w:p>
            <w:pPr>
              <w:ind w:left="260"/>
              <w:spacing w:after="0"/>
              <w:rPr>
                <w:sz w:val="20"/>
                <w:szCs w:val="20"/>
                <w:color w:val="auto"/>
              </w:rPr>
            </w:pPr>
            <w:r>
              <w:rPr>
                <w:rFonts w:ascii="Arial" w:cs="Arial" w:eastAsia="Arial" w:hAnsi="Arial"/>
                <w:sz w:val="14"/>
                <w:szCs w:val="14"/>
                <w:color w:val="auto"/>
              </w:rPr>
              <w:t xml:space="preserve">Interest rate swap periodic income (cost) </w:t>
            </w:r>
            <w:r>
              <w:rPr>
                <w:rFonts w:ascii="Arial" w:cs="Arial" w:eastAsia="Arial" w:hAnsi="Arial"/>
                <w:sz w:val="8"/>
                <w:szCs w:val="8"/>
                <w:color w:val="auto"/>
              </w:rPr>
              <w:t>3,9</w:t>
            </w:r>
          </w:p>
        </w:tc>
        <w:tc>
          <w:tcPr>
            <w:tcW w:w="1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88</w:t>
            </w:r>
          </w:p>
        </w:tc>
        <w:tc>
          <w:tcPr>
            <w:tcW w:w="12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83</w:t>
            </w: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129"/>
              <w:spacing w:after="0"/>
              <w:rPr>
                <w:sz w:val="20"/>
                <w:szCs w:val="20"/>
                <w:color w:val="auto"/>
              </w:rPr>
            </w:pPr>
            <w:r>
              <w:rPr>
                <w:rFonts w:ascii="Arial" w:cs="Arial" w:eastAsia="Arial" w:hAnsi="Arial"/>
                <w:sz w:val="14"/>
                <w:szCs w:val="14"/>
                <w:color w:val="auto"/>
              </w:rPr>
              <w:t>63</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840" w:type="dxa"/>
            <w:vAlign w:val="bottom"/>
            <w:tcBorders>
              <w:bottom w:val="single" w:sz="8" w:color="auto"/>
            </w:tcBorders>
            <w:shd w:val="clear" w:color="auto" w:fill="CCEEFF"/>
          </w:tcPr>
          <w:p>
            <w:pPr>
              <w:jc w:val="right"/>
              <w:ind w:right="129"/>
              <w:spacing w:after="0"/>
              <w:rPr>
                <w:sz w:val="20"/>
                <w:szCs w:val="20"/>
                <w:color w:val="auto"/>
              </w:rPr>
            </w:pPr>
            <w:r>
              <w:rPr>
                <w:rFonts w:ascii="Arial" w:cs="Arial" w:eastAsia="Arial" w:hAnsi="Arial"/>
                <w:sz w:val="14"/>
                <w:szCs w:val="14"/>
                <w:color w:val="auto"/>
              </w:rPr>
              <w:t>56</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41</w:t>
            </w:r>
          </w:p>
        </w:tc>
        <w:tc>
          <w:tcPr>
            <w:tcW w:w="0" w:type="dxa"/>
            <w:vAlign w:val="bottom"/>
          </w:tcPr>
          <w:p>
            <w:pPr>
              <w:spacing w:after="0"/>
              <w:rPr>
                <w:sz w:val="1"/>
                <w:szCs w:val="1"/>
                <w:color w:val="auto"/>
              </w:rPr>
            </w:pPr>
          </w:p>
        </w:tc>
      </w:tr>
      <w:tr>
        <w:trPr>
          <w:trHeight w:val="250"/>
        </w:trPr>
        <w:tc>
          <w:tcPr>
            <w:tcW w:w="410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Economic interest expense</w:t>
            </w:r>
          </w:p>
        </w:tc>
        <w:tc>
          <w:tcPr>
            <w:tcW w:w="14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(556)</w:t>
            </w:r>
          </w:p>
        </w:tc>
        <w:tc>
          <w:tcPr>
            <w:tcW w:w="12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6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(510)</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82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(402)</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ind w:right="89"/>
              <w:spacing w:after="0"/>
              <w:rPr>
                <w:sz w:val="20"/>
                <w:szCs w:val="20"/>
                <w:color w:val="auto"/>
              </w:rPr>
            </w:pPr>
            <w:r>
              <w:rPr>
                <w:rFonts w:ascii="Arial" w:cs="Arial" w:eastAsia="Arial" w:hAnsi="Arial"/>
                <w:sz w:val="14"/>
                <w:szCs w:val="14"/>
                <w:color w:val="auto"/>
              </w:rPr>
              <w:t>(350)</w:t>
            </w:r>
          </w:p>
        </w:tc>
        <w:tc>
          <w:tcPr>
            <w:tcW w:w="12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(270)</w:t>
            </w:r>
          </w:p>
        </w:tc>
        <w:tc>
          <w:tcPr>
            <w:tcW w:w="0" w:type="dxa"/>
            <w:vAlign w:val="bottom"/>
          </w:tcPr>
          <w:p>
            <w:pPr>
              <w:spacing w:after="0"/>
              <w:rPr>
                <w:sz w:val="1"/>
                <w:szCs w:val="1"/>
                <w:color w:val="auto"/>
              </w:rPr>
            </w:pPr>
          </w:p>
        </w:tc>
      </w:tr>
      <w:tr>
        <w:trPr>
          <w:trHeight w:val="256"/>
        </w:trPr>
        <w:tc>
          <w:tcPr>
            <w:tcW w:w="4100" w:type="dxa"/>
            <w:vAlign w:val="bottom"/>
            <w:shd w:val="clear" w:color="auto" w:fill="CCEEFF"/>
          </w:tcPr>
          <w:p>
            <w:pPr>
              <w:ind w:left="260"/>
              <w:spacing w:after="0"/>
              <w:rPr>
                <w:sz w:val="20"/>
                <w:szCs w:val="20"/>
                <w:color w:val="auto"/>
              </w:rPr>
            </w:pPr>
            <w:r>
              <w:rPr>
                <w:rFonts w:ascii="Arial" w:cs="Arial" w:eastAsia="Arial" w:hAnsi="Arial"/>
                <w:sz w:val="14"/>
                <w:szCs w:val="14"/>
                <w:color w:val="auto"/>
              </w:rPr>
              <w:t xml:space="preserve">Other interest and dividend income </w:t>
            </w:r>
            <w:r>
              <w:rPr>
                <w:rFonts w:ascii="Arial" w:cs="Arial" w:eastAsia="Arial" w:hAnsi="Arial"/>
                <w:sz w:val="8"/>
                <w:szCs w:val="8"/>
                <w:color w:val="auto"/>
              </w:rPr>
              <w:t>3</w:t>
            </w:r>
          </w:p>
        </w:tc>
        <w:tc>
          <w:tcPr>
            <w:tcW w:w="140" w:type="dxa"/>
            <w:vAlign w:val="bottom"/>
            <w:tcBorders>
              <w:bottom w:val="single" w:sz="8" w:color="auto"/>
            </w:tcBorders>
            <w:shd w:val="clear" w:color="auto" w:fill="CCEEFF"/>
          </w:tcPr>
          <w:p>
            <w:pPr>
              <w:spacing w:after="0"/>
              <w:rPr>
                <w:sz w:val="22"/>
                <w:szCs w:val="22"/>
                <w:color w:val="auto"/>
              </w:rPr>
            </w:pPr>
          </w:p>
        </w:tc>
        <w:tc>
          <w:tcPr>
            <w:tcW w:w="8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4</w:t>
            </w:r>
          </w:p>
        </w:tc>
        <w:tc>
          <w:tcPr>
            <w:tcW w:w="120" w:type="dxa"/>
            <w:vAlign w:val="bottom"/>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spacing w:after="0"/>
              <w:rPr>
                <w:sz w:val="22"/>
                <w:szCs w:val="22"/>
                <w:color w:val="auto"/>
              </w:rPr>
            </w:pPr>
          </w:p>
        </w:tc>
        <w:tc>
          <w:tcPr>
            <w:tcW w:w="68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2"/>
                <w:szCs w:val="22"/>
                <w:color w:val="auto"/>
              </w:rPr>
            </w:pPr>
          </w:p>
        </w:tc>
        <w:tc>
          <w:tcPr>
            <w:tcW w:w="820" w:type="dxa"/>
            <w:vAlign w:val="bottom"/>
            <w:tcBorders>
              <w:bottom w:val="single" w:sz="8" w:color="auto"/>
            </w:tcBorders>
            <w:shd w:val="clear" w:color="auto" w:fill="CCEEFF"/>
          </w:tcPr>
          <w:p>
            <w:pPr>
              <w:jc w:val="right"/>
              <w:ind w:right="129"/>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840" w:type="dxa"/>
            <w:vAlign w:val="bottom"/>
            <w:tcBorders>
              <w:bottom w:val="single" w:sz="8" w:color="auto"/>
            </w:tcBorders>
            <w:shd w:val="clear" w:color="auto" w:fill="CCEEFF"/>
          </w:tcPr>
          <w:p>
            <w:pPr>
              <w:jc w:val="right"/>
              <w:ind w:right="129"/>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spacing w:after="0"/>
              <w:rPr>
                <w:sz w:val="22"/>
                <w:szCs w:val="22"/>
                <w:color w:val="auto"/>
              </w:rPr>
            </w:pPr>
          </w:p>
        </w:tc>
        <w:tc>
          <w:tcPr>
            <w:tcW w:w="8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137"/>
        </w:trPr>
        <w:tc>
          <w:tcPr>
            <w:tcW w:w="4100" w:type="dxa"/>
            <w:vAlign w:val="bottom"/>
          </w:tcPr>
          <w:p>
            <w:pPr>
              <w:ind w:left="160"/>
              <w:spacing w:after="0" w:line="137" w:lineRule="exact"/>
              <w:rPr>
                <w:sz w:val="20"/>
                <w:szCs w:val="20"/>
                <w:color w:val="auto"/>
              </w:rPr>
            </w:pPr>
            <w:r>
              <w:rPr>
                <w:rFonts w:ascii="Arial" w:cs="Arial" w:eastAsia="Arial" w:hAnsi="Arial"/>
                <w:sz w:val="14"/>
                <w:szCs w:val="14"/>
                <w:color w:val="auto"/>
                <w:w w:val="98"/>
              </w:rPr>
              <w:t>Adjusted net interest and dollar roll income, excluding "catch-up"</w:t>
            </w:r>
          </w:p>
        </w:tc>
        <w:tc>
          <w:tcPr>
            <w:tcW w:w="14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800" w:type="dxa"/>
            <w:vAlign w:val="bottom"/>
            <w:vMerge w:val="restart"/>
          </w:tcPr>
          <w:p>
            <w:pPr>
              <w:jc w:val="right"/>
              <w:ind w:right="128"/>
              <w:spacing w:after="0"/>
              <w:rPr>
                <w:sz w:val="20"/>
                <w:szCs w:val="20"/>
                <w:color w:val="auto"/>
              </w:rPr>
            </w:pPr>
            <w:r>
              <w:rPr>
                <w:rFonts w:ascii="Arial" w:cs="Arial" w:eastAsia="Arial" w:hAnsi="Arial"/>
                <w:sz w:val="14"/>
                <w:szCs w:val="14"/>
                <w:color w:val="auto"/>
              </w:rPr>
              <w:t>295</w:t>
            </w:r>
          </w:p>
        </w:tc>
        <w:tc>
          <w:tcPr>
            <w:tcW w:w="120" w:type="dxa"/>
            <w:vAlign w:val="bottom"/>
          </w:tcPr>
          <w:p>
            <w:pPr>
              <w:spacing w:after="0"/>
              <w:rPr>
                <w:sz w:val="11"/>
                <w:szCs w:val="11"/>
                <w:color w:val="auto"/>
              </w:rPr>
            </w:pPr>
          </w:p>
        </w:tc>
        <w:tc>
          <w:tcPr>
            <w:tcW w:w="260" w:type="dxa"/>
            <w:vAlign w:val="bottom"/>
            <w:vMerge w:val="restart"/>
          </w:tcPr>
          <w:p>
            <w:pPr>
              <w:jc w:val="right"/>
              <w:ind w:right="91"/>
              <w:spacing w:after="0"/>
              <w:rPr>
                <w:sz w:val="20"/>
                <w:szCs w:val="20"/>
                <w:color w:val="auto"/>
              </w:rPr>
            </w:pPr>
            <w:r>
              <w:rPr>
                <w:rFonts w:ascii="Arial" w:cs="Arial" w:eastAsia="Arial" w:hAnsi="Arial"/>
                <w:sz w:val="14"/>
                <w:szCs w:val="14"/>
                <w:color w:val="auto"/>
              </w:rPr>
              <w:t>$</w:t>
            </w:r>
          </w:p>
        </w:tc>
        <w:tc>
          <w:tcPr>
            <w:tcW w:w="680" w:type="dxa"/>
            <w:vAlign w:val="bottom"/>
            <w:vMerge w:val="restart"/>
          </w:tcPr>
          <w:p>
            <w:pPr>
              <w:jc w:val="right"/>
              <w:ind w:right="128"/>
              <w:spacing w:after="0"/>
              <w:rPr>
                <w:sz w:val="20"/>
                <w:szCs w:val="20"/>
                <w:color w:val="auto"/>
              </w:rPr>
            </w:pPr>
            <w:r>
              <w:rPr>
                <w:rFonts w:ascii="Arial" w:cs="Arial" w:eastAsia="Arial" w:hAnsi="Arial"/>
                <w:sz w:val="14"/>
                <w:szCs w:val="14"/>
                <w:color w:val="auto"/>
              </w:rPr>
              <w:t>308</w:t>
            </w:r>
          </w:p>
        </w:tc>
        <w:tc>
          <w:tcPr>
            <w:tcW w:w="220" w:type="dxa"/>
            <w:vAlign w:val="bottom"/>
            <w:gridSpan w:val="2"/>
            <w:vMerge w:val="restart"/>
          </w:tcPr>
          <w:p>
            <w:pPr>
              <w:jc w:val="right"/>
              <w:ind w:right="20"/>
              <w:spacing w:after="0"/>
              <w:rPr>
                <w:sz w:val="20"/>
                <w:szCs w:val="20"/>
                <w:color w:val="auto"/>
              </w:rPr>
            </w:pPr>
            <w:r>
              <w:rPr>
                <w:rFonts w:ascii="Arial" w:cs="Arial" w:eastAsia="Arial" w:hAnsi="Arial"/>
                <w:sz w:val="14"/>
                <w:szCs w:val="14"/>
                <w:color w:val="auto"/>
              </w:rPr>
              <w:t>$</w:t>
            </w:r>
          </w:p>
        </w:tc>
        <w:tc>
          <w:tcPr>
            <w:tcW w:w="820" w:type="dxa"/>
            <w:vAlign w:val="bottom"/>
            <w:vMerge w:val="restart"/>
          </w:tcPr>
          <w:p>
            <w:pPr>
              <w:jc w:val="right"/>
              <w:ind w:right="129"/>
              <w:spacing w:after="0"/>
              <w:rPr>
                <w:sz w:val="20"/>
                <w:szCs w:val="20"/>
                <w:color w:val="auto"/>
              </w:rPr>
            </w:pPr>
            <w:r>
              <w:rPr>
                <w:rFonts w:ascii="Arial" w:cs="Arial" w:eastAsia="Arial" w:hAnsi="Arial"/>
                <w:sz w:val="14"/>
                <w:szCs w:val="14"/>
                <w:color w:val="auto"/>
              </w:rPr>
              <w:t>292</w:t>
            </w:r>
          </w:p>
        </w:tc>
        <w:tc>
          <w:tcPr>
            <w:tcW w:w="120" w:type="dxa"/>
            <w:vAlign w:val="bottom"/>
          </w:tcPr>
          <w:p>
            <w:pPr>
              <w:spacing w:after="0"/>
              <w:rPr>
                <w:sz w:val="11"/>
                <w:szCs w:val="11"/>
                <w:color w:val="auto"/>
              </w:rPr>
            </w:pPr>
          </w:p>
        </w:tc>
        <w:tc>
          <w:tcPr>
            <w:tcW w:w="10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840" w:type="dxa"/>
            <w:vAlign w:val="bottom"/>
            <w:vMerge w:val="restart"/>
          </w:tcPr>
          <w:p>
            <w:pPr>
              <w:jc w:val="right"/>
              <w:ind w:right="129"/>
              <w:spacing w:after="0"/>
              <w:rPr>
                <w:sz w:val="20"/>
                <w:szCs w:val="20"/>
                <w:color w:val="auto"/>
              </w:rPr>
            </w:pPr>
            <w:r>
              <w:rPr>
                <w:rFonts w:ascii="Arial" w:cs="Arial" w:eastAsia="Arial" w:hAnsi="Arial"/>
                <w:sz w:val="14"/>
                <w:szCs w:val="14"/>
                <w:color w:val="auto"/>
              </w:rPr>
              <w:t>307</w:t>
            </w:r>
          </w:p>
        </w:tc>
        <w:tc>
          <w:tcPr>
            <w:tcW w:w="120" w:type="dxa"/>
            <w:vAlign w:val="bottom"/>
          </w:tcPr>
          <w:p>
            <w:pPr>
              <w:spacing w:after="0"/>
              <w:rPr>
                <w:sz w:val="11"/>
                <w:szCs w:val="11"/>
                <w:color w:val="auto"/>
              </w:rPr>
            </w:pPr>
          </w:p>
        </w:tc>
        <w:tc>
          <w:tcPr>
            <w:tcW w:w="14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800" w:type="dxa"/>
            <w:vAlign w:val="bottom"/>
            <w:vMerge w:val="restart"/>
          </w:tcPr>
          <w:p>
            <w:pPr>
              <w:jc w:val="right"/>
              <w:ind w:right="128"/>
              <w:spacing w:after="0"/>
              <w:rPr>
                <w:sz w:val="20"/>
                <w:szCs w:val="20"/>
                <w:color w:val="auto"/>
              </w:rPr>
            </w:pPr>
            <w:r>
              <w:rPr>
                <w:rFonts w:ascii="Arial" w:cs="Arial" w:eastAsia="Arial" w:hAnsi="Arial"/>
                <w:sz w:val="14"/>
                <w:szCs w:val="14"/>
                <w:color w:val="auto"/>
              </w:rPr>
              <w:t>277</w:t>
            </w:r>
          </w:p>
        </w:tc>
        <w:tc>
          <w:tcPr>
            <w:tcW w:w="0" w:type="dxa"/>
            <w:vAlign w:val="bottom"/>
          </w:tcPr>
          <w:p>
            <w:pPr>
              <w:spacing w:after="0"/>
              <w:rPr>
                <w:sz w:val="1"/>
                <w:szCs w:val="1"/>
                <w:color w:val="auto"/>
              </w:rPr>
            </w:pPr>
          </w:p>
        </w:tc>
      </w:tr>
      <w:tr>
        <w:trPr>
          <w:trHeight w:val="181"/>
        </w:trPr>
        <w:tc>
          <w:tcPr>
            <w:tcW w:w="4100" w:type="dxa"/>
            <w:vAlign w:val="bottom"/>
          </w:tcPr>
          <w:p>
            <w:pPr>
              <w:ind w:left="160"/>
              <w:spacing w:after="0"/>
              <w:rPr>
                <w:sz w:val="20"/>
                <w:szCs w:val="20"/>
                <w:color w:val="auto"/>
              </w:rPr>
            </w:pPr>
            <w:r>
              <w:rPr>
                <w:rFonts w:ascii="Arial" w:cs="Arial" w:eastAsia="Arial" w:hAnsi="Arial"/>
                <w:sz w:val="14"/>
                <w:szCs w:val="14"/>
                <w:color w:val="auto"/>
              </w:rPr>
              <w:t>premium amortization</w:t>
            </w:r>
          </w:p>
        </w:tc>
        <w:tc>
          <w:tcPr>
            <w:tcW w:w="140" w:type="dxa"/>
            <w:vAlign w:val="bottom"/>
            <w:vMerge w:val="continue"/>
          </w:tcPr>
          <w:p>
            <w:pPr>
              <w:spacing w:after="0"/>
              <w:rPr>
                <w:sz w:val="15"/>
                <w:szCs w:val="15"/>
                <w:color w:val="auto"/>
              </w:rPr>
            </w:pPr>
          </w:p>
        </w:tc>
        <w:tc>
          <w:tcPr>
            <w:tcW w:w="80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vMerge w:val="continue"/>
          </w:tcPr>
          <w:p>
            <w:pPr>
              <w:spacing w:after="0"/>
              <w:rPr>
                <w:sz w:val="15"/>
                <w:szCs w:val="15"/>
                <w:color w:val="auto"/>
              </w:rPr>
            </w:pPr>
          </w:p>
        </w:tc>
        <w:tc>
          <w:tcPr>
            <w:tcW w:w="680" w:type="dxa"/>
            <w:vAlign w:val="bottom"/>
            <w:vMerge w:val="continue"/>
          </w:tcPr>
          <w:p>
            <w:pPr>
              <w:spacing w:after="0"/>
              <w:rPr>
                <w:sz w:val="15"/>
                <w:szCs w:val="15"/>
                <w:color w:val="auto"/>
              </w:rPr>
            </w:pPr>
          </w:p>
        </w:tc>
        <w:tc>
          <w:tcPr>
            <w:tcW w:w="220" w:type="dxa"/>
            <w:vAlign w:val="bottom"/>
            <w:gridSpan w:val="2"/>
            <w:vMerge w:val="continue"/>
          </w:tcPr>
          <w:p>
            <w:pPr>
              <w:spacing w:after="0"/>
              <w:rPr>
                <w:sz w:val="15"/>
                <w:szCs w:val="15"/>
                <w:color w:val="auto"/>
              </w:rPr>
            </w:pPr>
          </w:p>
        </w:tc>
        <w:tc>
          <w:tcPr>
            <w:tcW w:w="82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vMerge w:val="continue"/>
          </w:tcPr>
          <w:p>
            <w:pPr>
              <w:spacing w:after="0"/>
              <w:rPr>
                <w:sz w:val="15"/>
                <w:szCs w:val="15"/>
                <w:color w:val="auto"/>
              </w:rPr>
            </w:pPr>
          </w:p>
        </w:tc>
        <w:tc>
          <w:tcPr>
            <w:tcW w:w="84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vMerge w:val="continue"/>
          </w:tcPr>
          <w:p>
            <w:pPr>
              <w:spacing w:after="0"/>
              <w:rPr>
                <w:sz w:val="15"/>
                <w:szCs w:val="15"/>
                <w:color w:val="auto"/>
              </w:rPr>
            </w:pPr>
          </w:p>
        </w:tc>
        <w:tc>
          <w:tcPr>
            <w:tcW w:w="8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410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Net interest spread, excluding "catch-up" amortization:</w:t>
            </w: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8"/>
        </w:trPr>
        <w:tc>
          <w:tcPr>
            <w:tcW w:w="4100" w:type="dxa"/>
            <w:vAlign w:val="bottom"/>
            <w:vMerge w:val="continue"/>
          </w:tcPr>
          <w:p>
            <w:pPr>
              <w:spacing w:after="0"/>
              <w:rPr>
                <w:sz w:val="24"/>
                <w:szCs w:val="24"/>
                <w:color w:val="auto"/>
              </w:rPr>
            </w:pPr>
          </w:p>
        </w:tc>
        <w:tc>
          <w:tcPr>
            <w:tcW w:w="1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100" w:type="dxa"/>
            <w:vAlign w:val="bottom"/>
            <w:shd w:val="clear" w:color="auto" w:fill="CCEEFF"/>
          </w:tcPr>
          <w:p>
            <w:pPr>
              <w:ind w:left="160"/>
              <w:spacing w:after="0"/>
              <w:rPr>
                <w:sz w:val="20"/>
                <w:szCs w:val="20"/>
                <w:color w:val="auto"/>
              </w:rPr>
            </w:pPr>
            <w:r>
              <w:rPr>
                <w:rFonts w:ascii="Arial" w:cs="Arial" w:eastAsia="Arial" w:hAnsi="Arial"/>
                <w:sz w:val="14"/>
                <w:szCs w:val="14"/>
                <w:color w:val="auto"/>
              </w:rPr>
              <w:t>Average asset yield:</w:t>
            </w:r>
          </w:p>
        </w:tc>
        <w:tc>
          <w:tcPr>
            <w:tcW w:w="1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100" w:type="dxa"/>
            <w:vAlign w:val="bottom"/>
          </w:tcPr>
          <w:p>
            <w:pPr>
              <w:ind w:left="260"/>
              <w:spacing w:after="0"/>
              <w:rPr>
                <w:sz w:val="20"/>
                <w:szCs w:val="20"/>
                <w:color w:val="auto"/>
              </w:rPr>
            </w:pPr>
            <w:r>
              <w:rPr>
                <w:rFonts w:ascii="Arial" w:cs="Arial" w:eastAsia="Arial" w:hAnsi="Arial"/>
                <w:sz w:val="14"/>
                <w:szCs w:val="14"/>
                <w:color w:val="auto"/>
              </w:rPr>
              <w:t>Investment securities - average asset yield</w:t>
            </w:r>
          </w:p>
        </w:tc>
        <w:tc>
          <w:tcPr>
            <w:tcW w:w="1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2.99 %</w:t>
            </w: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3.14 %</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3.13 %</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3.11 %</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2.99 %</w:t>
            </w:r>
          </w:p>
        </w:tc>
        <w:tc>
          <w:tcPr>
            <w:tcW w:w="0" w:type="dxa"/>
            <w:vAlign w:val="bottom"/>
          </w:tcPr>
          <w:p>
            <w:pPr>
              <w:spacing w:after="0"/>
              <w:rPr>
                <w:sz w:val="1"/>
                <w:szCs w:val="1"/>
                <w:color w:val="auto"/>
              </w:rPr>
            </w:pPr>
          </w:p>
        </w:tc>
      </w:tr>
      <w:tr>
        <w:trPr>
          <w:trHeight w:val="163"/>
        </w:trPr>
        <w:tc>
          <w:tcPr>
            <w:tcW w:w="4100" w:type="dxa"/>
            <w:vAlign w:val="bottom"/>
            <w:shd w:val="clear" w:color="auto" w:fill="CCEEFF"/>
          </w:tcPr>
          <w:p>
            <w:pPr>
              <w:ind w:left="260"/>
              <w:spacing w:after="0"/>
              <w:rPr>
                <w:sz w:val="20"/>
                <w:szCs w:val="20"/>
                <w:color w:val="auto"/>
              </w:rPr>
            </w:pPr>
            <w:r>
              <w:rPr>
                <w:rFonts w:ascii="Arial" w:cs="Arial" w:eastAsia="Arial" w:hAnsi="Arial"/>
                <w:sz w:val="14"/>
                <w:szCs w:val="14"/>
                <w:color w:val="auto"/>
                <w:w w:val="96"/>
              </w:rPr>
              <w:t>Estimated "catch-up" premium amortization cost (benefit) due to</w:t>
            </w:r>
          </w:p>
        </w:tc>
        <w:tc>
          <w:tcPr>
            <w:tcW w:w="14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4100" w:type="dxa"/>
            <w:vAlign w:val="bottom"/>
            <w:shd w:val="clear" w:color="auto" w:fill="CCEEFF"/>
          </w:tcPr>
          <w:p>
            <w:pPr>
              <w:ind w:left="260"/>
              <w:spacing w:after="0"/>
              <w:rPr>
                <w:sz w:val="20"/>
                <w:szCs w:val="20"/>
                <w:color w:val="auto"/>
              </w:rPr>
            </w:pPr>
            <w:r>
              <w:rPr>
                <w:rFonts w:ascii="Arial" w:cs="Arial" w:eastAsia="Arial" w:hAnsi="Arial"/>
                <w:sz w:val="14"/>
                <w:szCs w:val="14"/>
                <w:color w:val="auto"/>
              </w:rPr>
              <w:t>change in CPR forecast</w:t>
            </w:r>
          </w:p>
        </w:tc>
        <w:tc>
          <w:tcPr>
            <w:tcW w:w="140" w:type="dxa"/>
            <w:vAlign w:val="bottom"/>
            <w:tcBorders>
              <w:bottom w:val="single" w:sz="8" w:color="auto"/>
            </w:tcBorders>
            <w:shd w:val="clear" w:color="auto" w:fill="CCEEFF"/>
          </w:tcPr>
          <w:p>
            <w:pPr>
              <w:spacing w:after="0"/>
              <w:rPr>
                <w:sz w:val="16"/>
                <w:szCs w:val="16"/>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0.25 %</w:t>
            </w:r>
          </w:p>
        </w:tc>
        <w:tc>
          <w:tcPr>
            <w:tcW w:w="120" w:type="dxa"/>
            <w:vAlign w:val="bottom"/>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0.17 %</w:t>
            </w:r>
          </w:p>
        </w:tc>
        <w:tc>
          <w:tcPr>
            <w:tcW w:w="100" w:type="dxa"/>
            <w:vAlign w:val="bottom"/>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0.08 %</w:t>
            </w:r>
          </w:p>
        </w:tc>
        <w:tc>
          <w:tcPr>
            <w:tcW w:w="12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(0.04)%</w:t>
            </w:r>
          </w:p>
        </w:tc>
        <w:tc>
          <w:tcPr>
            <w:tcW w:w="12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(0.08)%</w:t>
            </w:r>
          </w:p>
        </w:tc>
        <w:tc>
          <w:tcPr>
            <w:tcW w:w="0" w:type="dxa"/>
            <w:vAlign w:val="bottom"/>
          </w:tcPr>
          <w:p>
            <w:pPr>
              <w:spacing w:after="0"/>
              <w:rPr>
                <w:sz w:val="1"/>
                <w:szCs w:val="1"/>
                <w:color w:val="auto"/>
              </w:rPr>
            </w:pPr>
          </w:p>
        </w:tc>
      </w:tr>
      <w:tr>
        <w:trPr>
          <w:trHeight w:val="137"/>
        </w:trPr>
        <w:tc>
          <w:tcPr>
            <w:tcW w:w="4100" w:type="dxa"/>
            <w:vAlign w:val="bottom"/>
          </w:tcPr>
          <w:p>
            <w:pPr>
              <w:ind w:left="260"/>
              <w:spacing w:after="0" w:line="137" w:lineRule="exact"/>
              <w:rPr>
                <w:sz w:val="20"/>
                <w:szCs w:val="20"/>
                <w:color w:val="auto"/>
              </w:rPr>
            </w:pPr>
            <w:r>
              <w:rPr>
                <w:rFonts w:ascii="Arial" w:cs="Arial" w:eastAsia="Arial" w:hAnsi="Arial"/>
                <w:sz w:val="14"/>
                <w:szCs w:val="14"/>
                <w:color w:val="auto"/>
                <w:w w:val="97"/>
              </w:rPr>
              <w:t>Investment securities average asset yield, excluding "catch-up"</w:t>
            </w:r>
          </w:p>
        </w:tc>
        <w:tc>
          <w:tcPr>
            <w:tcW w:w="1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4100" w:type="dxa"/>
            <w:vAlign w:val="bottom"/>
          </w:tcPr>
          <w:p>
            <w:pPr>
              <w:ind w:left="260"/>
              <w:spacing w:after="0"/>
              <w:rPr>
                <w:sz w:val="20"/>
                <w:szCs w:val="20"/>
                <w:color w:val="auto"/>
              </w:rPr>
            </w:pPr>
            <w:r>
              <w:rPr>
                <w:rFonts w:ascii="Arial" w:cs="Arial" w:eastAsia="Arial" w:hAnsi="Arial"/>
                <w:sz w:val="14"/>
                <w:szCs w:val="14"/>
                <w:color w:val="auto"/>
              </w:rPr>
              <w:t>premium amortization</w:t>
            </w:r>
          </w:p>
        </w:tc>
        <w:tc>
          <w:tcPr>
            <w:tcW w:w="14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3.24 %</w:t>
            </w: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3.31 %</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3.21 %</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3.07 %</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2.91 %</w:t>
            </w:r>
          </w:p>
        </w:tc>
        <w:tc>
          <w:tcPr>
            <w:tcW w:w="0" w:type="dxa"/>
            <w:vAlign w:val="bottom"/>
          </w:tcPr>
          <w:p>
            <w:pPr>
              <w:spacing w:after="0"/>
              <w:rPr>
                <w:sz w:val="1"/>
                <w:szCs w:val="1"/>
                <w:color w:val="auto"/>
              </w:rPr>
            </w:pPr>
          </w:p>
        </w:tc>
      </w:tr>
      <w:tr>
        <w:trPr>
          <w:trHeight w:val="270"/>
        </w:trPr>
        <w:tc>
          <w:tcPr>
            <w:tcW w:w="4100" w:type="dxa"/>
            <w:vAlign w:val="bottom"/>
            <w:shd w:val="clear" w:color="auto" w:fill="CCEEFF"/>
          </w:tcPr>
          <w:p>
            <w:pPr>
              <w:ind w:left="260"/>
              <w:spacing w:after="0"/>
              <w:rPr>
                <w:sz w:val="20"/>
                <w:szCs w:val="20"/>
                <w:color w:val="auto"/>
              </w:rPr>
            </w:pPr>
            <w:r>
              <w:rPr>
                <w:rFonts w:ascii="Arial" w:cs="Arial" w:eastAsia="Arial" w:hAnsi="Arial"/>
                <w:sz w:val="14"/>
                <w:szCs w:val="14"/>
                <w:color w:val="auto"/>
              </w:rPr>
              <w:t xml:space="preserve">TBA securities - average implied asset yield </w:t>
            </w:r>
            <w:r>
              <w:rPr>
                <w:rFonts w:ascii="Arial" w:cs="Arial" w:eastAsia="Arial" w:hAnsi="Arial"/>
                <w:sz w:val="8"/>
                <w:szCs w:val="8"/>
                <w:color w:val="auto"/>
              </w:rPr>
              <w:t>7</w:t>
            </w:r>
          </w:p>
        </w:tc>
        <w:tc>
          <w:tcPr>
            <w:tcW w:w="1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3.21 %</w:t>
            </w:r>
          </w:p>
        </w:tc>
        <w:tc>
          <w:tcPr>
            <w:tcW w:w="12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3.55 %</w:t>
            </w: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3.66 %</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3.54 %</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3.41 %</w:t>
            </w:r>
          </w:p>
        </w:tc>
        <w:tc>
          <w:tcPr>
            <w:tcW w:w="0" w:type="dxa"/>
            <w:vAlign w:val="bottom"/>
          </w:tcPr>
          <w:p>
            <w:pPr>
              <w:spacing w:after="0"/>
              <w:rPr>
                <w:sz w:val="1"/>
                <w:szCs w:val="1"/>
                <w:color w:val="auto"/>
              </w:rPr>
            </w:pPr>
          </w:p>
        </w:tc>
      </w:tr>
      <w:tr>
        <w:trPr>
          <w:trHeight w:val="250"/>
        </w:trPr>
        <w:tc>
          <w:tcPr>
            <w:tcW w:w="410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w w:val="97"/>
              </w:rPr>
              <w:t xml:space="preserve">Average asset yield, excluding "catch-up" premium amortization </w:t>
            </w:r>
            <w:r>
              <w:rPr>
                <w:rFonts w:ascii="Arial" w:cs="Arial" w:eastAsia="Arial" w:hAnsi="Arial"/>
                <w:sz w:val="8"/>
                <w:szCs w:val="8"/>
                <w:color w:val="auto"/>
                <w:w w:val="97"/>
              </w:rPr>
              <w:t>8</w:t>
            </w:r>
          </w:p>
        </w:tc>
        <w:tc>
          <w:tcPr>
            <w:tcW w:w="14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3.24 %</w:t>
            </w:r>
          </w:p>
        </w:tc>
        <w:tc>
          <w:tcPr>
            <w:tcW w:w="12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3.33 %</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3.26 %</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3.18 %</w:t>
            </w:r>
          </w:p>
        </w:tc>
        <w:tc>
          <w:tcPr>
            <w:tcW w:w="12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3.02 %</w:t>
            </w:r>
          </w:p>
        </w:tc>
        <w:tc>
          <w:tcPr>
            <w:tcW w:w="0" w:type="dxa"/>
            <w:vAlign w:val="bottom"/>
          </w:tcPr>
          <w:p>
            <w:pPr>
              <w:spacing w:after="0"/>
              <w:rPr>
                <w:sz w:val="1"/>
                <w:szCs w:val="1"/>
                <w:color w:val="auto"/>
              </w:rPr>
            </w:pPr>
          </w:p>
        </w:tc>
      </w:tr>
      <w:tr>
        <w:trPr>
          <w:trHeight w:val="270"/>
        </w:trPr>
        <w:tc>
          <w:tcPr>
            <w:tcW w:w="4100" w:type="dxa"/>
            <w:vAlign w:val="bottom"/>
            <w:shd w:val="clear" w:color="auto" w:fill="CCEEFF"/>
          </w:tcPr>
          <w:p>
            <w:pPr>
              <w:ind w:left="160"/>
              <w:spacing w:after="0"/>
              <w:rPr>
                <w:sz w:val="20"/>
                <w:szCs w:val="20"/>
                <w:color w:val="auto"/>
              </w:rPr>
            </w:pPr>
            <w:r>
              <w:rPr>
                <w:rFonts w:ascii="Arial" w:cs="Arial" w:eastAsia="Arial" w:hAnsi="Arial"/>
                <w:sz w:val="14"/>
                <w:szCs w:val="14"/>
                <w:color w:val="auto"/>
              </w:rPr>
              <w:t>Average total cost of funds:</w:t>
            </w:r>
          </w:p>
        </w:tc>
        <w:tc>
          <w:tcPr>
            <w:tcW w:w="14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100" w:type="dxa"/>
            <w:vAlign w:val="bottom"/>
          </w:tcPr>
          <w:p>
            <w:pPr>
              <w:ind w:left="260"/>
              <w:spacing w:after="0"/>
              <w:rPr>
                <w:sz w:val="20"/>
                <w:szCs w:val="20"/>
                <w:color w:val="auto"/>
              </w:rPr>
            </w:pPr>
            <w:r>
              <w:rPr>
                <w:rFonts w:ascii="Arial" w:cs="Arial" w:eastAsia="Arial" w:hAnsi="Arial"/>
                <w:sz w:val="14"/>
                <w:szCs w:val="14"/>
                <w:color w:val="auto"/>
                <w:w w:val="97"/>
              </w:rPr>
              <w:t>Repurchase agreements and other debt - average funding cost</w:t>
            </w:r>
          </w:p>
        </w:tc>
        <w:tc>
          <w:tcPr>
            <w:tcW w:w="1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2.62 %</w:t>
            </w: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2.64 %</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2.42 %</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2.20 %</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1.99 %</w:t>
            </w:r>
          </w:p>
        </w:tc>
        <w:tc>
          <w:tcPr>
            <w:tcW w:w="0" w:type="dxa"/>
            <w:vAlign w:val="bottom"/>
          </w:tcPr>
          <w:p>
            <w:pPr>
              <w:spacing w:after="0"/>
              <w:rPr>
                <w:sz w:val="1"/>
                <w:szCs w:val="1"/>
                <w:color w:val="auto"/>
              </w:rPr>
            </w:pPr>
          </w:p>
        </w:tc>
      </w:tr>
      <w:tr>
        <w:trPr>
          <w:trHeight w:val="276"/>
        </w:trPr>
        <w:tc>
          <w:tcPr>
            <w:tcW w:w="4100" w:type="dxa"/>
            <w:vAlign w:val="bottom"/>
            <w:shd w:val="clear" w:color="auto" w:fill="CCEEFF"/>
          </w:tcPr>
          <w:p>
            <w:pPr>
              <w:ind w:left="260"/>
              <w:spacing w:after="0"/>
              <w:rPr>
                <w:sz w:val="20"/>
                <w:szCs w:val="20"/>
                <w:color w:val="auto"/>
              </w:rPr>
            </w:pPr>
            <w:r>
              <w:rPr>
                <w:rFonts w:ascii="Arial" w:cs="Arial" w:eastAsia="Arial" w:hAnsi="Arial"/>
                <w:sz w:val="14"/>
                <w:szCs w:val="14"/>
                <w:color w:val="auto"/>
              </w:rPr>
              <w:t xml:space="preserve">TBA securities - average implied funding cost </w:t>
            </w:r>
            <w:r>
              <w:rPr>
                <w:rFonts w:ascii="Arial" w:cs="Arial" w:eastAsia="Arial" w:hAnsi="Arial"/>
                <w:sz w:val="8"/>
                <w:szCs w:val="8"/>
                <w:color w:val="auto"/>
              </w:rPr>
              <w:t>6</w:t>
            </w:r>
          </w:p>
        </w:tc>
        <w:tc>
          <w:tcPr>
            <w:tcW w:w="140" w:type="dxa"/>
            <w:vAlign w:val="bottom"/>
            <w:tcBorders>
              <w:bottom w:val="single" w:sz="8" w:color="auto"/>
            </w:tcBorders>
            <w:shd w:val="clear" w:color="auto" w:fill="CCEEFF"/>
          </w:tcPr>
          <w:p>
            <w:pPr>
              <w:spacing w:after="0"/>
              <w:rPr>
                <w:sz w:val="24"/>
                <w:szCs w:val="24"/>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2.47 %</w:t>
            </w:r>
          </w:p>
        </w:tc>
        <w:tc>
          <w:tcPr>
            <w:tcW w:w="120" w:type="dxa"/>
            <w:vAlign w:val="bottom"/>
            <w:shd w:val="clear" w:color="auto" w:fill="CCEEFF"/>
          </w:tcPr>
          <w:p>
            <w:pPr>
              <w:spacing w:after="0"/>
              <w:rPr>
                <w:sz w:val="24"/>
                <w:szCs w:val="24"/>
                <w:color w:val="auto"/>
              </w:rPr>
            </w:pPr>
          </w:p>
        </w:tc>
        <w:tc>
          <w:tcPr>
            <w:tcW w:w="260" w:type="dxa"/>
            <w:vAlign w:val="bottom"/>
            <w:tcBorders>
              <w:bottom w:val="single" w:sz="8" w:color="auto"/>
            </w:tcBorders>
            <w:shd w:val="clear" w:color="auto" w:fill="CCEEFF"/>
          </w:tcPr>
          <w:p>
            <w:pPr>
              <w:spacing w:after="0"/>
              <w:rPr>
                <w:sz w:val="24"/>
                <w:szCs w:val="24"/>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2.60 %</w:t>
            </w:r>
          </w:p>
        </w:tc>
        <w:tc>
          <w:tcPr>
            <w:tcW w:w="100" w:type="dxa"/>
            <w:vAlign w:val="bottom"/>
            <w:shd w:val="clear" w:color="auto" w:fill="CCEEFF"/>
          </w:tcPr>
          <w:p>
            <w:pPr>
              <w:spacing w:after="0"/>
              <w:rPr>
                <w:sz w:val="24"/>
                <w:szCs w:val="24"/>
                <w:color w:val="auto"/>
              </w:rPr>
            </w:pPr>
          </w:p>
        </w:tc>
        <w:tc>
          <w:tcPr>
            <w:tcW w:w="120" w:type="dxa"/>
            <w:vAlign w:val="bottom"/>
            <w:tcBorders>
              <w:bottom w:val="single" w:sz="8" w:color="auto"/>
            </w:tcBorders>
            <w:shd w:val="clear" w:color="auto" w:fill="CCEEFF"/>
          </w:tcPr>
          <w:p>
            <w:pPr>
              <w:spacing w:after="0"/>
              <w:rPr>
                <w:sz w:val="24"/>
                <w:szCs w:val="24"/>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2.32 %</w:t>
            </w:r>
          </w:p>
        </w:tc>
        <w:tc>
          <w:tcPr>
            <w:tcW w:w="120" w:type="dxa"/>
            <w:vAlign w:val="bottom"/>
            <w:shd w:val="clear" w:color="auto" w:fill="CCEEFF"/>
          </w:tcPr>
          <w:p>
            <w:pPr>
              <w:spacing w:after="0"/>
              <w:rPr>
                <w:sz w:val="24"/>
                <w:szCs w:val="24"/>
                <w:color w:val="auto"/>
              </w:rPr>
            </w:pPr>
          </w:p>
        </w:tc>
        <w:tc>
          <w:tcPr>
            <w:tcW w:w="100" w:type="dxa"/>
            <w:vAlign w:val="bottom"/>
            <w:tcBorders>
              <w:bottom w:val="single" w:sz="8" w:color="auto"/>
            </w:tcBorders>
            <w:shd w:val="clear" w:color="auto" w:fill="CCEEFF"/>
          </w:tcPr>
          <w:p>
            <w:pPr>
              <w:spacing w:after="0"/>
              <w:rPr>
                <w:sz w:val="24"/>
                <w:szCs w:val="24"/>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2.05 %</w:t>
            </w:r>
          </w:p>
        </w:tc>
        <w:tc>
          <w:tcPr>
            <w:tcW w:w="120" w:type="dxa"/>
            <w:vAlign w:val="bottom"/>
            <w:shd w:val="clear" w:color="auto" w:fill="CCEEFF"/>
          </w:tcPr>
          <w:p>
            <w:pPr>
              <w:spacing w:after="0"/>
              <w:rPr>
                <w:sz w:val="24"/>
                <w:szCs w:val="24"/>
                <w:color w:val="auto"/>
              </w:rPr>
            </w:pPr>
          </w:p>
        </w:tc>
        <w:tc>
          <w:tcPr>
            <w:tcW w:w="140" w:type="dxa"/>
            <w:vAlign w:val="bottom"/>
            <w:tcBorders>
              <w:bottom w:val="single" w:sz="8" w:color="auto"/>
            </w:tcBorders>
            <w:shd w:val="clear" w:color="auto" w:fill="CCEEFF"/>
          </w:tcPr>
          <w:p>
            <w:pPr>
              <w:spacing w:after="0"/>
              <w:rPr>
                <w:sz w:val="24"/>
                <w:szCs w:val="24"/>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1.75 %</w:t>
            </w:r>
          </w:p>
        </w:tc>
        <w:tc>
          <w:tcPr>
            <w:tcW w:w="0" w:type="dxa"/>
            <w:vAlign w:val="bottom"/>
          </w:tcPr>
          <w:p>
            <w:pPr>
              <w:spacing w:after="0"/>
              <w:rPr>
                <w:sz w:val="1"/>
                <w:szCs w:val="1"/>
                <w:color w:val="auto"/>
              </w:rPr>
            </w:pPr>
          </w:p>
        </w:tc>
      </w:tr>
      <w:tr>
        <w:trPr>
          <w:trHeight w:val="137"/>
        </w:trPr>
        <w:tc>
          <w:tcPr>
            <w:tcW w:w="4100" w:type="dxa"/>
            <w:vAlign w:val="bottom"/>
          </w:tcPr>
          <w:p>
            <w:pPr>
              <w:ind w:left="260"/>
              <w:spacing w:after="0" w:line="137" w:lineRule="exact"/>
              <w:rPr>
                <w:sz w:val="20"/>
                <w:szCs w:val="20"/>
                <w:color w:val="auto"/>
              </w:rPr>
            </w:pPr>
            <w:r>
              <w:rPr>
                <w:rFonts w:ascii="Arial" w:cs="Arial" w:eastAsia="Arial" w:hAnsi="Arial"/>
                <w:sz w:val="14"/>
                <w:szCs w:val="14"/>
                <w:color w:val="auto"/>
                <w:w w:val="93"/>
              </w:rPr>
              <w:t>Average cost of funds, before interest rate swap periodic (income)</w:t>
            </w:r>
          </w:p>
        </w:tc>
        <w:tc>
          <w:tcPr>
            <w:tcW w:w="1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4100" w:type="dxa"/>
            <w:vAlign w:val="bottom"/>
          </w:tcPr>
          <w:p>
            <w:pPr>
              <w:ind w:left="260"/>
              <w:spacing w:after="0"/>
              <w:rPr>
                <w:sz w:val="20"/>
                <w:szCs w:val="20"/>
                <w:color w:val="auto"/>
              </w:rPr>
            </w:pPr>
            <w:r>
              <w:rPr>
                <w:rFonts w:ascii="Arial" w:cs="Arial" w:eastAsia="Arial" w:hAnsi="Arial"/>
                <w:sz w:val="14"/>
                <w:szCs w:val="14"/>
                <w:color w:val="auto"/>
              </w:rPr>
              <w:t xml:space="preserve">cost </w:t>
            </w:r>
            <w:r>
              <w:rPr>
                <w:rFonts w:ascii="Arial" w:cs="Arial" w:eastAsia="Arial" w:hAnsi="Arial"/>
                <w:sz w:val="8"/>
                <w:szCs w:val="8"/>
                <w:color w:val="auto"/>
              </w:rPr>
              <w:t>8</w:t>
            </w:r>
          </w:p>
        </w:tc>
        <w:tc>
          <w:tcPr>
            <w:tcW w:w="14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2.60 %</w:t>
            </w: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2.64 %</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2.41 %</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2.18 %</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1.92 %</w:t>
            </w:r>
          </w:p>
        </w:tc>
        <w:tc>
          <w:tcPr>
            <w:tcW w:w="0" w:type="dxa"/>
            <w:vAlign w:val="bottom"/>
          </w:tcPr>
          <w:p>
            <w:pPr>
              <w:spacing w:after="0"/>
              <w:rPr>
                <w:sz w:val="1"/>
                <w:szCs w:val="1"/>
                <w:color w:val="auto"/>
              </w:rPr>
            </w:pPr>
          </w:p>
        </w:tc>
      </w:tr>
      <w:tr>
        <w:trPr>
          <w:trHeight w:val="270"/>
        </w:trPr>
        <w:tc>
          <w:tcPr>
            <w:tcW w:w="4100" w:type="dxa"/>
            <w:vAlign w:val="bottom"/>
            <w:shd w:val="clear" w:color="auto" w:fill="CCEEFF"/>
          </w:tcPr>
          <w:p>
            <w:pPr>
              <w:ind w:left="260"/>
              <w:spacing w:after="0"/>
              <w:rPr>
                <w:sz w:val="20"/>
                <w:szCs w:val="20"/>
                <w:color w:val="auto"/>
              </w:rPr>
            </w:pPr>
            <w:r>
              <w:rPr>
                <w:rFonts w:ascii="Arial" w:cs="Arial" w:eastAsia="Arial" w:hAnsi="Arial"/>
                <w:sz w:val="14"/>
                <w:szCs w:val="14"/>
                <w:color w:val="auto"/>
              </w:rPr>
              <w:t xml:space="preserve">Interest rate swap periodic (income) cost of funds </w:t>
            </w:r>
            <w:r>
              <w:rPr>
                <w:rFonts w:ascii="Arial" w:cs="Arial" w:eastAsia="Arial" w:hAnsi="Arial"/>
                <w:sz w:val="8"/>
                <w:szCs w:val="8"/>
                <w:color w:val="auto"/>
              </w:rPr>
              <w:t>10</w:t>
            </w:r>
          </w:p>
        </w:tc>
        <w:tc>
          <w:tcPr>
            <w:tcW w:w="1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(0.36)%</w:t>
            </w:r>
          </w:p>
        </w:tc>
        <w:tc>
          <w:tcPr>
            <w:tcW w:w="12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(0.37)%</w:t>
            </w: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(0.32)%</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(0.30)%</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(0.25)%</w:t>
            </w:r>
          </w:p>
        </w:tc>
        <w:tc>
          <w:tcPr>
            <w:tcW w:w="0" w:type="dxa"/>
            <w:vAlign w:val="bottom"/>
          </w:tcPr>
          <w:p>
            <w:pPr>
              <w:spacing w:after="0"/>
              <w:rPr>
                <w:sz w:val="1"/>
                <w:szCs w:val="1"/>
                <w:color w:val="auto"/>
              </w:rPr>
            </w:pPr>
          </w:p>
        </w:tc>
      </w:tr>
      <w:tr>
        <w:trPr>
          <w:trHeight w:val="250"/>
        </w:trPr>
        <w:tc>
          <w:tcPr>
            <w:tcW w:w="410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Average total cost of funds</w:t>
            </w:r>
          </w:p>
        </w:tc>
        <w:tc>
          <w:tcPr>
            <w:tcW w:w="14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2.24 %</w:t>
            </w:r>
          </w:p>
        </w:tc>
        <w:tc>
          <w:tcPr>
            <w:tcW w:w="12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2.27 %</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2.09 %</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1.88 %</w:t>
            </w:r>
          </w:p>
        </w:tc>
        <w:tc>
          <w:tcPr>
            <w:tcW w:w="12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1.67 %</w:t>
            </w:r>
          </w:p>
        </w:tc>
        <w:tc>
          <w:tcPr>
            <w:tcW w:w="0" w:type="dxa"/>
            <w:vAlign w:val="bottom"/>
          </w:tcPr>
          <w:p>
            <w:pPr>
              <w:spacing w:after="0"/>
              <w:rPr>
                <w:sz w:val="1"/>
                <w:szCs w:val="1"/>
                <w:color w:val="auto"/>
              </w:rPr>
            </w:pPr>
          </w:p>
        </w:tc>
      </w:tr>
      <w:tr>
        <w:trPr>
          <w:trHeight w:val="143"/>
        </w:trPr>
        <w:tc>
          <w:tcPr>
            <w:tcW w:w="4100" w:type="dxa"/>
            <w:vAlign w:val="bottom"/>
            <w:shd w:val="clear" w:color="auto" w:fill="CCEEFF"/>
          </w:tcPr>
          <w:p>
            <w:pPr>
              <w:ind w:left="160"/>
              <w:spacing w:after="0" w:line="143" w:lineRule="exact"/>
              <w:rPr>
                <w:sz w:val="20"/>
                <w:szCs w:val="20"/>
                <w:color w:val="auto"/>
              </w:rPr>
            </w:pPr>
            <w:r>
              <w:rPr>
                <w:rFonts w:ascii="Arial" w:cs="Arial" w:eastAsia="Arial" w:hAnsi="Arial"/>
                <w:sz w:val="14"/>
                <w:szCs w:val="14"/>
                <w:color w:val="auto"/>
              </w:rPr>
              <w:t>Average net interest spread, excluding "catch-up" premium</w:t>
            </w:r>
          </w:p>
        </w:tc>
        <w:tc>
          <w:tcPr>
            <w:tcW w:w="140" w:type="dxa"/>
            <w:vAlign w:val="bottom"/>
            <w:shd w:val="clear" w:color="auto" w:fill="CCEEFF"/>
          </w:tcPr>
          <w:p>
            <w:pPr>
              <w:spacing w:after="0"/>
              <w:rPr>
                <w:sz w:val="12"/>
                <w:szCs w:val="12"/>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1.00 %</w:t>
            </w:r>
          </w:p>
        </w:tc>
        <w:tc>
          <w:tcPr>
            <w:tcW w:w="1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1.06 %</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1.17 %</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1.30 %</w:t>
            </w: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1.35 %</w:t>
            </w:r>
          </w:p>
        </w:tc>
        <w:tc>
          <w:tcPr>
            <w:tcW w:w="0" w:type="dxa"/>
            <w:vAlign w:val="bottom"/>
          </w:tcPr>
          <w:p>
            <w:pPr>
              <w:spacing w:after="0"/>
              <w:rPr>
                <w:sz w:val="1"/>
                <w:szCs w:val="1"/>
                <w:color w:val="auto"/>
              </w:rPr>
            </w:pPr>
          </w:p>
        </w:tc>
      </w:tr>
      <w:tr>
        <w:trPr>
          <w:trHeight w:val="181"/>
        </w:trPr>
        <w:tc>
          <w:tcPr>
            <w:tcW w:w="41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4"/>
                <w:szCs w:val="14"/>
                <w:color w:val="auto"/>
              </w:rPr>
              <w:t>amortization</w:t>
            </w:r>
          </w:p>
        </w:tc>
        <w:tc>
          <w:tcPr>
            <w:tcW w:w="140" w:type="dxa"/>
            <w:vAlign w:val="bottom"/>
            <w:tcBorders>
              <w:bottom w:val="single" w:sz="8" w:color="auto"/>
            </w:tcBorders>
            <w:shd w:val="clear" w:color="auto" w:fill="CCEEFF"/>
          </w:tcPr>
          <w:p>
            <w:pPr>
              <w:spacing w:after="0"/>
              <w:rPr>
                <w:sz w:val="15"/>
                <w:szCs w:val="15"/>
                <w:color w:val="auto"/>
              </w:rPr>
            </w:pPr>
          </w:p>
        </w:tc>
        <w:tc>
          <w:tcPr>
            <w:tcW w:w="80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260" w:type="dxa"/>
            <w:vAlign w:val="bottom"/>
            <w:tcBorders>
              <w:bottom w:val="single" w:sz="8" w:color="auto"/>
            </w:tcBorders>
            <w:shd w:val="clear" w:color="auto" w:fill="CCEEFF"/>
          </w:tcPr>
          <w:p>
            <w:pPr>
              <w:spacing w:after="0"/>
              <w:rPr>
                <w:sz w:val="15"/>
                <w:szCs w:val="15"/>
                <w:color w:val="auto"/>
              </w:rPr>
            </w:pPr>
          </w:p>
        </w:tc>
        <w:tc>
          <w:tcPr>
            <w:tcW w:w="68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auto"/>
            </w:tcBorders>
            <w:shd w:val="clear" w:color="auto" w:fill="CCEEFF"/>
          </w:tcPr>
          <w:p>
            <w:pPr>
              <w:spacing w:after="0"/>
              <w:rPr>
                <w:sz w:val="15"/>
                <w:szCs w:val="15"/>
                <w:color w:val="auto"/>
              </w:rPr>
            </w:pPr>
          </w:p>
        </w:tc>
        <w:tc>
          <w:tcPr>
            <w:tcW w:w="82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84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80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4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0219"/>
          </w:cols>
          <w:pgMar w:left="240" w:top="147" w:right="1440" w:bottom="1440" w:gutter="0" w:footer="0" w:header="0"/>
        </w:sectPr>
      </w:pPr>
    </w:p>
    <w:bookmarkStart w:id="14" w:name="page15"/>
    <w:bookmarkEnd w:id="14"/>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24,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12</w:t>
      </w:r>
    </w:p>
    <w:p>
      <w:pPr>
        <w:spacing w:after="0" w:line="383" w:lineRule="exact"/>
        <w:rPr>
          <w:sz w:val="20"/>
          <w:szCs w:val="20"/>
          <w:color w:val="auto"/>
        </w:rPr>
      </w:pPr>
    </w:p>
    <w:p>
      <w:pPr>
        <w:jc w:val="center"/>
        <w:ind w:right="959"/>
        <w:spacing w:after="0"/>
        <w:rPr>
          <w:sz w:val="20"/>
          <w:szCs w:val="20"/>
          <w:color w:val="auto"/>
        </w:rPr>
      </w:pPr>
      <w:r>
        <w:rPr>
          <w:rFonts w:ascii="Arial" w:cs="Arial" w:eastAsia="Arial" w:hAnsi="Arial"/>
          <w:sz w:val="14"/>
          <w:szCs w:val="14"/>
          <w:color w:val="auto"/>
        </w:rPr>
        <w:t>AGNC INVESTMENT CORP.</w:t>
      </w:r>
    </w:p>
    <w:p>
      <w:pPr>
        <w:spacing w:after="0" w:line="42" w:lineRule="exact"/>
        <w:rPr>
          <w:sz w:val="20"/>
          <w:szCs w:val="20"/>
          <w:color w:val="auto"/>
        </w:rPr>
      </w:pPr>
    </w:p>
    <w:p>
      <w:pPr>
        <w:jc w:val="center"/>
        <w:ind w:right="959"/>
        <w:spacing w:after="0"/>
        <w:rPr>
          <w:sz w:val="20"/>
          <w:szCs w:val="20"/>
          <w:color w:val="auto"/>
        </w:rPr>
      </w:pPr>
      <w:r>
        <w:rPr>
          <w:rFonts w:ascii="Arial" w:cs="Arial" w:eastAsia="Arial" w:hAnsi="Arial"/>
          <w:sz w:val="14"/>
          <w:szCs w:val="14"/>
          <w:color w:val="auto"/>
        </w:rPr>
        <w:t>KEY STATISTICS*</w:t>
      </w:r>
    </w:p>
    <w:p>
      <w:pPr>
        <w:spacing w:after="0" w:line="42" w:lineRule="exact"/>
        <w:rPr>
          <w:sz w:val="20"/>
          <w:szCs w:val="20"/>
          <w:color w:val="auto"/>
        </w:rPr>
      </w:pPr>
    </w:p>
    <w:p>
      <w:pPr>
        <w:jc w:val="center"/>
        <w:ind w:right="959"/>
        <w:spacing w:after="0"/>
        <w:rPr>
          <w:sz w:val="20"/>
          <w:szCs w:val="20"/>
          <w:color w:val="auto"/>
        </w:rPr>
      </w:pPr>
      <w:r>
        <w:rPr>
          <w:rFonts w:ascii="Arial" w:cs="Arial" w:eastAsia="Arial" w:hAnsi="Arial"/>
          <w:sz w:val="14"/>
          <w:szCs w:val="14"/>
          <w:color w:val="auto"/>
        </w:rPr>
        <w:t>(in millions, except per share data)</w:t>
      </w:r>
    </w:p>
    <w:p>
      <w:pPr>
        <w:spacing w:after="0" w:line="42" w:lineRule="exact"/>
        <w:rPr>
          <w:sz w:val="20"/>
          <w:szCs w:val="20"/>
          <w:color w:val="auto"/>
        </w:rPr>
      </w:pPr>
    </w:p>
    <w:p>
      <w:pPr>
        <w:jc w:val="center"/>
        <w:ind w:right="959"/>
        <w:spacing w:after="0"/>
        <w:rPr>
          <w:sz w:val="20"/>
          <w:szCs w:val="20"/>
          <w:color w:val="auto"/>
        </w:rPr>
      </w:pPr>
      <w:r>
        <w:rPr>
          <w:rFonts w:ascii="Arial" w:cs="Arial" w:eastAsia="Arial" w:hAnsi="Arial"/>
          <w:sz w:val="14"/>
          <w:szCs w:val="14"/>
          <w:color w:val="auto"/>
        </w:rPr>
        <w:t>(unaudited)</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384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color w:val="auto"/>
                <w:w w:val="96"/>
              </w:rPr>
              <w:t>Three Months Ended</w:t>
            </w:r>
          </w:p>
        </w:tc>
        <w:tc>
          <w:tcPr>
            <w:tcW w:w="9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6"/>
        </w:trPr>
        <w:tc>
          <w:tcPr>
            <w:tcW w:w="38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Key Balance Sheet Statistics:</w:t>
            </w: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20" w:type="dxa"/>
            <w:vAlign w:val="bottom"/>
            <w:gridSpan w:val="2"/>
          </w:tcPr>
          <w:p>
            <w:pPr>
              <w:spacing w:after="0" w:line="157" w:lineRule="exact"/>
              <w:rPr>
                <w:sz w:val="20"/>
                <w:szCs w:val="20"/>
                <w:color w:val="auto"/>
              </w:rPr>
            </w:pPr>
            <w:r>
              <w:rPr>
                <w:rFonts w:ascii="Arial" w:cs="Arial" w:eastAsia="Arial" w:hAnsi="Arial"/>
                <w:sz w:val="14"/>
                <w:szCs w:val="14"/>
                <w:color w:val="auto"/>
              </w:rPr>
              <w:t>December 31,</w:t>
            </w:r>
          </w:p>
        </w:tc>
        <w:tc>
          <w:tcPr>
            <w:tcW w:w="100" w:type="dxa"/>
            <w:vAlign w:val="bottom"/>
          </w:tcPr>
          <w:p>
            <w:pPr>
              <w:spacing w:after="0"/>
              <w:rPr>
                <w:sz w:val="13"/>
                <w:szCs w:val="13"/>
                <w:color w:val="auto"/>
              </w:rPr>
            </w:pPr>
          </w:p>
        </w:tc>
        <w:tc>
          <w:tcPr>
            <w:tcW w:w="1040" w:type="dxa"/>
            <w:vAlign w:val="bottom"/>
            <w:gridSpan w:val="2"/>
          </w:tcPr>
          <w:p>
            <w:pPr>
              <w:spacing w:after="0" w:line="157" w:lineRule="exact"/>
              <w:rPr>
                <w:sz w:val="20"/>
                <w:szCs w:val="20"/>
                <w:color w:val="auto"/>
              </w:rPr>
            </w:pPr>
            <w:r>
              <w:rPr>
                <w:rFonts w:ascii="Arial" w:cs="Arial" w:eastAsia="Arial" w:hAnsi="Arial"/>
                <w:sz w:val="14"/>
                <w:szCs w:val="14"/>
                <w:color w:val="auto"/>
              </w:rPr>
              <w:t>September 30,</w:t>
            </w:r>
          </w:p>
        </w:tc>
        <w:tc>
          <w:tcPr>
            <w:tcW w:w="220" w:type="dxa"/>
            <w:vAlign w:val="bottom"/>
          </w:tcPr>
          <w:p>
            <w:pPr>
              <w:spacing w:after="0"/>
              <w:rPr>
                <w:sz w:val="13"/>
                <w:szCs w:val="13"/>
                <w:color w:val="auto"/>
              </w:rPr>
            </w:pPr>
          </w:p>
        </w:tc>
        <w:tc>
          <w:tcPr>
            <w:tcW w:w="760" w:type="dxa"/>
            <w:vAlign w:val="bottom"/>
          </w:tcPr>
          <w:p>
            <w:pPr>
              <w:jc w:val="right"/>
              <w:ind w:right="88"/>
              <w:spacing w:after="0" w:line="157" w:lineRule="exact"/>
              <w:rPr>
                <w:sz w:val="20"/>
                <w:szCs w:val="20"/>
                <w:color w:val="auto"/>
              </w:rPr>
            </w:pPr>
            <w:r>
              <w:rPr>
                <w:rFonts w:ascii="Arial" w:cs="Arial" w:eastAsia="Arial" w:hAnsi="Arial"/>
                <w:sz w:val="14"/>
                <w:szCs w:val="14"/>
                <w:color w:val="auto"/>
              </w:rPr>
              <w:t>June 30,</w:t>
            </w:r>
          </w:p>
        </w:tc>
        <w:tc>
          <w:tcPr>
            <w:tcW w:w="0" w:type="dxa"/>
            <w:vAlign w:val="bottom"/>
          </w:tcPr>
          <w:p>
            <w:pPr>
              <w:spacing w:after="0"/>
              <w:rPr>
                <w:sz w:val="1"/>
                <w:szCs w:val="1"/>
                <w:color w:val="auto"/>
              </w:rPr>
            </w:pPr>
          </w:p>
        </w:tc>
      </w:tr>
      <w:tr>
        <w:trPr>
          <w:trHeight w:val="188"/>
        </w:trPr>
        <w:tc>
          <w:tcPr>
            <w:tcW w:w="3840" w:type="dxa"/>
            <w:vAlign w:val="bottom"/>
            <w:vMerge w:val="continue"/>
          </w:tcPr>
          <w:p>
            <w:pPr>
              <w:spacing w:after="0"/>
              <w:rPr>
                <w:sz w:val="16"/>
                <w:szCs w:val="16"/>
                <w:color w:val="auto"/>
              </w:rPr>
            </w:pPr>
          </w:p>
        </w:tc>
        <w:tc>
          <w:tcPr>
            <w:tcW w:w="1060" w:type="dxa"/>
            <w:vAlign w:val="bottom"/>
            <w:gridSpan w:val="3"/>
          </w:tcPr>
          <w:p>
            <w:pPr>
              <w:ind w:left="60"/>
              <w:spacing w:after="0"/>
              <w:rPr>
                <w:sz w:val="20"/>
                <w:szCs w:val="20"/>
                <w:color w:val="auto"/>
              </w:rPr>
            </w:pPr>
            <w:r>
              <w:rPr>
                <w:rFonts w:ascii="Arial" w:cs="Arial" w:eastAsia="Arial" w:hAnsi="Arial"/>
                <w:sz w:val="14"/>
                <w:szCs w:val="14"/>
                <w:color w:val="auto"/>
              </w:rPr>
              <w:t>June 30, 2019</w:t>
            </w:r>
          </w:p>
        </w:tc>
        <w:tc>
          <w:tcPr>
            <w:tcW w:w="980" w:type="dxa"/>
            <w:vAlign w:val="bottom"/>
            <w:gridSpan w:val="2"/>
          </w:tcPr>
          <w:p>
            <w:pPr>
              <w:ind w:left="40"/>
              <w:spacing w:after="0"/>
              <w:rPr>
                <w:sz w:val="20"/>
                <w:szCs w:val="20"/>
                <w:color w:val="auto"/>
              </w:rPr>
            </w:pPr>
            <w:r>
              <w:rPr>
                <w:rFonts w:ascii="Arial" w:cs="Arial" w:eastAsia="Arial" w:hAnsi="Arial"/>
                <w:sz w:val="14"/>
                <w:szCs w:val="14"/>
                <w:color w:val="auto"/>
                <w:w w:val="94"/>
              </w:rPr>
              <w:t>March 31, 2019</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jc w:val="right"/>
              <w:ind w:right="288"/>
              <w:spacing w:after="0"/>
              <w:rPr>
                <w:sz w:val="20"/>
                <w:szCs w:val="20"/>
                <w:color w:val="auto"/>
              </w:rPr>
            </w:pPr>
            <w:r>
              <w:rPr>
                <w:rFonts w:ascii="Arial" w:cs="Arial" w:eastAsia="Arial" w:hAnsi="Arial"/>
                <w:sz w:val="14"/>
                <w:szCs w:val="14"/>
                <w:color w:val="auto"/>
              </w:rPr>
              <w:t>2018</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40" w:type="dxa"/>
            <w:vAlign w:val="bottom"/>
          </w:tcPr>
          <w:p>
            <w:pPr>
              <w:jc w:val="right"/>
              <w:ind w:right="308"/>
              <w:spacing w:after="0"/>
              <w:rPr>
                <w:sz w:val="20"/>
                <w:szCs w:val="20"/>
                <w:color w:val="auto"/>
              </w:rPr>
            </w:pPr>
            <w:r>
              <w:rPr>
                <w:rFonts w:ascii="Arial" w:cs="Arial" w:eastAsia="Arial" w:hAnsi="Arial"/>
                <w:sz w:val="14"/>
                <w:szCs w:val="14"/>
                <w:color w:val="auto"/>
              </w:rPr>
              <w:t>2018</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ind w:right="188"/>
              <w:spacing w:after="0"/>
              <w:rPr>
                <w:sz w:val="20"/>
                <w:szCs w:val="20"/>
                <w:color w:val="auto"/>
              </w:rPr>
            </w:pPr>
            <w:r>
              <w:rPr>
                <w:rFonts w:ascii="Arial" w:cs="Arial" w:eastAsia="Arial" w:hAnsi="Arial"/>
                <w:sz w:val="14"/>
                <w:szCs w:val="14"/>
                <w:color w:val="auto"/>
              </w:rPr>
              <w:t>2018</w:t>
            </w:r>
          </w:p>
        </w:tc>
        <w:tc>
          <w:tcPr>
            <w:tcW w:w="0" w:type="dxa"/>
            <w:vAlign w:val="bottom"/>
          </w:tcPr>
          <w:p>
            <w:pPr>
              <w:spacing w:after="0"/>
              <w:rPr>
                <w:sz w:val="1"/>
                <w:szCs w:val="1"/>
                <w:color w:val="auto"/>
              </w:rPr>
            </w:pPr>
          </w:p>
        </w:tc>
      </w:tr>
      <w:tr>
        <w:trPr>
          <w:trHeight w:val="270"/>
        </w:trPr>
        <w:tc>
          <w:tcPr>
            <w:tcW w:w="384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 xml:space="preserve">Investment securities: </w:t>
            </w:r>
            <w:r>
              <w:rPr>
                <w:rFonts w:ascii="Arial" w:cs="Arial" w:eastAsia="Arial" w:hAnsi="Arial"/>
                <w:sz w:val="8"/>
                <w:szCs w:val="8"/>
                <w:color w:val="auto"/>
              </w:rPr>
              <w:t>12</w:t>
            </w:r>
          </w:p>
        </w:tc>
        <w:tc>
          <w:tcPr>
            <w:tcW w:w="180" w:type="dxa"/>
            <w:vAlign w:val="bottom"/>
            <w:tcBorders>
              <w:top w:val="single" w:sz="8" w:color="auto"/>
            </w:tcBorders>
            <w:shd w:val="clear" w:color="auto" w:fill="CCEEFF"/>
          </w:tcPr>
          <w:p>
            <w:pPr>
              <w:spacing w:after="0"/>
              <w:rPr>
                <w:sz w:val="23"/>
                <w:szCs w:val="23"/>
                <w:color w:val="auto"/>
              </w:rPr>
            </w:pPr>
          </w:p>
        </w:tc>
        <w:tc>
          <w:tcPr>
            <w:tcW w:w="7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220" w:type="dxa"/>
            <w:vAlign w:val="bottom"/>
            <w:tcBorders>
              <w:top w:val="single" w:sz="8" w:color="auto"/>
            </w:tcBorders>
            <w:shd w:val="clear" w:color="auto" w:fill="CCEEFF"/>
          </w:tcPr>
          <w:p>
            <w:pPr>
              <w:spacing w:after="0"/>
              <w:rPr>
                <w:sz w:val="23"/>
                <w:szCs w:val="23"/>
                <w:color w:val="auto"/>
              </w:rPr>
            </w:pPr>
          </w:p>
        </w:tc>
        <w:tc>
          <w:tcPr>
            <w:tcW w:w="7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90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94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220" w:type="dxa"/>
            <w:vAlign w:val="bottom"/>
            <w:tcBorders>
              <w:top w:val="single" w:sz="8" w:color="auto"/>
            </w:tcBorders>
            <w:shd w:val="clear" w:color="auto" w:fill="CCEEFF"/>
          </w:tcPr>
          <w:p>
            <w:pPr>
              <w:spacing w:after="0"/>
              <w:rPr>
                <w:sz w:val="23"/>
                <w:szCs w:val="23"/>
                <w:color w:val="auto"/>
              </w:rPr>
            </w:pPr>
          </w:p>
        </w:tc>
        <w:tc>
          <w:tcPr>
            <w:tcW w:w="760" w:type="dxa"/>
            <w:vAlign w:val="bottom"/>
            <w:tcBorders>
              <w:top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840" w:type="dxa"/>
            <w:vAlign w:val="bottom"/>
          </w:tcPr>
          <w:p>
            <w:pPr>
              <w:ind w:left="200"/>
              <w:spacing w:after="0"/>
              <w:rPr>
                <w:sz w:val="20"/>
                <w:szCs w:val="20"/>
                <w:color w:val="auto"/>
              </w:rPr>
            </w:pPr>
            <w:r>
              <w:rPr>
                <w:rFonts w:ascii="Arial" w:cs="Arial" w:eastAsia="Arial" w:hAnsi="Arial"/>
                <w:sz w:val="14"/>
                <w:szCs w:val="14"/>
                <w:color w:val="auto"/>
              </w:rPr>
              <w:t>Fixed-rate Agency MBS, at fair value - as of period end</w:t>
            </w: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90,627</w:t>
            </w:r>
          </w:p>
        </w:tc>
        <w:tc>
          <w:tcPr>
            <w:tcW w:w="120" w:type="dxa"/>
            <w:vAlign w:val="bottom"/>
          </w:tcPr>
          <w:p>
            <w:pPr>
              <w:spacing w:after="0"/>
              <w:rPr>
                <w:sz w:val="22"/>
                <w:szCs w:val="22"/>
                <w:color w:val="auto"/>
              </w:rPr>
            </w:pPr>
          </w:p>
        </w:tc>
        <w:tc>
          <w:tcPr>
            <w:tcW w:w="220" w:type="dxa"/>
            <w:vAlign w:val="bottom"/>
          </w:tcPr>
          <w:p>
            <w:pPr>
              <w:ind w:left="2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92,502</w:t>
            </w:r>
          </w:p>
        </w:tc>
        <w:tc>
          <w:tcPr>
            <w:tcW w:w="2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28"/>
              <w:spacing w:after="0"/>
              <w:rPr>
                <w:sz w:val="20"/>
                <w:szCs w:val="20"/>
                <w:color w:val="auto"/>
              </w:rPr>
            </w:pPr>
            <w:r>
              <w:rPr>
                <w:rFonts w:ascii="Arial" w:cs="Arial" w:eastAsia="Arial" w:hAnsi="Arial"/>
                <w:sz w:val="14"/>
                <w:szCs w:val="14"/>
                <w:color w:val="auto"/>
              </w:rPr>
              <w:t>81,753</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48"/>
              <w:spacing w:after="0"/>
              <w:rPr>
                <w:sz w:val="20"/>
                <w:szCs w:val="20"/>
                <w:color w:val="auto"/>
              </w:rPr>
            </w:pPr>
            <w:r>
              <w:rPr>
                <w:rFonts w:ascii="Arial" w:cs="Arial" w:eastAsia="Arial" w:hAnsi="Arial"/>
                <w:sz w:val="14"/>
                <w:szCs w:val="14"/>
                <w:color w:val="auto"/>
              </w:rPr>
              <w:t>69,844</w:t>
            </w:r>
          </w:p>
        </w:tc>
        <w:tc>
          <w:tcPr>
            <w:tcW w:w="10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55,119</w:t>
            </w:r>
          </w:p>
        </w:tc>
        <w:tc>
          <w:tcPr>
            <w:tcW w:w="0" w:type="dxa"/>
            <w:vAlign w:val="bottom"/>
          </w:tcPr>
          <w:p>
            <w:pPr>
              <w:spacing w:after="0"/>
              <w:rPr>
                <w:sz w:val="1"/>
                <w:szCs w:val="1"/>
                <w:color w:val="auto"/>
              </w:rPr>
            </w:pPr>
          </w:p>
        </w:tc>
      </w:tr>
      <w:tr>
        <w:trPr>
          <w:trHeight w:val="276"/>
        </w:trPr>
        <w:tc>
          <w:tcPr>
            <w:tcW w:w="38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Other Agency MBS, at fair value - as of period end</w:t>
            </w: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924</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967</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974</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1,017</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992</w:t>
            </w:r>
          </w:p>
        </w:tc>
        <w:tc>
          <w:tcPr>
            <w:tcW w:w="0" w:type="dxa"/>
            <w:vAlign w:val="bottom"/>
          </w:tcPr>
          <w:p>
            <w:pPr>
              <w:spacing w:after="0"/>
              <w:rPr>
                <w:sz w:val="1"/>
                <w:szCs w:val="1"/>
                <w:color w:val="auto"/>
              </w:rPr>
            </w:pPr>
          </w:p>
        </w:tc>
      </w:tr>
      <w:tr>
        <w:trPr>
          <w:trHeight w:val="264"/>
        </w:trPr>
        <w:tc>
          <w:tcPr>
            <w:tcW w:w="3840" w:type="dxa"/>
            <w:vAlign w:val="bottom"/>
          </w:tcPr>
          <w:p>
            <w:pPr>
              <w:ind w:left="200"/>
              <w:spacing w:after="0"/>
              <w:rPr>
                <w:sz w:val="20"/>
                <w:szCs w:val="20"/>
                <w:color w:val="auto"/>
              </w:rPr>
            </w:pPr>
            <w:r>
              <w:rPr>
                <w:rFonts w:ascii="Arial" w:cs="Arial" w:eastAsia="Arial" w:hAnsi="Arial"/>
                <w:sz w:val="14"/>
                <w:szCs w:val="14"/>
                <w:color w:val="auto"/>
                <w:w w:val="97"/>
              </w:rPr>
              <w:t>Credit risk transfer securities, at fair value - as of period end</w:t>
            </w: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1,117</w:t>
            </w:r>
          </w:p>
        </w:tc>
        <w:tc>
          <w:tcPr>
            <w:tcW w:w="120" w:type="dxa"/>
            <w:vAlign w:val="bottom"/>
          </w:tcPr>
          <w:p>
            <w:pPr>
              <w:spacing w:after="0"/>
              <w:rPr>
                <w:sz w:val="22"/>
                <w:szCs w:val="22"/>
                <w:color w:val="auto"/>
              </w:rPr>
            </w:pPr>
          </w:p>
        </w:tc>
        <w:tc>
          <w:tcPr>
            <w:tcW w:w="220" w:type="dxa"/>
            <w:vAlign w:val="bottom"/>
          </w:tcPr>
          <w:p>
            <w:pPr>
              <w:ind w:left="2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1,129</w:t>
            </w:r>
          </w:p>
        </w:tc>
        <w:tc>
          <w:tcPr>
            <w:tcW w:w="2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28"/>
              <w:spacing w:after="0"/>
              <w:rPr>
                <w:sz w:val="20"/>
                <w:szCs w:val="20"/>
                <w:color w:val="auto"/>
              </w:rPr>
            </w:pPr>
            <w:r>
              <w:rPr>
                <w:rFonts w:ascii="Arial" w:cs="Arial" w:eastAsia="Arial" w:hAnsi="Arial"/>
                <w:sz w:val="14"/>
                <w:szCs w:val="14"/>
                <w:color w:val="auto"/>
              </w:rPr>
              <w:t>1,012</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48"/>
              <w:spacing w:after="0"/>
              <w:rPr>
                <w:sz w:val="20"/>
                <w:szCs w:val="20"/>
                <w:color w:val="auto"/>
              </w:rPr>
            </w:pPr>
            <w:r>
              <w:rPr>
                <w:rFonts w:ascii="Arial" w:cs="Arial" w:eastAsia="Arial" w:hAnsi="Arial"/>
                <w:sz w:val="14"/>
                <w:szCs w:val="14"/>
                <w:color w:val="auto"/>
              </w:rPr>
              <w:t>997</w:t>
            </w:r>
          </w:p>
        </w:tc>
        <w:tc>
          <w:tcPr>
            <w:tcW w:w="10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936</w:t>
            </w:r>
          </w:p>
        </w:tc>
        <w:tc>
          <w:tcPr>
            <w:tcW w:w="0" w:type="dxa"/>
            <w:vAlign w:val="bottom"/>
          </w:tcPr>
          <w:p>
            <w:pPr>
              <w:spacing w:after="0"/>
              <w:rPr>
                <w:sz w:val="1"/>
                <w:szCs w:val="1"/>
                <w:color w:val="auto"/>
              </w:rPr>
            </w:pPr>
          </w:p>
        </w:tc>
      </w:tr>
      <w:tr>
        <w:trPr>
          <w:trHeight w:val="276"/>
        </w:trPr>
        <w:tc>
          <w:tcPr>
            <w:tcW w:w="38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Non-Agency MBS, at fair value - as of period end</w:t>
            </w: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603</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672</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548</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507</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60</w:t>
            </w:r>
          </w:p>
        </w:tc>
        <w:tc>
          <w:tcPr>
            <w:tcW w:w="0" w:type="dxa"/>
            <w:vAlign w:val="bottom"/>
          </w:tcPr>
          <w:p>
            <w:pPr>
              <w:spacing w:after="0"/>
              <w:rPr>
                <w:sz w:val="1"/>
                <w:szCs w:val="1"/>
                <w:color w:val="auto"/>
              </w:rPr>
            </w:pPr>
          </w:p>
        </w:tc>
      </w:tr>
      <w:tr>
        <w:trPr>
          <w:trHeight w:val="264"/>
        </w:trPr>
        <w:tc>
          <w:tcPr>
            <w:tcW w:w="3840" w:type="dxa"/>
            <w:vAlign w:val="bottom"/>
          </w:tcPr>
          <w:p>
            <w:pPr>
              <w:ind w:left="200"/>
              <w:spacing w:after="0"/>
              <w:rPr>
                <w:sz w:val="20"/>
                <w:szCs w:val="20"/>
                <w:color w:val="auto"/>
              </w:rPr>
            </w:pPr>
            <w:r>
              <w:rPr>
                <w:rFonts w:ascii="Arial" w:cs="Arial" w:eastAsia="Arial" w:hAnsi="Arial"/>
                <w:sz w:val="14"/>
                <w:szCs w:val="14"/>
                <w:color w:val="auto"/>
              </w:rPr>
              <w:t>Total investment securities, at fair value - as of period end</w:t>
            </w: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93,271</w:t>
            </w:r>
          </w:p>
        </w:tc>
        <w:tc>
          <w:tcPr>
            <w:tcW w:w="120" w:type="dxa"/>
            <w:vAlign w:val="bottom"/>
          </w:tcPr>
          <w:p>
            <w:pPr>
              <w:spacing w:after="0"/>
              <w:rPr>
                <w:sz w:val="22"/>
                <w:szCs w:val="22"/>
                <w:color w:val="auto"/>
              </w:rPr>
            </w:pPr>
          </w:p>
        </w:tc>
        <w:tc>
          <w:tcPr>
            <w:tcW w:w="220" w:type="dxa"/>
            <w:vAlign w:val="bottom"/>
          </w:tcPr>
          <w:p>
            <w:pPr>
              <w:ind w:left="2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95,270</w:t>
            </w:r>
          </w:p>
        </w:tc>
        <w:tc>
          <w:tcPr>
            <w:tcW w:w="2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28"/>
              <w:spacing w:after="0"/>
              <w:rPr>
                <w:sz w:val="20"/>
                <w:szCs w:val="20"/>
                <w:color w:val="auto"/>
              </w:rPr>
            </w:pPr>
            <w:r>
              <w:rPr>
                <w:rFonts w:ascii="Arial" w:cs="Arial" w:eastAsia="Arial" w:hAnsi="Arial"/>
                <w:sz w:val="14"/>
                <w:szCs w:val="14"/>
                <w:color w:val="auto"/>
              </w:rPr>
              <w:t>84,287</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48"/>
              <w:spacing w:after="0"/>
              <w:rPr>
                <w:sz w:val="20"/>
                <w:szCs w:val="20"/>
                <w:color w:val="auto"/>
              </w:rPr>
            </w:pPr>
            <w:r>
              <w:rPr>
                <w:rFonts w:ascii="Arial" w:cs="Arial" w:eastAsia="Arial" w:hAnsi="Arial"/>
                <w:sz w:val="14"/>
                <w:szCs w:val="14"/>
                <w:color w:val="auto"/>
              </w:rPr>
              <w:t>72,365</w:t>
            </w:r>
          </w:p>
        </w:tc>
        <w:tc>
          <w:tcPr>
            <w:tcW w:w="10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57,107</w:t>
            </w:r>
          </w:p>
        </w:tc>
        <w:tc>
          <w:tcPr>
            <w:tcW w:w="0" w:type="dxa"/>
            <w:vAlign w:val="bottom"/>
          </w:tcPr>
          <w:p>
            <w:pPr>
              <w:spacing w:after="0"/>
              <w:rPr>
                <w:sz w:val="1"/>
                <w:szCs w:val="1"/>
                <w:color w:val="auto"/>
              </w:rPr>
            </w:pPr>
          </w:p>
        </w:tc>
      </w:tr>
      <w:tr>
        <w:trPr>
          <w:trHeight w:val="276"/>
        </w:trPr>
        <w:tc>
          <w:tcPr>
            <w:tcW w:w="38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Total investment securities, at cost - as of period end</w:t>
            </w: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91,953</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95,090</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85,569</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74,691</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58,875</w:t>
            </w:r>
          </w:p>
        </w:tc>
        <w:tc>
          <w:tcPr>
            <w:tcW w:w="0" w:type="dxa"/>
            <w:vAlign w:val="bottom"/>
          </w:tcPr>
          <w:p>
            <w:pPr>
              <w:spacing w:after="0"/>
              <w:rPr>
                <w:sz w:val="1"/>
                <w:szCs w:val="1"/>
                <w:color w:val="auto"/>
              </w:rPr>
            </w:pPr>
          </w:p>
        </w:tc>
      </w:tr>
      <w:tr>
        <w:trPr>
          <w:trHeight w:val="264"/>
        </w:trPr>
        <w:tc>
          <w:tcPr>
            <w:tcW w:w="3840" w:type="dxa"/>
            <w:vAlign w:val="bottom"/>
          </w:tcPr>
          <w:p>
            <w:pPr>
              <w:ind w:left="200"/>
              <w:spacing w:after="0"/>
              <w:rPr>
                <w:sz w:val="20"/>
                <w:szCs w:val="20"/>
                <w:color w:val="auto"/>
              </w:rPr>
            </w:pPr>
            <w:r>
              <w:rPr>
                <w:rFonts w:ascii="Arial" w:cs="Arial" w:eastAsia="Arial" w:hAnsi="Arial"/>
                <w:sz w:val="14"/>
                <w:szCs w:val="14"/>
                <w:color w:val="auto"/>
              </w:rPr>
              <w:t>Total investment securities, at par - as of period end</w:t>
            </w: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88,931</w:t>
            </w:r>
          </w:p>
        </w:tc>
        <w:tc>
          <w:tcPr>
            <w:tcW w:w="120" w:type="dxa"/>
            <w:vAlign w:val="bottom"/>
          </w:tcPr>
          <w:p>
            <w:pPr>
              <w:spacing w:after="0"/>
              <w:rPr>
                <w:sz w:val="22"/>
                <w:szCs w:val="22"/>
                <w:color w:val="auto"/>
              </w:rPr>
            </w:pPr>
          </w:p>
        </w:tc>
        <w:tc>
          <w:tcPr>
            <w:tcW w:w="220" w:type="dxa"/>
            <w:vAlign w:val="bottom"/>
          </w:tcPr>
          <w:p>
            <w:pPr>
              <w:ind w:left="2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92,091</w:t>
            </w:r>
          </w:p>
        </w:tc>
        <w:tc>
          <w:tcPr>
            <w:tcW w:w="2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28"/>
              <w:spacing w:after="0"/>
              <w:rPr>
                <w:sz w:val="20"/>
                <w:szCs w:val="20"/>
                <w:color w:val="auto"/>
              </w:rPr>
            </w:pPr>
            <w:r>
              <w:rPr>
                <w:rFonts w:ascii="Arial" w:cs="Arial" w:eastAsia="Arial" w:hAnsi="Arial"/>
                <w:sz w:val="14"/>
                <w:szCs w:val="14"/>
                <w:color w:val="auto"/>
              </w:rPr>
              <w:t>82,693</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48"/>
              <w:spacing w:after="0"/>
              <w:rPr>
                <w:sz w:val="20"/>
                <w:szCs w:val="20"/>
                <w:color w:val="auto"/>
              </w:rPr>
            </w:pPr>
            <w:r>
              <w:rPr>
                <w:rFonts w:ascii="Arial" w:cs="Arial" w:eastAsia="Arial" w:hAnsi="Arial"/>
                <w:sz w:val="14"/>
                <w:szCs w:val="14"/>
                <w:color w:val="auto"/>
              </w:rPr>
              <w:t>71,844</w:t>
            </w:r>
          </w:p>
        </w:tc>
        <w:tc>
          <w:tcPr>
            <w:tcW w:w="10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56,320</w:t>
            </w:r>
          </w:p>
        </w:tc>
        <w:tc>
          <w:tcPr>
            <w:tcW w:w="0" w:type="dxa"/>
            <w:vAlign w:val="bottom"/>
          </w:tcPr>
          <w:p>
            <w:pPr>
              <w:spacing w:after="0"/>
              <w:rPr>
                <w:sz w:val="1"/>
                <w:szCs w:val="1"/>
                <w:color w:val="auto"/>
              </w:rPr>
            </w:pPr>
          </w:p>
        </w:tc>
      </w:tr>
      <w:tr>
        <w:trPr>
          <w:trHeight w:val="276"/>
        </w:trPr>
        <w:tc>
          <w:tcPr>
            <w:tcW w:w="38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Average investment securities, at cost</w:t>
            </w: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92,610</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89,952</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77,182</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64,346</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55,329</w:t>
            </w:r>
          </w:p>
        </w:tc>
        <w:tc>
          <w:tcPr>
            <w:tcW w:w="0" w:type="dxa"/>
            <w:vAlign w:val="bottom"/>
          </w:tcPr>
          <w:p>
            <w:pPr>
              <w:spacing w:after="0"/>
              <w:rPr>
                <w:sz w:val="1"/>
                <w:szCs w:val="1"/>
                <w:color w:val="auto"/>
              </w:rPr>
            </w:pPr>
          </w:p>
        </w:tc>
      </w:tr>
      <w:tr>
        <w:trPr>
          <w:trHeight w:val="264"/>
        </w:trPr>
        <w:tc>
          <w:tcPr>
            <w:tcW w:w="3840" w:type="dxa"/>
            <w:vAlign w:val="bottom"/>
          </w:tcPr>
          <w:p>
            <w:pPr>
              <w:ind w:left="200"/>
              <w:spacing w:after="0"/>
              <w:rPr>
                <w:sz w:val="20"/>
                <w:szCs w:val="20"/>
                <w:color w:val="auto"/>
              </w:rPr>
            </w:pPr>
            <w:r>
              <w:rPr>
                <w:rFonts w:ascii="Arial" w:cs="Arial" w:eastAsia="Arial" w:hAnsi="Arial"/>
                <w:sz w:val="14"/>
                <w:szCs w:val="14"/>
                <w:color w:val="auto"/>
              </w:rPr>
              <w:t>Average investment securities, at par</w:t>
            </w: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89,586</w:t>
            </w:r>
          </w:p>
        </w:tc>
        <w:tc>
          <w:tcPr>
            <w:tcW w:w="120" w:type="dxa"/>
            <w:vAlign w:val="bottom"/>
          </w:tcPr>
          <w:p>
            <w:pPr>
              <w:spacing w:after="0"/>
              <w:rPr>
                <w:sz w:val="22"/>
                <w:szCs w:val="22"/>
                <w:color w:val="auto"/>
              </w:rPr>
            </w:pPr>
          </w:p>
        </w:tc>
        <w:tc>
          <w:tcPr>
            <w:tcW w:w="220" w:type="dxa"/>
            <w:vAlign w:val="bottom"/>
          </w:tcPr>
          <w:p>
            <w:pPr>
              <w:ind w:left="2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87,021</w:t>
            </w:r>
          </w:p>
        </w:tc>
        <w:tc>
          <w:tcPr>
            <w:tcW w:w="2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28"/>
              <w:spacing w:after="0"/>
              <w:rPr>
                <w:sz w:val="20"/>
                <w:szCs w:val="20"/>
                <w:color w:val="auto"/>
              </w:rPr>
            </w:pPr>
            <w:r>
              <w:rPr>
                <w:rFonts w:ascii="Arial" w:cs="Arial" w:eastAsia="Arial" w:hAnsi="Arial"/>
                <w:sz w:val="14"/>
                <w:szCs w:val="14"/>
                <w:color w:val="auto"/>
              </w:rPr>
              <w:t>74,395</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48"/>
              <w:spacing w:after="0"/>
              <w:rPr>
                <w:sz w:val="20"/>
                <w:szCs w:val="20"/>
                <w:color w:val="auto"/>
              </w:rPr>
            </w:pPr>
            <w:r>
              <w:rPr>
                <w:rFonts w:ascii="Arial" w:cs="Arial" w:eastAsia="Arial" w:hAnsi="Arial"/>
                <w:sz w:val="14"/>
                <w:szCs w:val="14"/>
                <w:color w:val="auto"/>
              </w:rPr>
              <w:t>61,696</w:t>
            </w:r>
          </w:p>
        </w:tc>
        <w:tc>
          <w:tcPr>
            <w:tcW w:w="10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52,856</w:t>
            </w:r>
          </w:p>
        </w:tc>
        <w:tc>
          <w:tcPr>
            <w:tcW w:w="0" w:type="dxa"/>
            <w:vAlign w:val="bottom"/>
          </w:tcPr>
          <w:p>
            <w:pPr>
              <w:spacing w:after="0"/>
              <w:rPr>
                <w:sz w:val="1"/>
                <w:szCs w:val="1"/>
                <w:color w:val="auto"/>
              </w:rPr>
            </w:pPr>
          </w:p>
        </w:tc>
      </w:tr>
      <w:tr>
        <w:trPr>
          <w:trHeight w:val="276"/>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color w:val="auto"/>
              </w:rPr>
              <w:t>TBA securities:</w:t>
            </w:r>
          </w:p>
        </w:tc>
        <w:tc>
          <w:tcPr>
            <w:tcW w:w="18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840" w:type="dxa"/>
            <w:vAlign w:val="bottom"/>
          </w:tcPr>
          <w:p>
            <w:pPr>
              <w:ind w:left="200"/>
              <w:spacing w:after="0"/>
              <w:rPr>
                <w:sz w:val="20"/>
                <w:szCs w:val="20"/>
                <w:color w:val="auto"/>
              </w:rPr>
            </w:pPr>
            <w:r>
              <w:rPr>
                <w:rFonts w:ascii="Arial" w:cs="Arial" w:eastAsia="Arial" w:hAnsi="Arial"/>
                <w:sz w:val="14"/>
                <w:szCs w:val="14"/>
                <w:color w:val="auto"/>
              </w:rPr>
              <w:t>Net TBA portfolio - as of period end, at fair value</w:t>
            </w: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11,170</w:t>
            </w:r>
          </w:p>
        </w:tc>
        <w:tc>
          <w:tcPr>
            <w:tcW w:w="120" w:type="dxa"/>
            <w:vAlign w:val="bottom"/>
          </w:tcPr>
          <w:p>
            <w:pPr>
              <w:spacing w:after="0"/>
              <w:rPr>
                <w:sz w:val="22"/>
                <w:szCs w:val="22"/>
                <w:color w:val="auto"/>
              </w:rPr>
            </w:pPr>
          </w:p>
        </w:tc>
        <w:tc>
          <w:tcPr>
            <w:tcW w:w="220" w:type="dxa"/>
            <w:vAlign w:val="bottom"/>
          </w:tcPr>
          <w:p>
            <w:pPr>
              <w:ind w:left="2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6,955</w:t>
            </w:r>
          </w:p>
        </w:tc>
        <w:tc>
          <w:tcPr>
            <w:tcW w:w="2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28"/>
              <w:spacing w:after="0"/>
              <w:rPr>
                <w:sz w:val="20"/>
                <w:szCs w:val="20"/>
                <w:color w:val="auto"/>
              </w:rPr>
            </w:pPr>
            <w:r>
              <w:rPr>
                <w:rFonts w:ascii="Arial" w:cs="Arial" w:eastAsia="Arial" w:hAnsi="Arial"/>
                <w:sz w:val="14"/>
                <w:szCs w:val="14"/>
                <w:color w:val="auto"/>
              </w:rPr>
              <w:t>7,322</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48"/>
              <w:spacing w:after="0"/>
              <w:rPr>
                <w:sz w:val="20"/>
                <w:szCs w:val="20"/>
                <w:color w:val="auto"/>
              </w:rPr>
            </w:pPr>
            <w:r>
              <w:rPr>
                <w:rFonts w:ascii="Arial" w:cs="Arial" w:eastAsia="Arial" w:hAnsi="Arial"/>
                <w:sz w:val="14"/>
                <w:szCs w:val="14"/>
                <w:color w:val="auto"/>
              </w:rPr>
              <w:t>9,393</w:t>
            </w:r>
          </w:p>
        </w:tc>
        <w:tc>
          <w:tcPr>
            <w:tcW w:w="10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20,003</w:t>
            </w:r>
          </w:p>
        </w:tc>
        <w:tc>
          <w:tcPr>
            <w:tcW w:w="0" w:type="dxa"/>
            <w:vAlign w:val="bottom"/>
          </w:tcPr>
          <w:p>
            <w:pPr>
              <w:spacing w:after="0"/>
              <w:rPr>
                <w:sz w:val="1"/>
                <w:szCs w:val="1"/>
                <w:color w:val="auto"/>
              </w:rPr>
            </w:pPr>
          </w:p>
        </w:tc>
      </w:tr>
      <w:tr>
        <w:trPr>
          <w:trHeight w:val="276"/>
        </w:trPr>
        <w:tc>
          <w:tcPr>
            <w:tcW w:w="38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Net TBA portfolio - as of period end, at cost</w:t>
            </w: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11,086</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6,885</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7,252</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9,436</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19,898</w:t>
            </w:r>
          </w:p>
        </w:tc>
        <w:tc>
          <w:tcPr>
            <w:tcW w:w="0" w:type="dxa"/>
            <w:vAlign w:val="bottom"/>
          </w:tcPr>
          <w:p>
            <w:pPr>
              <w:spacing w:after="0"/>
              <w:rPr>
                <w:sz w:val="1"/>
                <w:szCs w:val="1"/>
                <w:color w:val="auto"/>
              </w:rPr>
            </w:pPr>
          </w:p>
        </w:tc>
      </w:tr>
      <w:tr>
        <w:trPr>
          <w:trHeight w:val="264"/>
        </w:trPr>
        <w:tc>
          <w:tcPr>
            <w:tcW w:w="3840" w:type="dxa"/>
            <w:vAlign w:val="bottom"/>
          </w:tcPr>
          <w:p>
            <w:pPr>
              <w:ind w:left="200"/>
              <w:spacing w:after="0"/>
              <w:rPr>
                <w:sz w:val="20"/>
                <w:szCs w:val="20"/>
                <w:color w:val="auto"/>
              </w:rPr>
            </w:pPr>
            <w:r>
              <w:rPr>
                <w:rFonts w:ascii="Arial" w:cs="Arial" w:eastAsia="Arial" w:hAnsi="Arial"/>
                <w:sz w:val="14"/>
                <w:szCs w:val="14"/>
                <w:color w:val="auto"/>
              </w:rPr>
              <w:t>Net TBA portfolio - as of period end, carrying value</w:t>
            </w: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84</w:t>
            </w:r>
          </w:p>
        </w:tc>
        <w:tc>
          <w:tcPr>
            <w:tcW w:w="120" w:type="dxa"/>
            <w:vAlign w:val="bottom"/>
          </w:tcPr>
          <w:p>
            <w:pPr>
              <w:spacing w:after="0"/>
              <w:rPr>
                <w:sz w:val="22"/>
                <w:szCs w:val="22"/>
                <w:color w:val="auto"/>
              </w:rPr>
            </w:pPr>
          </w:p>
        </w:tc>
        <w:tc>
          <w:tcPr>
            <w:tcW w:w="220" w:type="dxa"/>
            <w:vAlign w:val="bottom"/>
          </w:tcPr>
          <w:p>
            <w:pPr>
              <w:ind w:left="2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70</w:t>
            </w:r>
          </w:p>
        </w:tc>
        <w:tc>
          <w:tcPr>
            <w:tcW w:w="2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28"/>
              <w:spacing w:after="0"/>
              <w:rPr>
                <w:sz w:val="20"/>
                <w:szCs w:val="20"/>
                <w:color w:val="auto"/>
              </w:rPr>
            </w:pPr>
            <w:r>
              <w:rPr>
                <w:rFonts w:ascii="Arial" w:cs="Arial" w:eastAsia="Arial" w:hAnsi="Arial"/>
                <w:sz w:val="14"/>
                <w:szCs w:val="14"/>
                <w:color w:val="auto"/>
              </w:rPr>
              <w:t>70</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88"/>
              <w:spacing w:after="0"/>
              <w:rPr>
                <w:sz w:val="20"/>
                <w:szCs w:val="20"/>
                <w:color w:val="auto"/>
              </w:rPr>
            </w:pPr>
            <w:r>
              <w:rPr>
                <w:rFonts w:ascii="Arial" w:cs="Arial" w:eastAsia="Arial" w:hAnsi="Arial"/>
                <w:sz w:val="14"/>
                <w:szCs w:val="14"/>
                <w:color w:val="auto"/>
              </w:rPr>
              <w:t>(43)</w:t>
            </w:r>
          </w:p>
        </w:tc>
        <w:tc>
          <w:tcPr>
            <w:tcW w:w="10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105</w:t>
            </w:r>
          </w:p>
        </w:tc>
        <w:tc>
          <w:tcPr>
            <w:tcW w:w="0" w:type="dxa"/>
            <w:vAlign w:val="bottom"/>
          </w:tcPr>
          <w:p>
            <w:pPr>
              <w:spacing w:after="0"/>
              <w:rPr>
                <w:sz w:val="1"/>
                <w:szCs w:val="1"/>
                <w:color w:val="auto"/>
              </w:rPr>
            </w:pPr>
          </w:p>
        </w:tc>
      </w:tr>
      <w:tr>
        <w:trPr>
          <w:trHeight w:val="276"/>
        </w:trPr>
        <w:tc>
          <w:tcPr>
            <w:tcW w:w="38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Average net TBA portfolio, at cost</w:t>
            </w: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11,864</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8,002</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8,066</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18,270</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16,912</w:t>
            </w:r>
          </w:p>
        </w:tc>
        <w:tc>
          <w:tcPr>
            <w:tcW w:w="0" w:type="dxa"/>
            <w:vAlign w:val="bottom"/>
          </w:tcPr>
          <w:p>
            <w:pPr>
              <w:spacing w:after="0"/>
              <w:rPr>
                <w:sz w:val="1"/>
                <w:szCs w:val="1"/>
                <w:color w:val="auto"/>
              </w:rPr>
            </w:pPr>
          </w:p>
        </w:tc>
      </w:tr>
      <w:tr>
        <w:trPr>
          <w:trHeight w:val="264"/>
        </w:trPr>
        <w:tc>
          <w:tcPr>
            <w:tcW w:w="3840" w:type="dxa"/>
            <w:vAlign w:val="bottom"/>
          </w:tcPr>
          <w:p>
            <w:pPr>
              <w:ind w:left="40"/>
              <w:spacing w:after="0"/>
              <w:rPr>
                <w:sz w:val="20"/>
                <w:szCs w:val="20"/>
                <w:color w:val="auto"/>
              </w:rPr>
            </w:pPr>
            <w:r>
              <w:rPr>
                <w:rFonts w:ascii="Arial" w:cs="Arial" w:eastAsia="Arial" w:hAnsi="Arial"/>
                <w:sz w:val="14"/>
                <w:szCs w:val="14"/>
                <w:color w:val="auto"/>
              </w:rPr>
              <w:t xml:space="preserve">Average repurchase agreements and other debt </w:t>
            </w:r>
            <w:r>
              <w:rPr>
                <w:rFonts w:ascii="Arial" w:cs="Arial" w:eastAsia="Arial" w:hAnsi="Arial"/>
                <w:sz w:val="8"/>
                <w:szCs w:val="8"/>
                <w:color w:val="auto"/>
              </w:rPr>
              <w:t>13</w:t>
            </w: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86,147</w:t>
            </w:r>
          </w:p>
        </w:tc>
        <w:tc>
          <w:tcPr>
            <w:tcW w:w="120" w:type="dxa"/>
            <w:vAlign w:val="bottom"/>
          </w:tcPr>
          <w:p>
            <w:pPr>
              <w:spacing w:after="0"/>
              <w:rPr>
                <w:sz w:val="22"/>
                <w:szCs w:val="22"/>
                <w:color w:val="auto"/>
              </w:rPr>
            </w:pPr>
          </w:p>
        </w:tc>
        <w:tc>
          <w:tcPr>
            <w:tcW w:w="220" w:type="dxa"/>
            <w:vAlign w:val="bottom"/>
          </w:tcPr>
          <w:p>
            <w:pPr>
              <w:ind w:left="2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82,070</w:t>
            </w:r>
          </w:p>
        </w:tc>
        <w:tc>
          <w:tcPr>
            <w:tcW w:w="2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28"/>
              <w:spacing w:after="0"/>
              <w:rPr>
                <w:sz w:val="20"/>
                <w:szCs w:val="20"/>
                <w:color w:val="auto"/>
              </w:rPr>
            </w:pPr>
            <w:r>
              <w:rPr>
                <w:rFonts w:ascii="Arial" w:cs="Arial" w:eastAsia="Arial" w:hAnsi="Arial"/>
                <w:sz w:val="14"/>
                <w:szCs w:val="14"/>
                <w:color w:val="auto"/>
              </w:rPr>
              <w:t>68,499</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48"/>
              <w:spacing w:after="0"/>
              <w:rPr>
                <w:sz w:val="20"/>
                <w:szCs w:val="20"/>
                <w:color w:val="auto"/>
              </w:rPr>
            </w:pPr>
            <w:r>
              <w:rPr>
                <w:rFonts w:ascii="Arial" w:cs="Arial" w:eastAsia="Arial" w:hAnsi="Arial"/>
                <w:sz w:val="14"/>
                <w:szCs w:val="14"/>
                <w:color w:val="auto"/>
              </w:rPr>
              <w:t>56,265</w:t>
            </w:r>
          </w:p>
        </w:tc>
        <w:tc>
          <w:tcPr>
            <w:tcW w:w="10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47,823</w:t>
            </w:r>
          </w:p>
        </w:tc>
        <w:tc>
          <w:tcPr>
            <w:tcW w:w="0" w:type="dxa"/>
            <w:vAlign w:val="bottom"/>
          </w:tcPr>
          <w:p>
            <w:pPr>
              <w:spacing w:after="0"/>
              <w:rPr>
                <w:sz w:val="1"/>
                <w:szCs w:val="1"/>
                <w:color w:val="auto"/>
              </w:rPr>
            </w:pPr>
          </w:p>
        </w:tc>
      </w:tr>
      <w:tr>
        <w:trPr>
          <w:trHeight w:val="276"/>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color w:val="auto"/>
              </w:rPr>
              <w:t xml:space="preserve">Average stockholders' equity </w:t>
            </w:r>
            <w:r>
              <w:rPr>
                <w:rFonts w:ascii="Arial" w:cs="Arial" w:eastAsia="Arial" w:hAnsi="Arial"/>
                <w:sz w:val="8"/>
                <w:szCs w:val="8"/>
                <w:color w:val="auto"/>
              </w:rPr>
              <w:t>14</w:t>
            </w: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10,371</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10,186</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9,634</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9,345</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8,652</w:t>
            </w:r>
          </w:p>
        </w:tc>
        <w:tc>
          <w:tcPr>
            <w:tcW w:w="0" w:type="dxa"/>
            <w:vAlign w:val="bottom"/>
          </w:tcPr>
          <w:p>
            <w:pPr>
              <w:spacing w:after="0"/>
              <w:rPr>
                <w:sz w:val="1"/>
                <w:szCs w:val="1"/>
                <w:color w:val="auto"/>
              </w:rPr>
            </w:pPr>
          </w:p>
        </w:tc>
      </w:tr>
      <w:tr>
        <w:trPr>
          <w:trHeight w:val="264"/>
        </w:trPr>
        <w:tc>
          <w:tcPr>
            <w:tcW w:w="3840" w:type="dxa"/>
            <w:vAlign w:val="bottom"/>
          </w:tcPr>
          <w:p>
            <w:pPr>
              <w:ind w:left="40"/>
              <w:spacing w:after="0"/>
              <w:rPr>
                <w:sz w:val="20"/>
                <w:szCs w:val="20"/>
                <w:color w:val="auto"/>
              </w:rPr>
            </w:pPr>
            <w:r>
              <w:rPr>
                <w:rFonts w:ascii="Arial" w:cs="Arial" w:eastAsia="Arial" w:hAnsi="Arial"/>
                <w:sz w:val="14"/>
                <w:szCs w:val="14"/>
                <w:color w:val="auto"/>
              </w:rPr>
              <w:t xml:space="preserve">Tangible net book value per common share </w:t>
            </w:r>
            <w:r>
              <w:rPr>
                <w:rFonts w:ascii="Arial" w:cs="Arial" w:eastAsia="Arial" w:hAnsi="Arial"/>
                <w:sz w:val="8"/>
                <w:szCs w:val="8"/>
                <w:color w:val="auto"/>
              </w:rPr>
              <w:t>1</w:t>
            </w: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16.58</w:t>
            </w:r>
          </w:p>
        </w:tc>
        <w:tc>
          <w:tcPr>
            <w:tcW w:w="120" w:type="dxa"/>
            <w:vAlign w:val="bottom"/>
          </w:tcPr>
          <w:p>
            <w:pPr>
              <w:spacing w:after="0"/>
              <w:rPr>
                <w:sz w:val="22"/>
                <w:szCs w:val="22"/>
                <w:color w:val="auto"/>
              </w:rPr>
            </w:pPr>
          </w:p>
        </w:tc>
        <w:tc>
          <w:tcPr>
            <w:tcW w:w="220" w:type="dxa"/>
            <w:vAlign w:val="bottom"/>
          </w:tcPr>
          <w:p>
            <w:pPr>
              <w:ind w:left="2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17.23</w:t>
            </w:r>
          </w:p>
        </w:tc>
        <w:tc>
          <w:tcPr>
            <w:tcW w:w="2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28"/>
              <w:spacing w:after="0"/>
              <w:rPr>
                <w:sz w:val="20"/>
                <w:szCs w:val="20"/>
                <w:color w:val="auto"/>
              </w:rPr>
            </w:pPr>
            <w:r>
              <w:rPr>
                <w:rFonts w:ascii="Arial" w:cs="Arial" w:eastAsia="Arial" w:hAnsi="Arial"/>
                <w:sz w:val="14"/>
                <w:szCs w:val="14"/>
                <w:color w:val="auto"/>
              </w:rPr>
              <w:t>16.56</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48"/>
              <w:spacing w:after="0"/>
              <w:rPr>
                <w:sz w:val="20"/>
                <w:szCs w:val="20"/>
                <w:color w:val="auto"/>
              </w:rPr>
            </w:pPr>
            <w:r>
              <w:rPr>
                <w:rFonts w:ascii="Arial" w:cs="Arial" w:eastAsia="Arial" w:hAnsi="Arial"/>
                <w:sz w:val="14"/>
                <w:szCs w:val="14"/>
                <w:color w:val="auto"/>
              </w:rPr>
              <w:t>18.00</w:t>
            </w:r>
          </w:p>
        </w:tc>
        <w:tc>
          <w:tcPr>
            <w:tcW w:w="10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18.41</w:t>
            </w:r>
          </w:p>
        </w:tc>
        <w:tc>
          <w:tcPr>
            <w:tcW w:w="0" w:type="dxa"/>
            <w:vAlign w:val="bottom"/>
          </w:tcPr>
          <w:p>
            <w:pPr>
              <w:spacing w:after="0"/>
              <w:rPr>
                <w:sz w:val="1"/>
                <w:szCs w:val="1"/>
                <w:color w:val="auto"/>
              </w:rPr>
            </w:pPr>
          </w:p>
        </w:tc>
      </w:tr>
      <w:tr>
        <w:trPr>
          <w:trHeight w:val="276"/>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color w:val="auto"/>
              </w:rPr>
              <w:t xml:space="preserve">Tangible net book value "at risk" leverage - average </w:t>
            </w:r>
            <w:r>
              <w:rPr>
                <w:rFonts w:ascii="Arial" w:cs="Arial" w:eastAsia="Arial" w:hAnsi="Arial"/>
                <w:sz w:val="8"/>
                <w:szCs w:val="8"/>
                <w:color w:val="auto"/>
              </w:rPr>
              <w:t>15</w:t>
            </w:r>
          </w:p>
        </w:tc>
        <w:tc>
          <w:tcPr>
            <w:tcW w:w="18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10.0:1</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9.3:1</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288"/>
              <w:spacing w:after="0"/>
              <w:rPr>
                <w:sz w:val="20"/>
                <w:szCs w:val="20"/>
                <w:color w:val="auto"/>
              </w:rPr>
            </w:pPr>
            <w:r>
              <w:rPr>
                <w:rFonts w:ascii="Arial" w:cs="Arial" w:eastAsia="Arial" w:hAnsi="Arial"/>
                <w:sz w:val="14"/>
                <w:szCs w:val="14"/>
                <w:color w:val="auto"/>
              </w:rPr>
              <w:t>8.4:1</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308"/>
              <w:spacing w:after="0"/>
              <w:rPr>
                <w:sz w:val="20"/>
                <w:szCs w:val="20"/>
                <w:color w:val="auto"/>
              </w:rPr>
            </w:pPr>
            <w:r>
              <w:rPr>
                <w:rFonts w:ascii="Arial" w:cs="Arial" w:eastAsia="Arial" w:hAnsi="Arial"/>
                <w:sz w:val="14"/>
                <w:szCs w:val="14"/>
                <w:color w:val="auto"/>
              </w:rPr>
              <w:t>8.5:1</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8.0:1</w:t>
            </w:r>
          </w:p>
        </w:tc>
        <w:tc>
          <w:tcPr>
            <w:tcW w:w="0" w:type="dxa"/>
            <w:vAlign w:val="bottom"/>
          </w:tcPr>
          <w:p>
            <w:pPr>
              <w:spacing w:after="0"/>
              <w:rPr>
                <w:sz w:val="1"/>
                <w:szCs w:val="1"/>
                <w:color w:val="auto"/>
              </w:rPr>
            </w:pPr>
          </w:p>
        </w:tc>
      </w:tr>
      <w:tr>
        <w:trPr>
          <w:trHeight w:val="264"/>
        </w:trPr>
        <w:tc>
          <w:tcPr>
            <w:tcW w:w="3840" w:type="dxa"/>
            <w:vAlign w:val="bottom"/>
          </w:tcPr>
          <w:p>
            <w:pPr>
              <w:ind w:left="40"/>
              <w:spacing w:after="0"/>
              <w:rPr>
                <w:sz w:val="20"/>
                <w:szCs w:val="20"/>
                <w:color w:val="auto"/>
              </w:rPr>
            </w:pPr>
            <w:r>
              <w:rPr>
                <w:rFonts w:ascii="Arial" w:cs="Arial" w:eastAsia="Arial" w:hAnsi="Arial"/>
                <w:sz w:val="14"/>
                <w:szCs w:val="14"/>
                <w:color w:val="auto"/>
                <w:w w:val="98"/>
              </w:rPr>
              <w:t xml:space="preserve">Tangible net book value "at risk" leverage - as of period end </w:t>
            </w:r>
            <w:r>
              <w:rPr>
                <w:rFonts w:ascii="Arial" w:cs="Arial" w:eastAsia="Arial" w:hAnsi="Arial"/>
                <w:sz w:val="8"/>
                <w:szCs w:val="8"/>
                <w:color w:val="auto"/>
                <w:w w:val="98"/>
              </w:rPr>
              <w:t>16</w:t>
            </w:r>
          </w:p>
        </w:tc>
        <w:tc>
          <w:tcPr>
            <w:tcW w:w="180" w:type="dxa"/>
            <w:vAlign w:val="bottom"/>
          </w:tcPr>
          <w:p>
            <w:pPr>
              <w:spacing w:after="0"/>
              <w:rPr>
                <w:sz w:val="22"/>
                <w:szCs w:val="22"/>
                <w:color w:val="auto"/>
              </w:rPr>
            </w:pPr>
          </w:p>
        </w:tc>
        <w:tc>
          <w:tcPr>
            <w:tcW w:w="760" w:type="dxa"/>
            <w:vAlign w:val="bottom"/>
          </w:tcPr>
          <w:p>
            <w:pPr>
              <w:jc w:val="right"/>
              <w:ind w:right="248"/>
              <w:spacing w:after="0"/>
              <w:rPr>
                <w:sz w:val="20"/>
                <w:szCs w:val="20"/>
                <w:color w:val="auto"/>
              </w:rPr>
            </w:pPr>
            <w:r>
              <w:rPr>
                <w:rFonts w:ascii="Arial" w:cs="Arial" w:eastAsia="Arial" w:hAnsi="Arial"/>
                <w:sz w:val="14"/>
                <w:szCs w:val="14"/>
                <w:color w:val="auto"/>
              </w:rPr>
              <w:t>9.8:1</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ind w:right="268"/>
              <w:spacing w:after="0"/>
              <w:rPr>
                <w:sz w:val="20"/>
                <w:szCs w:val="20"/>
                <w:color w:val="auto"/>
              </w:rPr>
            </w:pPr>
            <w:r>
              <w:rPr>
                <w:rFonts w:ascii="Arial" w:cs="Arial" w:eastAsia="Arial" w:hAnsi="Arial"/>
                <w:sz w:val="14"/>
                <w:szCs w:val="14"/>
                <w:color w:val="auto"/>
              </w:rPr>
              <w:t>9.4:1</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jc w:val="right"/>
              <w:ind w:right="288"/>
              <w:spacing w:after="0"/>
              <w:rPr>
                <w:sz w:val="20"/>
                <w:szCs w:val="20"/>
                <w:color w:val="auto"/>
              </w:rPr>
            </w:pPr>
            <w:r>
              <w:rPr>
                <w:rFonts w:ascii="Arial" w:cs="Arial" w:eastAsia="Arial" w:hAnsi="Arial"/>
                <w:sz w:val="14"/>
                <w:szCs w:val="14"/>
                <w:color w:val="auto"/>
              </w:rPr>
              <w:t>9.0:1</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40" w:type="dxa"/>
            <w:vAlign w:val="bottom"/>
          </w:tcPr>
          <w:p>
            <w:pPr>
              <w:jc w:val="right"/>
              <w:ind w:right="308"/>
              <w:spacing w:after="0"/>
              <w:rPr>
                <w:sz w:val="20"/>
                <w:szCs w:val="20"/>
                <w:color w:val="auto"/>
              </w:rPr>
            </w:pPr>
            <w:r>
              <w:rPr>
                <w:rFonts w:ascii="Arial" w:cs="Arial" w:eastAsia="Arial" w:hAnsi="Arial"/>
                <w:sz w:val="14"/>
                <w:szCs w:val="14"/>
                <w:color w:val="auto"/>
              </w:rPr>
              <w:t>8.2:1</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ind w:right="268"/>
              <w:spacing w:after="0"/>
              <w:rPr>
                <w:sz w:val="20"/>
                <w:szCs w:val="20"/>
                <w:color w:val="auto"/>
              </w:rPr>
            </w:pPr>
            <w:r>
              <w:rPr>
                <w:rFonts w:ascii="Arial" w:cs="Arial" w:eastAsia="Arial" w:hAnsi="Arial"/>
                <w:sz w:val="14"/>
                <w:szCs w:val="14"/>
                <w:color w:val="auto"/>
              </w:rPr>
              <w:t>8.3:1</w:t>
            </w:r>
          </w:p>
        </w:tc>
        <w:tc>
          <w:tcPr>
            <w:tcW w:w="0" w:type="dxa"/>
            <w:vAlign w:val="bottom"/>
          </w:tcPr>
          <w:p>
            <w:pPr>
              <w:spacing w:after="0"/>
              <w:rPr>
                <w:sz w:val="1"/>
                <w:szCs w:val="1"/>
                <w:color w:val="auto"/>
              </w:rPr>
            </w:pPr>
          </w:p>
        </w:tc>
      </w:tr>
      <w:tr>
        <w:trPr>
          <w:trHeight w:val="249"/>
        </w:trPr>
        <w:tc>
          <w:tcPr>
            <w:tcW w:w="384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76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76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9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9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76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64"/>
        </w:trPr>
        <w:tc>
          <w:tcPr>
            <w:tcW w:w="3840" w:type="dxa"/>
            <w:vAlign w:val="bottom"/>
          </w:tcPr>
          <w:p>
            <w:pPr>
              <w:ind w:left="40"/>
              <w:spacing w:after="0"/>
              <w:rPr>
                <w:sz w:val="20"/>
                <w:szCs w:val="20"/>
                <w:color w:val="auto"/>
              </w:rPr>
            </w:pPr>
            <w:r>
              <w:rPr>
                <w:rFonts w:ascii="Arial" w:cs="Arial" w:eastAsia="Arial" w:hAnsi="Arial"/>
                <w:sz w:val="14"/>
                <w:szCs w:val="14"/>
                <w:b w:val="1"/>
                <w:bCs w:val="1"/>
                <w:color w:val="auto"/>
              </w:rPr>
              <w:t>Key Performance Statistics:</w:t>
            </w:r>
          </w:p>
        </w:tc>
        <w:tc>
          <w:tcPr>
            <w:tcW w:w="18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color w:val="auto"/>
              </w:rPr>
              <w:t xml:space="preserve">Investment securities: </w:t>
            </w:r>
            <w:r>
              <w:rPr>
                <w:rFonts w:ascii="Arial" w:cs="Arial" w:eastAsia="Arial" w:hAnsi="Arial"/>
                <w:sz w:val="8"/>
                <w:szCs w:val="8"/>
                <w:color w:val="auto"/>
              </w:rPr>
              <w:t>12</w:t>
            </w:r>
          </w:p>
        </w:tc>
        <w:tc>
          <w:tcPr>
            <w:tcW w:w="18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840" w:type="dxa"/>
            <w:vAlign w:val="bottom"/>
          </w:tcPr>
          <w:p>
            <w:pPr>
              <w:ind w:left="200"/>
              <w:spacing w:after="0"/>
              <w:rPr>
                <w:sz w:val="20"/>
                <w:szCs w:val="20"/>
                <w:color w:val="auto"/>
              </w:rPr>
            </w:pPr>
            <w:r>
              <w:rPr>
                <w:rFonts w:ascii="Arial" w:cs="Arial" w:eastAsia="Arial" w:hAnsi="Arial"/>
                <w:sz w:val="14"/>
                <w:szCs w:val="14"/>
                <w:color w:val="auto"/>
              </w:rPr>
              <w:t>Average coupon</w:t>
            </w:r>
          </w:p>
        </w:tc>
        <w:tc>
          <w:tcPr>
            <w:tcW w:w="18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3.88 %</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3.87 %</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3.83 %</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3.78 %</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3.71 %</w:t>
            </w:r>
          </w:p>
        </w:tc>
        <w:tc>
          <w:tcPr>
            <w:tcW w:w="0" w:type="dxa"/>
            <w:vAlign w:val="bottom"/>
          </w:tcPr>
          <w:p>
            <w:pPr>
              <w:spacing w:after="0"/>
              <w:rPr>
                <w:sz w:val="1"/>
                <w:szCs w:val="1"/>
                <w:color w:val="auto"/>
              </w:rPr>
            </w:pPr>
          </w:p>
        </w:tc>
      </w:tr>
      <w:tr>
        <w:trPr>
          <w:trHeight w:val="276"/>
        </w:trPr>
        <w:tc>
          <w:tcPr>
            <w:tcW w:w="38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Average asset yield</w:t>
            </w:r>
          </w:p>
        </w:tc>
        <w:tc>
          <w:tcPr>
            <w:tcW w:w="18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2.99 %</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3.14 %</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3.13 %</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3.11 %</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2.99 %</w:t>
            </w:r>
          </w:p>
        </w:tc>
        <w:tc>
          <w:tcPr>
            <w:tcW w:w="0" w:type="dxa"/>
            <w:vAlign w:val="bottom"/>
          </w:tcPr>
          <w:p>
            <w:pPr>
              <w:spacing w:after="0"/>
              <w:rPr>
                <w:sz w:val="1"/>
                <w:szCs w:val="1"/>
                <w:color w:val="auto"/>
              </w:rPr>
            </w:pPr>
          </w:p>
        </w:tc>
      </w:tr>
      <w:tr>
        <w:trPr>
          <w:trHeight w:val="157"/>
        </w:trPr>
        <w:tc>
          <w:tcPr>
            <w:tcW w:w="3840" w:type="dxa"/>
            <w:vAlign w:val="bottom"/>
          </w:tcPr>
          <w:p>
            <w:pPr>
              <w:ind w:left="200"/>
              <w:spacing w:after="0" w:line="157" w:lineRule="exact"/>
              <w:rPr>
                <w:sz w:val="20"/>
                <w:szCs w:val="20"/>
                <w:color w:val="auto"/>
              </w:rPr>
            </w:pPr>
            <w:r>
              <w:rPr>
                <w:rFonts w:ascii="Arial" w:cs="Arial" w:eastAsia="Arial" w:hAnsi="Arial"/>
                <w:sz w:val="14"/>
                <w:szCs w:val="14"/>
                <w:color w:val="auto"/>
              </w:rPr>
              <w:t>Average asset yield, excluding "catch-up" premium</w:t>
            </w: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3840" w:type="dxa"/>
            <w:vAlign w:val="bottom"/>
          </w:tcPr>
          <w:p>
            <w:pPr>
              <w:ind w:left="40"/>
              <w:spacing w:after="0"/>
              <w:rPr>
                <w:sz w:val="20"/>
                <w:szCs w:val="20"/>
                <w:color w:val="auto"/>
              </w:rPr>
            </w:pPr>
            <w:r>
              <w:rPr>
                <w:rFonts w:ascii="Arial" w:cs="Arial" w:eastAsia="Arial" w:hAnsi="Arial"/>
                <w:sz w:val="14"/>
                <w:szCs w:val="14"/>
                <w:color w:val="auto"/>
              </w:rPr>
              <w:t>amortization</w:t>
            </w:r>
          </w:p>
        </w:tc>
        <w:tc>
          <w:tcPr>
            <w:tcW w:w="18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3.24 %</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3.31 %</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3.21 %</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3.07 %</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2.91 %</w:t>
            </w:r>
          </w:p>
        </w:tc>
        <w:tc>
          <w:tcPr>
            <w:tcW w:w="0" w:type="dxa"/>
            <w:vAlign w:val="bottom"/>
          </w:tcPr>
          <w:p>
            <w:pPr>
              <w:spacing w:after="0"/>
              <w:rPr>
                <w:sz w:val="1"/>
                <w:szCs w:val="1"/>
                <w:color w:val="auto"/>
              </w:rPr>
            </w:pPr>
          </w:p>
        </w:tc>
      </w:tr>
      <w:tr>
        <w:trPr>
          <w:trHeight w:val="276"/>
        </w:trPr>
        <w:tc>
          <w:tcPr>
            <w:tcW w:w="38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Average coupon - as of period end</w:t>
            </w:r>
          </w:p>
        </w:tc>
        <w:tc>
          <w:tcPr>
            <w:tcW w:w="18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3.88 %</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3.88 %</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3.86 %</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3.82 %</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3.74 %</w:t>
            </w:r>
          </w:p>
        </w:tc>
        <w:tc>
          <w:tcPr>
            <w:tcW w:w="0" w:type="dxa"/>
            <w:vAlign w:val="bottom"/>
          </w:tcPr>
          <w:p>
            <w:pPr>
              <w:spacing w:after="0"/>
              <w:rPr>
                <w:sz w:val="1"/>
                <w:szCs w:val="1"/>
                <w:color w:val="auto"/>
              </w:rPr>
            </w:pPr>
          </w:p>
        </w:tc>
      </w:tr>
      <w:tr>
        <w:trPr>
          <w:trHeight w:val="264"/>
        </w:trPr>
        <w:tc>
          <w:tcPr>
            <w:tcW w:w="3840" w:type="dxa"/>
            <w:vAlign w:val="bottom"/>
          </w:tcPr>
          <w:p>
            <w:pPr>
              <w:ind w:left="200"/>
              <w:spacing w:after="0"/>
              <w:rPr>
                <w:sz w:val="20"/>
                <w:szCs w:val="20"/>
                <w:color w:val="auto"/>
              </w:rPr>
            </w:pPr>
            <w:r>
              <w:rPr>
                <w:rFonts w:ascii="Arial" w:cs="Arial" w:eastAsia="Arial" w:hAnsi="Arial"/>
                <w:sz w:val="14"/>
                <w:szCs w:val="14"/>
                <w:color w:val="auto"/>
              </w:rPr>
              <w:t>Average asset yield - as of period end</w:t>
            </w:r>
          </w:p>
        </w:tc>
        <w:tc>
          <w:tcPr>
            <w:tcW w:w="18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3.21 %</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3.29 %</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3.31 %</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3.22 %</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3.03 %</w:t>
            </w:r>
          </w:p>
        </w:tc>
        <w:tc>
          <w:tcPr>
            <w:tcW w:w="0" w:type="dxa"/>
            <w:vAlign w:val="bottom"/>
          </w:tcPr>
          <w:p>
            <w:pPr>
              <w:spacing w:after="0"/>
              <w:rPr>
                <w:sz w:val="1"/>
                <w:szCs w:val="1"/>
                <w:color w:val="auto"/>
              </w:rPr>
            </w:pPr>
          </w:p>
        </w:tc>
      </w:tr>
      <w:tr>
        <w:trPr>
          <w:trHeight w:val="276"/>
        </w:trPr>
        <w:tc>
          <w:tcPr>
            <w:tcW w:w="38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Average actual CPR for securities held during the period</w:t>
            </w:r>
          </w:p>
        </w:tc>
        <w:tc>
          <w:tcPr>
            <w:tcW w:w="18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10.0 %</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6.3 %</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7.4 %</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9.7 %</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9.7 %</w:t>
            </w:r>
          </w:p>
        </w:tc>
        <w:tc>
          <w:tcPr>
            <w:tcW w:w="0" w:type="dxa"/>
            <w:vAlign w:val="bottom"/>
          </w:tcPr>
          <w:p>
            <w:pPr>
              <w:spacing w:after="0"/>
              <w:rPr>
                <w:sz w:val="1"/>
                <w:szCs w:val="1"/>
                <w:color w:val="auto"/>
              </w:rPr>
            </w:pPr>
          </w:p>
        </w:tc>
      </w:tr>
      <w:tr>
        <w:trPr>
          <w:trHeight w:val="264"/>
        </w:trPr>
        <w:tc>
          <w:tcPr>
            <w:tcW w:w="3840" w:type="dxa"/>
            <w:vAlign w:val="bottom"/>
          </w:tcPr>
          <w:p>
            <w:pPr>
              <w:ind w:left="200"/>
              <w:spacing w:after="0"/>
              <w:rPr>
                <w:sz w:val="20"/>
                <w:szCs w:val="20"/>
                <w:color w:val="auto"/>
              </w:rPr>
            </w:pPr>
            <w:r>
              <w:rPr>
                <w:rFonts w:ascii="Arial" w:cs="Arial" w:eastAsia="Arial" w:hAnsi="Arial"/>
                <w:sz w:val="14"/>
                <w:szCs w:val="14"/>
                <w:color w:val="auto"/>
              </w:rPr>
              <w:t>Average forecasted CPR - as of period end</w:t>
            </w:r>
          </w:p>
        </w:tc>
        <w:tc>
          <w:tcPr>
            <w:tcW w:w="18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12.4 %</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10.5 %</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7.9 %</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6.8 %</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7.1 %</w:t>
            </w:r>
          </w:p>
        </w:tc>
        <w:tc>
          <w:tcPr>
            <w:tcW w:w="0" w:type="dxa"/>
            <w:vAlign w:val="bottom"/>
          </w:tcPr>
          <w:p>
            <w:pPr>
              <w:spacing w:after="0"/>
              <w:rPr>
                <w:sz w:val="1"/>
                <w:szCs w:val="1"/>
                <w:color w:val="auto"/>
              </w:rPr>
            </w:pPr>
          </w:p>
        </w:tc>
      </w:tr>
      <w:tr>
        <w:trPr>
          <w:trHeight w:val="276"/>
        </w:trPr>
        <w:tc>
          <w:tcPr>
            <w:tcW w:w="38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Total premium amortization, net</w:t>
            </w: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(183)</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(142)</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(107)</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(81)</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(74)</w:t>
            </w:r>
          </w:p>
        </w:tc>
        <w:tc>
          <w:tcPr>
            <w:tcW w:w="0" w:type="dxa"/>
            <w:vAlign w:val="bottom"/>
          </w:tcPr>
          <w:p>
            <w:pPr>
              <w:spacing w:after="0"/>
              <w:rPr>
                <w:sz w:val="1"/>
                <w:szCs w:val="1"/>
                <w:color w:val="auto"/>
              </w:rPr>
            </w:pPr>
          </w:p>
        </w:tc>
      </w:tr>
      <w:tr>
        <w:trPr>
          <w:trHeight w:val="264"/>
        </w:trPr>
        <w:tc>
          <w:tcPr>
            <w:tcW w:w="3840" w:type="dxa"/>
            <w:vAlign w:val="bottom"/>
          </w:tcPr>
          <w:p>
            <w:pPr>
              <w:ind w:left="40"/>
              <w:spacing w:after="0"/>
              <w:rPr>
                <w:sz w:val="20"/>
                <w:szCs w:val="20"/>
                <w:color w:val="auto"/>
              </w:rPr>
            </w:pPr>
            <w:r>
              <w:rPr>
                <w:rFonts w:ascii="Arial" w:cs="Arial" w:eastAsia="Arial" w:hAnsi="Arial"/>
                <w:sz w:val="14"/>
                <w:szCs w:val="14"/>
                <w:color w:val="auto"/>
              </w:rPr>
              <w:t>TBA securities:</w:t>
            </w:r>
          </w:p>
        </w:tc>
        <w:tc>
          <w:tcPr>
            <w:tcW w:w="18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8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Average coupon - as of period end</w:t>
            </w:r>
          </w:p>
        </w:tc>
        <w:tc>
          <w:tcPr>
            <w:tcW w:w="18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3.01 %</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3.64 %</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4.03 %</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3.90 %</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3.75 %</w:t>
            </w:r>
          </w:p>
        </w:tc>
        <w:tc>
          <w:tcPr>
            <w:tcW w:w="0" w:type="dxa"/>
            <w:vAlign w:val="bottom"/>
          </w:tcPr>
          <w:p>
            <w:pPr>
              <w:spacing w:after="0"/>
              <w:rPr>
                <w:sz w:val="1"/>
                <w:szCs w:val="1"/>
                <w:color w:val="auto"/>
              </w:rPr>
            </w:pPr>
          </w:p>
        </w:tc>
      </w:tr>
      <w:tr>
        <w:trPr>
          <w:trHeight w:val="264"/>
        </w:trPr>
        <w:tc>
          <w:tcPr>
            <w:tcW w:w="3840" w:type="dxa"/>
            <w:vAlign w:val="bottom"/>
          </w:tcPr>
          <w:p>
            <w:pPr>
              <w:ind w:left="200"/>
              <w:spacing w:after="0"/>
              <w:rPr>
                <w:sz w:val="20"/>
                <w:szCs w:val="20"/>
                <w:color w:val="auto"/>
              </w:rPr>
            </w:pPr>
            <w:r>
              <w:rPr>
                <w:rFonts w:ascii="Arial" w:cs="Arial" w:eastAsia="Arial" w:hAnsi="Arial"/>
                <w:sz w:val="14"/>
                <w:szCs w:val="14"/>
                <w:color w:val="auto"/>
              </w:rPr>
              <w:t xml:space="preserve">Average implied asset yield </w:t>
            </w:r>
            <w:r>
              <w:rPr>
                <w:rFonts w:ascii="Arial" w:cs="Arial" w:eastAsia="Arial" w:hAnsi="Arial"/>
                <w:sz w:val="8"/>
                <w:szCs w:val="8"/>
                <w:color w:val="auto"/>
              </w:rPr>
              <w:t>7</w:t>
            </w:r>
          </w:p>
        </w:tc>
        <w:tc>
          <w:tcPr>
            <w:tcW w:w="18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3.21 %</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3.55 %</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3.66 %</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3.54 %</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3.41 %</w:t>
            </w:r>
          </w:p>
        </w:tc>
        <w:tc>
          <w:tcPr>
            <w:tcW w:w="0" w:type="dxa"/>
            <w:vAlign w:val="bottom"/>
          </w:tcPr>
          <w:p>
            <w:pPr>
              <w:spacing w:after="0"/>
              <w:rPr>
                <w:sz w:val="1"/>
                <w:szCs w:val="1"/>
                <w:color w:val="auto"/>
              </w:rPr>
            </w:pPr>
          </w:p>
        </w:tc>
      </w:tr>
      <w:tr>
        <w:trPr>
          <w:trHeight w:val="163"/>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color w:val="auto"/>
                <w:w w:val="96"/>
              </w:rPr>
              <w:t>Combined investment and TBA securities - average asset yield,</w:t>
            </w:r>
          </w:p>
        </w:tc>
        <w:tc>
          <w:tcPr>
            <w:tcW w:w="18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color w:val="auto"/>
              </w:rPr>
              <w:t xml:space="preserve">excluding "catch-up" premium amortization </w:t>
            </w:r>
            <w:r>
              <w:rPr>
                <w:rFonts w:ascii="Arial" w:cs="Arial" w:eastAsia="Arial" w:hAnsi="Arial"/>
                <w:sz w:val="8"/>
                <w:szCs w:val="8"/>
                <w:color w:val="auto"/>
              </w:rPr>
              <w:t>8</w:t>
            </w:r>
          </w:p>
        </w:tc>
        <w:tc>
          <w:tcPr>
            <w:tcW w:w="18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3.24 %</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3.33 %</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3.26 %</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3.18 %</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3.02 %</w:t>
            </w:r>
          </w:p>
        </w:tc>
        <w:tc>
          <w:tcPr>
            <w:tcW w:w="0" w:type="dxa"/>
            <w:vAlign w:val="bottom"/>
          </w:tcPr>
          <w:p>
            <w:pPr>
              <w:spacing w:after="0"/>
              <w:rPr>
                <w:sz w:val="1"/>
                <w:szCs w:val="1"/>
                <w:color w:val="auto"/>
              </w:rPr>
            </w:pPr>
          </w:p>
        </w:tc>
      </w:tr>
      <w:tr>
        <w:trPr>
          <w:trHeight w:val="264"/>
        </w:trPr>
        <w:tc>
          <w:tcPr>
            <w:tcW w:w="3840" w:type="dxa"/>
            <w:vAlign w:val="bottom"/>
          </w:tcPr>
          <w:p>
            <w:pPr>
              <w:ind w:left="40"/>
              <w:spacing w:after="0"/>
              <w:rPr>
                <w:sz w:val="20"/>
                <w:szCs w:val="20"/>
                <w:color w:val="auto"/>
              </w:rPr>
            </w:pPr>
            <w:r>
              <w:rPr>
                <w:rFonts w:ascii="Arial" w:cs="Arial" w:eastAsia="Arial" w:hAnsi="Arial"/>
                <w:sz w:val="14"/>
                <w:szCs w:val="14"/>
                <w:color w:val="auto"/>
              </w:rPr>
              <w:t>Cost of funds:</w:t>
            </w:r>
          </w:p>
        </w:tc>
        <w:tc>
          <w:tcPr>
            <w:tcW w:w="18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8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Repurchase agreements - average funding cost</w:t>
            </w:r>
          </w:p>
        </w:tc>
        <w:tc>
          <w:tcPr>
            <w:tcW w:w="18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2.62 %</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2.64 %</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2.42 %</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2.20 %</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1.99 %</w:t>
            </w:r>
          </w:p>
        </w:tc>
        <w:tc>
          <w:tcPr>
            <w:tcW w:w="0" w:type="dxa"/>
            <w:vAlign w:val="bottom"/>
          </w:tcPr>
          <w:p>
            <w:pPr>
              <w:spacing w:after="0"/>
              <w:rPr>
                <w:sz w:val="1"/>
                <w:szCs w:val="1"/>
                <w:color w:val="auto"/>
              </w:rPr>
            </w:pPr>
          </w:p>
        </w:tc>
      </w:tr>
      <w:tr>
        <w:trPr>
          <w:trHeight w:val="264"/>
        </w:trPr>
        <w:tc>
          <w:tcPr>
            <w:tcW w:w="3840" w:type="dxa"/>
            <w:vAlign w:val="bottom"/>
          </w:tcPr>
          <w:p>
            <w:pPr>
              <w:ind w:left="200"/>
              <w:spacing w:after="0"/>
              <w:rPr>
                <w:sz w:val="20"/>
                <w:szCs w:val="20"/>
                <w:color w:val="auto"/>
              </w:rPr>
            </w:pPr>
            <w:r>
              <w:rPr>
                <w:rFonts w:ascii="Arial" w:cs="Arial" w:eastAsia="Arial" w:hAnsi="Arial"/>
                <w:sz w:val="14"/>
                <w:szCs w:val="14"/>
                <w:color w:val="auto"/>
              </w:rPr>
              <w:t xml:space="preserve">TBA securities - average implied funding cost </w:t>
            </w:r>
            <w:r>
              <w:rPr>
                <w:rFonts w:ascii="Arial" w:cs="Arial" w:eastAsia="Arial" w:hAnsi="Arial"/>
                <w:sz w:val="8"/>
                <w:szCs w:val="8"/>
                <w:color w:val="auto"/>
              </w:rPr>
              <w:t>6</w:t>
            </w:r>
          </w:p>
        </w:tc>
        <w:tc>
          <w:tcPr>
            <w:tcW w:w="18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2.47 %</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2.60 %</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2.32 %</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2.05 %</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1.75 %</w:t>
            </w:r>
          </w:p>
        </w:tc>
        <w:tc>
          <w:tcPr>
            <w:tcW w:w="0" w:type="dxa"/>
            <w:vAlign w:val="bottom"/>
          </w:tcPr>
          <w:p>
            <w:pPr>
              <w:spacing w:after="0"/>
              <w:rPr>
                <w:sz w:val="1"/>
                <w:szCs w:val="1"/>
                <w:color w:val="auto"/>
              </w:rPr>
            </w:pPr>
          </w:p>
        </w:tc>
      </w:tr>
      <w:tr>
        <w:trPr>
          <w:trHeight w:val="174"/>
        </w:trPr>
        <w:tc>
          <w:tcPr>
            <w:tcW w:w="3840" w:type="dxa"/>
            <w:vAlign w:val="bottom"/>
            <w:shd w:val="clear" w:color="auto" w:fill="CCEEFF"/>
          </w:tcPr>
          <w:p>
            <w:pPr>
              <w:ind w:left="200"/>
              <w:spacing w:after="0"/>
              <w:rPr>
                <w:sz w:val="20"/>
                <w:szCs w:val="20"/>
                <w:color w:val="auto"/>
              </w:rPr>
            </w:pPr>
            <w:r>
              <w:rPr>
                <w:rFonts w:ascii="Arial" w:cs="Arial" w:eastAsia="Arial" w:hAnsi="Arial"/>
                <w:sz w:val="14"/>
                <w:szCs w:val="14"/>
                <w:color w:val="auto"/>
                <w:w w:val="96"/>
              </w:rPr>
              <w:t>Interest rate swaps - average periodic (income) cost of funds</w:t>
            </w:r>
          </w:p>
        </w:tc>
        <w:tc>
          <w:tcPr>
            <w:tcW w:w="180" w:type="dxa"/>
            <w:vAlign w:val="bottom"/>
            <w:shd w:val="clear" w:color="auto" w:fill="CCEEFF"/>
          </w:tcPr>
          <w:p>
            <w:pPr>
              <w:spacing w:after="0"/>
              <w:rPr>
                <w:sz w:val="15"/>
                <w:szCs w:val="15"/>
                <w:color w:val="auto"/>
              </w:rPr>
            </w:pP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(0.36)%</w:t>
            </w:r>
          </w:p>
        </w:tc>
        <w:tc>
          <w:tcPr>
            <w:tcW w:w="12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(0.37)%</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(0.32)%</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(0.30)%</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(0.25)%</w:t>
            </w:r>
          </w:p>
        </w:tc>
        <w:tc>
          <w:tcPr>
            <w:tcW w:w="0" w:type="dxa"/>
            <w:vAlign w:val="bottom"/>
          </w:tcPr>
          <w:p>
            <w:pPr>
              <w:spacing w:after="0"/>
              <w:rPr>
                <w:sz w:val="1"/>
                <w:szCs w:val="1"/>
                <w:color w:val="auto"/>
              </w:rPr>
            </w:pPr>
          </w:p>
        </w:tc>
      </w:tr>
      <w:tr>
        <w:trPr>
          <w:trHeight w:val="142"/>
        </w:trPr>
        <w:tc>
          <w:tcPr>
            <w:tcW w:w="3840" w:type="dxa"/>
            <w:vAlign w:val="bottom"/>
            <w:shd w:val="clear" w:color="auto" w:fill="CCEEFF"/>
          </w:tcPr>
          <w:p>
            <w:pPr>
              <w:ind w:left="40"/>
              <w:spacing w:after="0"/>
              <w:rPr>
                <w:sz w:val="20"/>
                <w:szCs w:val="20"/>
                <w:color w:val="auto"/>
              </w:rPr>
            </w:pPr>
            <w:r>
              <w:rPr>
                <w:rFonts w:ascii="Arial" w:cs="Arial" w:eastAsia="Arial" w:hAnsi="Arial"/>
                <w:sz w:val="9"/>
                <w:szCs w:val="9"/>
                <w:color w:val="auto"/>
              </w:rPr>
              <w:t>10</w:t>
            </w:r>
          </w:p>
        </w:tc>
        <w:tc>
          <w:tcPr>
            <w:tcW w:w="180" w:type="dxa"/>
            <w:vAlign w:val="bottom"/>
            <w:shd w:val="clear" w:color="auto" w:fill="CCEEFF"/>
          </w:tcPr>
          <w:p>
            <w:pPr>
              <w:spacing w:after="0"/>
              <w:rPr>
                <w:sz w:val="12"/>
                <w:szCs w:val="12"/>
                <w:color w:val="auto"/>
              </w:rPr>
            </w:pPr>
          </w:p>
        </w:tc>
        <w:tc>
          <w:tcPr>
            <w:tcW w:w="760" w:type="dxa"/>
            <w:vAlign w:val="bottom"/>
            <w:vMerge w:val="continue"/>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760" w:type="dxa"/>
            <w:vAlign w:val="bottom"/>
            <w:vMerge w:val="continue"/>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00" w:type="dxa"/>
            <w:vAlign w:val="bottom"/>
            <w:vMerge w:val="continue"/>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40" w:type="dxa"/>
            <w:vAlign w:val="bottom"/>
            <w:vMerge w:val="continue"/>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760" w:type="dxa"/>
            <w:vAlign w:val="bottom"/>
            <w:vMerge w:val="continue"/>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7"/>
        </w:trPr>
        <w:tc>
          <w:tcPr>
            <w:tcW w:w="3840" w:type="dxa"/>
            <w:vAlign w:val="bottom"/>
          </w:tcPr>
          <w:p>
            <w:pPr>
              <w:ind w:left="200"/>
              <w:spacing w:after="0" w:line="157" w:lineRule="exact"/>
              <w:rPr>
                <w:sz w:val="20"/>
                <w:szCs w:val="20"/>
                <w:color w:val="auto"/>
              </w:rPr>
            </w:pPr>
            <w:r>
              <w:rPr>
                <w:rFonts w:ascii="Arial" w:cs="Arial" w:eastAsia="Arial" w:hAnsi="Arial"/>
                <w:sz w:val="14"/>
                <w:szCs w:val="14"/>
                <w:color w:val="auto"/>
              </w:rPr>
              <w:t>Average total cost of funds, inclusive of TBAs and interest</w:t>
            </w: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3840" w:type="dxa"/>
            <w:vAlign w:val="bottom"/>
          </w:tcPr>
          <w:p>
            <w:pPr>
              <w:ind w:left="200"/>
              <w:spacing w:after="0"/>
              <w:rPr>
                <w:sz w:val="20"/>
                <w:szCs w:val="20"/>
                <w:color w:val="auto"/>
              </w:rPr>
            </w:pPr>
            <w:r>
              <w:rPr>
                <w:rFonts w:ascii="Arial" w:cs="Arial" w:eastAsia="Arial" w:hAnsi="Arial"/>
                <w:sz w:val="14"/>
                <w:szCs w:val="14"/>
                <w:color w:val="auto"/>
              </w:rPr>
              <w:t xml:space="preserve">rate swap periodic (income) cost </w:t>
            </w:r>
            <w:r>
              <w:rPr>
                <w:rFonts w:ascii="Arial" w:cs="Arial" w:eastAsia="Arial" w:hAnsi="Arial"/>
                <w:sz w:val="8"/>
                <w:szCs w:val="8"/>
                <w:color w:val="auto"/>
              </w:rPr>
              <w:t>8</w:t>
            </w:r>
          </w:p>
        </w:tc>
        <w:tc>
          <w:tcPr>
            <w:tcW w:w="18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2.24 %</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2.27 %</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2.09 %</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1.88 %</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1.67 %</w:t>
            </w:r>
          </w:p>
        </w:tc>
        <w:tc>
          <w:tcPr>
            <w:tcW w:w="0" w:type="dxa"/>
            <w:vAlign w:val="bottom"/>
          </w:tcPr>
          <w:p>
            <w:pPr>
              <w:spacing w:after="0"/>
              <w:rPr>
                <w:sz w:val="1"/>
                <w:szCs w:val="1"/>
                <w:color w:val="auto"/>
              </w:rPr>
            </w:pPr>
          </w:p>
        </w:tc>
      </w:tr>
      <w:tr>
        <w:trPr>
          <w:trHeight w:val="163"/>
        </w:trPr>
        <w:tc>
          <w:tcPr>
            <w:tcW w:w="3840" w:type="dxa"/>
            <w:vAlign w:val="bottom"/>
            <w:shd w:val="clear" w:color="auto" w:fill="CCEEFF"/>
          </w:tcPr>
          <w:p>
            <w:pPr>
              <w:ind w:left="200"/>
              <w:spacing w:after="0"/>
              <w:rPr>
                <w:sz w:val="20"/>
                <w:szCs w:val="20"/>
                <w:color w:val="auto"/>
              </w:rPr>
            </w:pPr>
            <w:r>
              <w:rPr>
                <w:rFonts w:ascii="Arial" w:cs="Arial" w:eastAsia="Arial" w:hAnsi="Arial"/>
                <w:sz w:val="14"/>
                <w:szCs w:val="14"/>
                <w:color w:val="auto"/>
                <w:w w:val="97"/>
              </w:rPr>
              <w:t>Repurchase agreements - average funding cost as of period</w:t>
            </w:r>
          </w:p>
        </w:tc>
        <w:tc>
          <w:tcPr>
            <w:tcW w:w="18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color w:val="auto"/>
              </w:rPr>
              <w:t>end</w:t>
            </w:r>
          </w:p>
        </w:tc>
        <w:tc>
          <w:tcPr>
            <w:tcW w:w="18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2.64 %</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2.82 %</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2.79 %</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2.30 %</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2.18 %</w:t>
            </w:r>
          </w:p>
        </w:tc>
        <w:tc>
          <w:tcPr>
            <w:tcW w:w="0" w:type="dxa"/>
            <w:vAlign w:val="bottom"/>
          </w:tcPr>
          <w:p>
            <w:pPr>
              <w:spacing w:after="0"/>
              <w:rPr>
                <w:sz w:val="1"/>
                <w:szCs w:val="1"/>
                <w:color w:val="auto"/>
              </w:rPr>
            </w:pPr>
          </w:p>
        </w:tc>
      </w:tr>
      <w:tr>
        <w:trPr>
          <w:trHeight w:val="157"/>
        </w:trPr>
        <w:tc>
          <w:tcPr>
            <w:tcW w:w="3840" w:type="dxa"/>
            <w:vAlign w:val="bottom"/>
          </w:tcPr>
          <w:p>
            <w:pPr>
              <w:ind w:left="200"/>
              <w:spacing w:after="0" w:line="157" w:lineRule="exact"/>
              <w:rPr>
                <w:sz w:val="20"/>
                <w:szCs w:val="20"/>
                <w:color w:val="auto"/>
              </w:rPr>
            </w:pPr>
            <w:r>
              <w:rPr>
                <w:rFonts w:ascii="Arial" w:cs="Arial" w:eastAsia="Arial" w:hAnsi="Arial"/>
                <w:sz w:val="14"/>
                <w:szCs w:val="14"/>
                <w:color w:val="auto"/>
              </w:rPr>
              <w:t>Interest rate swaps - average net pay/(receive) rate as of</w:t>
            </w: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3840" w:type="dxa"/>
            <w:vAlign w:val="bottom"/>
          </w:tcPr>
          <w:p>
            <w:pPr>
              <w:ind w:left="40"/>
              <w:spacing w:after="0"/>
              <w:rPr>
                <w:sz w:val="20"/>
                <w:szCs w:val="20"/>
                <w:color w:val="auto"/>
              </w:rPr>
            </w:pPr>
            <w:r>
              <w:rPr>
                <w:rFonts w:ascii="Arial" w:cs="Arial" w:eastAsia="Arial" w:hAnsi="Arial"/>
                <w:sz w:val="14"/>
                <w:szCs w:val="14"/>
                <w:color w:val="auto"/>
              </w:rPr>
              <w:t xml:space="preserve">period end </w:t>
            </w:r>
            <w:r>
              <w:rPr>
                <w:rFonts w:ascii="Arial" w:cs="Arial" w:eastAsia="Arial" w:hAnsi="Arial"/>
                <w:sz w:val="8"/>
                <w:szCs w:val="8"/>
                <w:color w:val="auto"/>
              </w:rPr>
              <w:t>17</w:t>
            </w:r>
          </w:p>
        </w:tc>
        <w:tc>
          <w:tcPr>
            <w:tcW w:w="18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(0.74)%</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(0.68)%</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(0.52)%</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(0.32)%</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(0.41)%</w:t>
            </w:r>
          </w:p>
        </w:tc>
        <w:tc>
          <w:tcPr>
            <w:tcW w:w="0" w:type="dxa"/>
            <w:vAlign w:val="bottom"/>
          </w:tcPr>
          <w:p>
            <w:pPr>
              <w:spacing w:after="0"/>
              <w:rPr>
                <w:sz w:val="1"/>
                <w:szCs w:val="1"/>
                <w:color w:val="auto"/>
              </w:rPr>
            </w:pPr>
          </w:p>
        </w:tc>
      </w:tr>
      <w:tr>
        <w:trPr>
          <w:trHeight w:val="276"/>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interest spread:</w:t>
            </w:r>
          </w:p>
        </w:tc>
        <w:tc>
          <w:tcPr>
            <w:tcW w:w="18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3840" w:type="dxa"/>
            <w:vAlign w:val="bottom"/>
          </w:tcPr>
          <w:p>
            <w:pPr>
              <w:ind w:left="200"/>
              <w:spacing w:after="0" w:line="157" w:lineRule="exact"/>
              <w:rPr>
                <w:sz w:val="20"/>
                <w:szCs w:val="20"/>
                <w:color w:val="auto"/>
              </w:rPr>
            </w:pPr>
            <w:r>
              <w:rPr>
                <w:rFonts w:ascii="Arial" w:cs="Arial" w:eastAsia="Arial" w:hAnsi="Arial"/>
                <w:sz w:val="14"/>
                <w:szCs w:val="14"/>
                <w:color w:val="auto"/>
                <w:w w:val="94"/>
              </w:rPr>
              <w:t>Combined investment and TBA securities average net interest</w:t>
            </w: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3840" w:type="dxa"/>
            <w:vAlign w:val="bottom"/>
          </w:tcPr>
          <w:p>
            <w:pPr>
              <w:ind w:left="200"/>
              <w:spacing w:after="0"/>
              <w:rPr>
                <w:sz w:val="20"/>
                <w:szCs w:val="20"/>
                <w:color w:val="auto"/>
              </w:rPr>
            </w:pPr>
            <w:r>
              <w:rPr>
                <w:rFonts w:ascii="Arial" w:cs="Arial" w:eastAsia="Arial" w:hAnsi="Arial"/>
                <w:sz w:val="14"/>
                <w:szCs w:val="14"/>
                <w:color w:val="auto"/>
              </w:rPr>
              <w:t>spread</w:t>
            </w:r>
          </w:p>
        </w:tc>
        <w:tc>
          <w:tcPr>
            <w:tcW w:w="18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0.78 %</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0.90 %</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1.09 %</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1.33 %</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1.42 %</w:t>
            </w:r>
          </w:p>
        </w:tc>
        <w:tc>
          <w:tcPr>
            <w:tcW w:w="0" w:type="dxa"/>
            <w:vAlign w:val="bottom"/>
          </w:tcPr>
          <w:p>
            <w:pPr>
              <w:spacing w:after="0"/>
              <w:rPr>
                <w:sz w:val="1"/>
                <w:szCs w:val="1"/>
                <w:color w:val="auto"/>
              </w:rPr>
            </w:pPr>
          </w:p>
        </w:tc>
      </w:tr>
      <w:tr>
        <w:trPr>
          <w:trHeight w:val="163"/>
        </w:trPr>
        <w:tc>
          <w:tcPr>
            <w:tcW w:w="3840" w:type="dxa"/>
            <w:vAlign w:val="bottom"/>
            <w:shd w:val="clear" w:color="auto" w:fill="CCEEFF"/>
          </w:tcPr>
          <w:p>
            <w:pPr>
              <w:ind w:left="200"/>
              <w:spacing w:after="0"/>
              <w:rPr>
                <w:sz w:val="20"/>
                <w:szCs w:val="20"/>
                <w:color w:val="auto"/>
              </w:rPr>
            </w:pPr>
            <w:r>
              <w:rPr>
                <w:rFonts w:ascii="Arial" w:cs="Arial" w:eastAsia="Arial" w:hAnsi="Arial"/>
                <w:sz w:val="14"/>
                <w:szCs w:val="14"/>
                <w:color w:val="auto"/>
                <w:w w:val="94"/>
              </w:rPr>
              <w:t>Combined investment and TBA securities average net interest</w:t>
            </w:r>
          </w:p>
        </w:tc>
        <w:tc>
          <w:tcPr>
            <w:tcW w:w="18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38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spread, excluding "catch-up" premium amortization</w:t>
            </w:r>
          </w:p>
        </w:tc>
        <w:tc>
          <w:tcPr>
            <w:tcW w:w="18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1.00 %</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1.06 %</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1.17 %</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1.30 %</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1.35 %</w:t>
            </w:r>
          </w:p>
        </w:tc>
        <w:tc>
          <w:tcPr>
            <w:tcW w:w="0" w:type="dxa"/>
            <w:vAlign w:val="bottom"/>
          </w:tcPr>
          <w:p>
            <w:pPr>
              <w:spacing w:after="0"/>
              <w:rPr>
                <w:sz w:val="1"/>
                <w:szCs w:val="1"/>
                <w:color w:val="auto"/>
              </w:rPr>
            </w:pPr>
          </w:p>
        </w:tc>
      </w:tr>
      <w:tr>
        <w:trPr>
          <w:trHeight w:val="264"/>
        </w:trPr>
        <w:tc>
          <w:tcPr>
            <w:tcW w:w="3840" w:type="dxa"/>
            <w:vAlign w:val="bottom"/>
          </w:tcPr>
          <w:p>
            <w:pPr>
              <w:ind w:left="40"/>
              <w:spacing w:after="0"/>
              <w:rPr>
                <w:sz w:val="20"/>
                <w:szCs w:val="20"/>
                <w:color w:val="auto"/>
              </w:rPr>
            </w:pPr>
            <w:r>
              <w:rPr>
                <w:rFonts w:ascii="Arial" w:cs="Arial" w:eastAsia="Arial" w:hAnsi="Arial"/>
                <w:sz w:val="14"/>
                <w:szCs w:val="14"/>
                <w:color w:val="auto"/>
              </w:rPr>
              <w:t xml:space="preserve">Expenses % of average stockholders' equity - annualized </w:t>
            </w:r>
            <w:r>
              <w:rPr>
                <w:rFonts w:ascii="Arial" w:cs="Arial" w:eastAsia="Arial" w:hAnsi="Arial"/>
                <w:sz w:val="8"/>
                <w:szCs w:val="8"/>
                <w:color w:val="auto"/>
              </w:rPr>
              <w:t>18</w:t>
            </w:r>
          </w:p>
        </w:tc>
        <w:tc>
          <w:tcPr>
            <w:tcW w:w="18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0.77 %</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0.75 %</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0.75 %</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0.81 %</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0.83 %</w:t>
            </w:r>
          </w:p>
        </w:tc>
        <w:tc>
          <w:tcPr>
            <w:tcW w:w="0" w:type="dxa"/>
            <w:vAlign w:val="bottom"/>
          </w:tcPr>
          <w:p>
            <w:pPr>
              <w:spacing w:after="0"/>
              <w:rPr>
                <w:sz w:val="1"/>
                <w:szCs w:val="1"/>
                <w:color w:val="auto"/>
              </w:rPr>
            </w:pPr>
          </w:p>
        </w:tc>
      </w:tr>
      <w:tr>
        <w:trPr>
          <w:trHeight w:val="163"/>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color w:val="auto"/>
              </w:rPr>
              <w:t>Economic return (loss) on tangible common equity -</w:t>
            </w:r>
          </w:p>
        </w:tc>
        <w:tc>
          <w:tcPr>
            <w:tcW w:w="18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3840" w:type="dxa"/>
            <w:vAlign w:val="bottom"/>
            <w:shd w:val="clear" w:color="auto" w:fill="CCEEFF"/>
          </w:tcPr>
          <w:p>
            <w:pPr>
              <w:ind w:left="40"/>
              <w:spacing w:after="0"/>
              <w:rPr>
                <w:sz w:val="20"/>
                <w:szCs w:val="20"/>
                <w:color w:val="auto"/>
              </w:rPr>
            </w:pPr>
            <w:r>
              <w:rPr>
                <w:rFonts w:ascii="Arial" w:cs="Arial" w:eastAsia="Arial" w:hAnsi="Arial"/>
                <w:sz w:val="14"/>
                <w:szCs w:val="14"/>
                <w:color w:val="auto"/>
              </w:rPr>
              <w:t xml:space="preserve">unannualized </w:t>
            </w:r>
            <w:r>
              <w:rPr>
                <w:rFonts w:ascii="Arial" w:cs="Arial" w:eastAsia="Arial" w:hAnsi="Arial"/>
                <w:sz w:val="8"/>
                <w:szCs w:val="8"/>
                <w:color w:val="auto"/>
              </w:rPr>
              <w:t>19</w:t>
            </w:r>
          </w:p>
        </w:tc>
        <w:tc>
          <w:tcPr>
            <w:tcW w:w="18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(0.9)%</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7.3 %</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0.7 %</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1.7 %</w:t>
            </w:r>
          </w:p>
        </w:tc>
        <w:tc>
          <w:tcPr>
            <w:tcW w:w="0" w:type="dxa"/>
            <w:vAlign w:val="bottom"/>
          </w:tcPr>
          <w:p>
            <w:pPr>
              <w:spacing w:after="0"/>
              <w:rPr>
                <w:sz w:val="1"/>
                <w:szCs w:val="1"/>
                <w:color w:val="auto"/>
              </w:rPr>
            </w:pPr>
          </w:p>
        </w:tc>
      </w:tr>
    </w:tbl>
    <w:p>
      <w:pPr>
        <w:sectPr>
          <w:pgSz w:w="11900" w:h="16838" w:orient="portrait"/>
          <w:cols w:equalWidth="0" w:num="1">
            <w:col w:w="10219"/>
          </w:cols>
          <w:pgMar w:left="240" w:top="147" w:right="1440" w:bottom="49" w:gutter="0" w:footer="0" w:header="0"/>
        </w:sectPr>
      </w:pPr>
    </w:p>
    <w:bookmarkStart w:id="15" w:name="page16"/>
    <w:bookmarkEnd w:id="15"/>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24,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13</w:t>
      </w:r>
    </w:p>
    <w:p>
      <w:pPr>
        <w:spacing w:after="0" w:line="242" w:lineRule="exact"/>
        <w:rPr>
          <w:sz w:val="20"/>
          <w:szCs w:val="20"/>
          <w:color w:val="auto"/>
        </w:rPr>
      </w:pPr>
    </w:p>
    <w:p>
      <w:pPr>
        <w:ind w:right="20"/>
        <w:spacing w:after="0" w:line="246" w:lineRule="auto"/>
        <w:rPr>
          <w:sz w:val="20"/>
          <w:szCs w:val="20"/>
          <w:color w:val="auto"/>
        </w:rPr>
      </w:pPr>
      <w:r>
        <w:rPr>
          <w:rFonts w:ascii="Arial" w:cs="Arial" w:eastAsia="Arial" w:hAnsi="Arial"/>
          <w:sz w:val="16"/>
          <w:szCs w:val="16"/>
          <w:color w:val="auto"/>
        </w:rPr>
        <w:t>*Except as noted below, average numbers for each period are weighted based on days on the Company's books and records. All percentages are annualized, unless otherwise noted.</w:t>
      </w:r>
    </w:p>
    <w:p>
      <w:pPr>
        <w:spacing w:after="0" w:line="1" w:lineRule="exact"/>
        <w:rPr>
          <w:sz w:val="20"/>
          <w:szCs w:val="20"/>
          <w:color w:val="auto"/>
        </w:rPr>
      </w:pPr>
    </w:p>
    <w:p>
      <w:pPr>
        <w:spacing w:after="0"/>
        <w:rPr>
          <w:sz w:val="20"/>
          <w:szCs w:val="20"/>
          <w:color w:val="auto"/>
        </w:rPr>
      </w:pPr>
      <w:r>
        <w:rPr>
          <w:rFonts w:ascii="Arial" w:cs="Arial" w:eastAsia="Arial" w:hAnsi="Arial"/>
          <w:sz w:val="16"/>
          <w:szCs w:val="16"/>
          <w:color w:val="auto"/>
        </w:rPr>
        <w:t>Numbers in financial tables may not total due to rounding.</w:t>
      </w:r>
    </w:p>
    <w:p>
      <w:pPr>
        <w:spacing w:after="0" w:line="194" w:lineRule="exact"/>
        <w:rPr>
          <w:sz w:val="20"/>
          <w:szCs w:val="20"/>
          <w:color w:val="auto"/>
        </w:rPr>
      </w:pPr>
    </w:p>
    <w:p>
      <w:pPr>
        <w:ind w:left="340" w:hanging="332"/>
        <w:spacing w:after="0"/>
        <w:tabs>
          <w:tab w:leader="none" w:pos="3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Tangible net book value per common share excludes preferred stock liquidation preference and goodwill and other intangible asset, net.</w:t>
      </w:r>
    </w:p>
    <w:p>
      <w:pPr>
        <w:spacing w:after="0" w:line="5" w:lineRule="exact"/>
        <w:rPr>
          <w:rFonts w:ascii="Arial" w:cs="Arial" w:eastAsia="Arial" w:hAnsi="Arial"/>
          <w:sz w:val="16"/>
          <w:szCs w:val="16"/>
          <w:color w:val="auto"/>
        </w:rPr>
      </w:pPr>
    </w:p>
    <w:p>
      <w:pPr>
        <w:ind w:left="340" w:right="20" w:hanging="332"/>
        <w:spacing w:after="0" w:line="246" w:lineRule="auto"/>
        <w:tabs>
          <w:tab w:leader="none" w:pos="3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Table includes non-GAAP financial measures and/or amounts derived from non-GAAP measures. Refer to "Use of Non-GAAP Financial Information" for additional discussion of non-GAAP financial measures.</w:t>
      </w:r>
    </w:p>
    <w:p>
      <w:pPr>
        <w:ind w:left="340" w:hanging="332"/>
        <w:spacing w:after="0"/>
        <w:tabs>
          <w:tab w:leader="none" w:pos="3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Amount reported in gain (loss) on derivatives instruments and other securities, net in the accompanying consolidated statements of operations.</w:t>
      </w:r>
    </w:p>
    <w:p>
      <w:pPr>
        <w:spacing w:after="0" w:line="5" w:lineRule="exact"/>
        <w:rPr>
          <w:rFonts w:ascii="Arial" w:cs="Arial" w:eastAsia="Arial" w:hAnsi="Arial"/>
          <w:sz w:val="16"/>
          <w:szCs w:val="16"/>
          <w:color w:val="auto"/>
        </w:rPr>
      </w:pPr>
    </w:p>
    <w:p>
      <w:pPr>
        <w:ind w:left="340" w:hanging="332"/>
        <w:spacing w:after="0" w:line="246" w:lineRule="auto"/>
        <w:tabs>
          <w:tab w:leader="none" w:pos="3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Dollar roll income represents the price differential, or "price drop," between the TBA price for current month settlement versus the TBA price for forward month settlement. Amount is net of TBAs used for hedging purposes. Amount excludes TBA mark-to-market adjustments.</w:t>
      </w:r>
    </w:p>
    <w:p>
      <w:pPr>
        <w:ind w:left="340" w:hanging="332"/>
        <w:spacing w:after="0"/>
        <w:tabs>
          <w:tab w:leader="none" w:pos="3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Includes decrease in net capital loss carryforwards due to expiration of unutilized net capital loss carryforwards from prior years.</w:t>
      </w:r>
    </w:p>
    <w:p>
      <w:pPr>
        <w:spacing w:after="0" w:line="5" w:lineRule="exact"/>
        <w:rPr>
          <w:rFonts w:ascii="Arial" w:cs="Arial" w:eastAsia="Arial" w:hAnsi="Arial"/>
          <w:sz w:val="16"/>
          <w:szCs w:val="16"/>
          <w:color w:val="auto"/>
        </w:rPr>
      </w:pPr>
    </w:p>
    <w:p>
      <w:pPr>
        <w:jc w:val="both"/>
        <w:ind w:left="340" w:hanging="332"/>
        <w:spacing w:after="0" w:line="246" w:lineRule="auto"/>
        <w:tabs>
          <w:tab w:leader="none" w:pos="3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The implied funding cost of TBA dollar roll transactions is determined using the "price drop" (Note 4) and market based assumptions regarding the "cheapest-to-deliver" collateral that can be delivered to satisfy the TBA contract, such as the anticipated collateral’s weighted average coupon, weighted average maturity and projected 1-month CPR. The average implied funding cost for all TBA transactions is weighted based on the Company’s daily average TBA balance outstanding for the period.</w:t>
      </w:r>
    </w:p>
    <w:p>
      <w:pPr>
        <w:spacing w:after="0" w:line="1" w:lineRule="exact"/>
        <w:rPr>
          <w:rFonts w:ascii="Arial" w:cs="Arial" w:eastAsia="Arial" w:hAnsi="Arial"/>
          <w:sz w:val="16"/>
          <w:szCs w:val="16"/>
          <w:color w:val="auto"/>
        </w:rPr>
      </w:pPr>
    </w:p>
    <w:p>
      <w:pPr>
        <w:ind w:left="340" w:right="20" w:hanging="332"/>
        <w:spacing w:after="0" w:line="246" w:lineRule="auto"/>
        <w:tabs>
          <w:tab w:leader="none" w:pos="3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The average implied asset yield for TBA dollar roll transactions is extrapolated by adding the average TBA implied funding cost (Note 6) to the net dollar roll yield. The net dollar roll yield is calculated by dividing dollar roll income (Note 4) by the average TBA cost basis outstanding for the period.</w:t>
      </w:r>
    </w:p>
    <w:p>
      <w:pPr>
        <w:ind w:left="340" w:hanging="332"/>
        <w:spacing w:after="0"/>
        <w:tabs>
          <w:tab w:leader="none" w:pos="3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Amount calculated on a weighted average basis based on average balances outstanding during the period and their respective asset yield/funding cost.</w:t>
      </w:r>
    </w:p>
    <w:p>
      <w:pPr>
        <w:spacing w:after="0" w:line="5" w:lineRule="exact"/>
        <w:rPr>
          <w:rFonts w:ascii="Arial" w:cs="Arial" w:eastAsia="Arial" w:hAnsi="Arial"/>
          <w:sz w:val="16"/>
          <w:szCs w:val="16"/>
          <w:color w:val="auto"/>
        </w:rPr>
      </w:pPr>
    </w:p>
    <w:p>
      <w:pPr>
        <w:ind w:left="340" w:hanging="332"/>
        <w:spacing w:after="0"/>
        <w:tabs>
          <w:tab w:leader="none" w:pos="3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Represents periodic interest rate swap settlements. Amount excludes interest rate swap termination fees and mark-to-market adjustments.</w:t>
      </w:r>
    </w:p>
    <w:p>
      <w:pPr>
        <w:spacing w:after="0" w:line="5" w:lineRule="exact"/>
        <w:rPr>
          <w:rFonts w:ascii="Arial" w:cs="Arial" w:eastAsia="Arial" w:hAnsi="Arial"/>
          <w:sz w:val="16"/>
          <w:szCs w:val="16"/>
          <w:color w:val="auto"/>
        </w:rPr>
      </w:pPr>
    </w:p>
    <w:p>
      <w:pPr>
        <w:ind w:left="340" w:hanging="332"/>
        <w:spacing w:after="0" w:line="246" w:lineRule="auto"/>
        <w:tabs>
          <w:tab w:leader="none" w:pos="3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Represents interest rate swap periodic income/cost measured as a percent of total mortgage funding (Agency repurchase agreements, other debt and TBA securities).</w:t>
      </w:r>
    </w:p>
    <w:p>
      <w:pPr>
        <w:ind w:left="340" w:hanging="332"/>
        <w:spacing w:after="0"/>
        <w:tabs>
          <w:tab w:leader="none" w:pos="3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"Catch-up" premium amortization cost/benefit is reported in interest income on the accompanying consolidated statements of operations</w:t>
      </w:r>
    </w:p>
    <w:p>
      <w:pPr>
        <w:spacing w:after="0" w:line="5" w:lineRule="exact"/>
        <w:rPr>
          <w:rFonts w:ascii="Arial" w:cs="Arial" w:eastAsia="Arial" w:hAnsi="Arial"/>
          <w:sz w:val="16"/>
          <w:szCs w:val="16"/>
          <w:color w:val="auto"/>
        </w:rPr>
      </w:pPr>
    </w:p>
    <w:p>
      <w:pPr>
        <w:ind w:left="340" w:hanging="332"/>
        <w:spacing w:after="0"/>
        <w:tabs>
          <w:tab w:leader="none" w:pos="3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Investment securities include Agency MBS, CRT and non-Agency securities. Amounts exclude TBA securities.</w:t>
      </w:r>
    </w:p>
    <w:p>
      <w:pPr>
        <w:spacing w:after="0" w:line="5" w:lineRule="exact"/>
        <w:rPr>
          <w:rFonts w:ascii="Arial" w:cs="Arial" w:eastAsia="Arial" w:hAnsi="Arial"/>
          <w:sz w:val="16"/>
          <w:szCs w:val="16"/>
          <w:color w:val="auto"/>
        </w:rPr>
      </w:pPr>
    </w:p>
    <w:p>
      <w:pPr>
        <w:ind w:left="340" w:hanging="332"/>
        <w:spacing w:after="0"/>
        <w:tabs>
          <w:tab w:leader="none" w:pos="3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Average repurchase agreements and other debt excludes U.S. Treasury repurchase agreements.</w:t>
      </w:r>
    </w:p>
    <w:p>
      <w:pPr>
        <w:spacing w:after="0" w:line="5" w:lineRule="exact"/>
        <w:rPr>
          <w:rFonts w:ascii="Arial" w:cs="Arial" w:eastAsia="Arial" w:hAnsi="Arial"/>
          <w:sz w:val="16"/>
          <w:szCs w:val="16"/>
          <w:color w:val="auto"/>
        </w:rPr>
      </w:pPr>
    </w:p>
    <w:p>
      <w:pPr>
        <w:ind w:left="340" w:hanging="332"/>
        <w:spacing w:after="0"/>
        <w:tabs>
          <w:tab w:leader="none" w:pos="3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Average stockholders' equity calculated as the average month-ended stockholders' equity during the quarter.</w:t>
      </w:r>
    </w:p>
    <w:p>
      <w:pPr>
        <w:spacing w:after="0" w:line="5" w:lineRule="exact"/>
        <w:rPr>
          <w:rFonts w:ascii="Arial" w:cs="Arial" w:eastAsia="Arial" w:hAnsi="Arial"/>
          <w:sz w:val="16"/>
          <w:szCs w:val="16"/>
          <w:color w:val="auto"/>
        </w:rPr>
      </w:pPr>
    </w:p>
    <w:p>
      <w:pPr>
        <w:jc w:val="both"/>
        <w:ind w:left="340" w:hanging="332"/>
        <w:spacing w:after="0" w:line="246" w:lineRule="auto"/>
        <w:tabs>
          <w:tab w:leader="none" w:pos="3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Average tangible net book value "at risk" leverage during the period was calculated by dividing the sum of the daily weighted average Agency repurchase agreements, other debt and net TBA position (at cost) outstanding for the period by the sum of average stockholders' equity adjusted to exclude goodwill and other intangible asset and investment in REIT equity securities. Leverage excludes U.S. Treasury repurchase agreements.</w:t>
      </w:r>
    </w:p>
    <w:p>
      <w:pPr>
        <w:spacing w:after="0" w:line="1" w:lineRule="exact"/>
        <w:rPr>
          <w:rFonts w:ascii="Arial" w:cs="Arial" w:eastAsia="Arial" w:hAnsi="Arial"/>
          <w:sz w:val="16"/>
          <w:szCs w:val="16"/>
          <w:color w:val="auto"/>
        </w:rPr>
      </w:pPr>
    </w:p>
    <w:p>
      <w:pPr>
        <w:jc w:val="both"/>
        <w:ind w:left="340" w:hanging="332"/>
        <w:spacing w:after="0" w:line="246" w:lineRule="auto"/>
        <w:tabs>
          <w:tab w:leader="none" w:pos="3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Tangible net book value "at risk" leverage as of period end was calculated by dividing the sum of the amount outstanding under Agency repurchase agreements, other debt, net TBA position (at cost) and net receivable / payable for unsettled investment securities outstanding by the sum of total stockholders' equity adjusted to exclude goodwill and other intangible asset and investment in REIT equity securities at period end. Leverage excludes U.S. Treasury repurchase agreements.</w:t>
      </w:r>
    </w:p>
    <w:p>
      <w:pPr>
        <w:spacing w:after="0" w:line="1" w:lineRule="exact"/>
        <w:rPr>
          <w:rFonts w:ascii="Arial" w:cs="Arial" w:eastAsia="Arial" w:hAnsi="Arial"/>
          <w:sz w:val="16"/>
          <w:szCs w:val="16"/>
          <w:color w:val="auto"/>
        </w:rPr>
      </w:pPr>
    </w:p>
    <w:p>
      <w:pPr>
        <w:ind w:left="340" w:hanging="332"/>
        <w:spacing w:after="0"/>
        <w:tabs>
          <w:tab w:leader="none" w:pos="3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Includes forward starting swaps not yet in effect as of reported period-end.</w:t>
      </w:r>
    </w:p>
    <w:p>
      <w:pPr>
        <w:spacing w:after="0" w:line="5" w:lineRule="exact"/>
        <w:rPr>
          <w:rFonts w:ascii="Arial" w:cs="Arial" w:eastAsia="Arial" w:hAnsi="Arial"/>
          <w:sz w:val="16"/>
          <w:szCs w:val="16"/>
          <w:color w:val="auto"/>
        </w:rPr>
      </w:pPr>
    </w:p>
    <w:p>
      <w:pPr>
        <w:ind w:left="340" w:hanging="332"/>
        <w:spacing w:after="0" w:line="246" w:lineRule="auto"/>
        <w:tabs>
          <w:tab w:leader="none" w:pos="3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Annualized Q4 2018 and Q3 2018 operating expenses exclude the non-recurring write-off of the intangible asset and other expenses associated with sale of MTGE Investment Corp. and the resulting termination of the Company's management agreement with MTGE.</w:t>
      </w:r>
    </w:p>
    <w:p>
      <w:pPr>
        <w:ind w:left="340" w:hanging="332"/>
        <w:spacing w:after="0" w:line="260" w:lineRule="auto"/>
        <w:tabs>
          <w:tab w:leader="none" w:pos="3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Economic return (loss) on tangible common equity represents the sum of the change in tangible net book value per common share and dividends declared on common stock during the period over the beginning tangible net book value per common share.</w:t>
      </w:r>
    </w:p>
    <w:p>
      <w:pPr>
        <w:spacing w:after="0" w:line="14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STOCKHOLDER CALL</w:t>
      </w:r>
    </w:p>
    <w:p>
      <w:pPr>
        <w:spacing w:after="0" w:line="192"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 xml:space="preserve">AGNC invites stockholders, prospective stockholders and analysts to attend the AGNC stockholder call on July 25, 2019 at 8:30 am ET. Interested persons who do not plan on asking a question and have internet access are encouraged to utilize the free live webcast at </w:t>
      </w:r>
      <w:r>
        <w:rPr>
          <w:rFonts w:ascii="Arial" w:cs="Arial" w:eastAsia="Arial" w:hAnsi="Arial"/>
          <w:sz w:val="22"/>
          <w:szCs w:val="22"/>
          <w:u w:val="single" w:color="auto"/>
          <w:color w:val="0563C1"/>
        </w:rPr>
        <w:t>www.AGNC.com</w:t>
      </w:r>
      <w:r>
        <w:rPr>
          <w:rFonts w:ascii="Arial" w:cs="Arial" w:eastAsia="Arial" w:hAnsi="Arial"/>
          <w:sz w:val="22"/>
          <w:szCs w:val="22"/>
          <w:color w:val="auto"/>
        </w:rPr>
        <w:t>. Those who plan on participating in the Q&amp;A or do not have internet available may access the call by dialing (877) 300-5922 (U.S. domestic) or (412) 902-6621 (international). Please advise the operator you are dialing in for the AGNC Investment Corp. stockholder call.</w:t>
      </w:r>
    </w:p>
    <w:p>
      <w:pPr>
        <w:spacing w:after="0" w:line="154" w:lineRule="exact"/>
        <w:rPr>
          <w:sz w:val="20"/>
          <w:szCs w:val="20"/>
          <w:color w:val="auto"/>
        </w:rPr>
      </w:pPr>
    </w:p>
    <w:p>
      <w:pPr>
        <w:jc w:val="both"/>
        <w:ind w:right="20"/>
        <w:spacing w:after="0" w:line="249" w:lineRule="auto"/>
        <w:rPr>
          <w:sz w:val="20"/>
          <w:szCs w:val="20"/>
          <w:color w:val="auto"/>
        </w:rPr>
      </w:pPr>
      <w:r>
        <w:rPr>
          <w:rFonts w:ascii="Arial" w:cs="Arial" w:eastAsia="Arial" w:hAnsi="Arial"/>
          <w:sz w:val="22"/>
          <w:szCs w:val="22"/>
          <w:color w:val="auto"/>
        </w:rPr>
        <w:t xml:space="preserve">A slide presentation will accompany the call and will be available at </w:t>
      </w:r>
      <w:r>
        <w:rPr>
          <w:rFonts w:ascii="Arial" w:cs="Arial" w:eastAsia="Arial" w:hAnsi="Arial"/>
          <w:sz w:val="22"/>
          <w:szCs w:val="22"/>
          <w:u w:val="single" w:color="auto"/>
          <w:color w:val="0563C1"/>
        </w:rPr>
        <w:t>www.AGNC.com</w:t>
      </w:r>
      <w:r>
        <w:rPr>
          <w:rFonts w:ascii="Arial" w:cs="Arial" w:eastAsia="Arial" w:hAnsi="Arial"/>
          <w:sz w:val="22"/>
          <w:szCs w:val="22"/>
          <w:color w:val="auto"/>
        </w:rPr>
        <w:t>. Select the Q2 2019 Earnings Presentation link to download and print the presentation in advance of the stockholder call.</w:t>
      </w:r>
    </w:p>
    <w:p>
      <w:pPr>
        <w:sectPr>
          <w:pgSz w:w="11900" w:h="16838" w:orient="portrait"/>
          <w:cols w:equalWidth="0" w:num="1">
            <w:col w:w="11420"/>
          </w:cols>
          <w:pgMar w:left="240" w:top="147" w:right="239" w:bottom="1440" w:gutter="0" w:footer="0" w:header="0"/>
        </w:sectPr>
      </w:pPr>
    </w:p>
    <w:bookmarkStart w:id="16" w:name="page17"/>
    <w:bookmarkEnd w:id="16"/>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24,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14</w:t>
      </w:r>
    </w:p>
    <w:p>
      <w:pPr>
        <w:spacing w:after="0" w:line="200" w:lineRule="exact"/>
        <w:rPr>
          <w:sz w:val="20"/>
          <w:szCs w:val="20"/>
          <w:color w:val="auto"/>
        </w:rPr>
      </w:pPr>
    </w:p>
    <w:p>
      <w:pPr>
        <w:spacing w:after="0" w:line="209"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An archived audio of the stockholder call combined with the slide presentation will be available on the AGNC website after the call on July 25, 2019. In addition, there will be a phone recording available one hour after the live call on July 25, 2019 through August 8, 2019. Those who are interested in hearing the recording of the presentation, can access it by dialing (877) 344-7529 (U.S. domestic) or (412) 317-0088 (international), passcode 10132872</w:t>
      </w:r>
      <w:r>
        <w:rPr>
          <w:rFonts w:ascii="Arial" w:cs="Arial" w:eastAsia="Arial" w:hAnsi="Arial"/>
          <w:sz w:val="22"/>
          <w:szCs w:val="22"/>
          <w:b w:val="1"/>
          <w:bCs w:val="1"/>
          <w:color w:val="auto"/>
        </w:rPr>
        <w:t>.</w:t>
      </w:r>
    </w:p>
    <w:p>
      <w:pPr>
        <w:spacing w:after="0" w:line="156" w:lineRule="exact"/>
        <w:rPr>
          <w:sz w:val="20"/>
          <w:szCs w:val="20"/>
          <w:color w:val="auto"/>
        </w:rPr>
      </w:pPr>
    </w:p>
    <w:p>
      <w:pPr>
        <w:spacing w:after="0"/>
        <w:rPr>
          <w:sz w:val="20"/>
          <w:szCs w:val="20"/>
          <w:color w:val="auto"/>
        </w:rPr>
      </w:pPr>
      <w:r>
        <w:rPr>
          <w:rFonts w:ascii="Arial" w:cs="Arial" w:eastAsia="Arial" w:hAnsi="Arial"/>
          <w:sz w:val="22"/>
          <w:szCs w:val="22"/>
          <w:color w:val="auto"/>
        </w:rPr>
        <w:t>For further information, please contact Investor Relations at (301) 968-9300 or IR@AGNC.com.</w:t>
      </w:r>
    </w:p>
    <w:p>
      <w:pPr>
        <w:spacing w:after="0" w:line="23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AGNC INVESTMENT CORP.</w:t>
      </w:r>
    </w:p>
    <w:p>
      <w:pPr>
        <w:spacing w:after="0" w:line="192"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 xml:space="preserve">AGNC Investment Corp. is an internally-managed real estate investment trust ("REIT") that invests primarily in residential mortgage-backed securities for which the principal and interest payments are guaranteed by a U.S. Government-sponsored enterprise or a U.S. Government agency. For further information, please refer to </w:t>
      </w:r>
      <w:r>
        <w:rPr>
          <w:rFonts w:ascii="Arial" w:cs="Arial" w:eastAsia="Arial" w:hAnsi="Arial"/>
          <w:sz w:val="22"/>
          <w:szCs w:val="22"/>
          <w:u w:val="single" w:color="auto"/>
          <w:color w:val="0563C1"/>
        </w:rPr>
        <w:t>www.AGNC.com</w:t>
      </w:r>
      <w:r>
        <w:rPr>
          <w:rFonts w:ascii="Arial" w:cs="Arial" w:eastAsia="Arial" w:hAnsi="Arial"/>
          <w:sz w:val="22"/>
          <w:szCs w:val="22"/>
          <w:color w:val="000000"/>
        </w:rPr>
        <w:t>.</w:t>
      </w:r>
    </w:p>
    <w:p>
      <w:pPr>
        <w:spacing w:after="0" w:line="22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FORWARD LOOKING STATEMENTS</w:t>
      </w:r>
    </w:p>
    <w:p>
      <w:pPr>
        <w:spacing w:after="0" w:line="192"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 xml:space="preserve">This press release contains forward-looking statements. Forward-looking statements are based on estimates, projections, beliefs and assumptions of management of the Company at the time of such statements and are not guarantees of future performance. Forward-looking statements involve risks and uncertainties in predicting future results and conditions. Actual results could differ materially from those projected in these forward-looking statements due to a variety of important factors, including, without limitation, changes in interest rates, changes in the yield curve, changes in prepayment rates, the availability and terms of financing, changes in the market value of the Company's assets, general economic conditions, market conditions, conditions in the market for Agency securities, and legislative and regulatory changes that could adversely affect the business of the Company. Certain factors that could cause actual results to differ materially from those contained in the forward-looking statements, are included in the Company's periodic reports filed with the Securities and Exchange Commission ("SEC"). Copies are available on the SEC's website, </w:t>
      </w:r>
      <w:r>
        <w:rPr>
          <w:rFonts w:ascii="Arial" w:cs="Arial" w:eastAsia="Arial" w:hAnsi="Arial"/>
          <w:sz w:val="22"/>
          <w:szCs w:val="22"/>
          <w:u w:val="single" w:color="auto"/>
          <w:color w:val="0563C1"/>
        </w:rPr>
        <w:t>www.sec.gov.</w:t>
      </w:r>
      <w:r>
        <w:rPr>
          <w:rFonts w:ascii="Arial" w:cs="Arial" w:eastAsia="Arial" w:hAnsi="Arial"/>
          <w:sz w:val="22"/>
          <w:szCs w:val="22"/>
          <w:color w:val="auto"/>
        </w:rPr>
        <w:t xml:space="preserve"> The Company disclaims any obligation to update or revise any forward-looking statements based on the occurrence of future events, the receipt of new information, or otherwise.</w:t>
      </w:r>
    </w:p>
    <w:p>
      <w:pPr>
        <w:spacing w:after="0" w:line="22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USE OF NON-GAAP FINANCIAL INFORMATION</w:t>
      </w:r>
    </w:p>
    <w:p>
      <w:pPr>
        <w:spacing w:after="0" w:line="192"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In addition to the results presented in accordance with GAAP, the Company's results of operations discussed in this release include certain non-GAAP financial information, including "net spread and dollar roll income," "net spread and dollar roll income, excluding 'catch-up' premium amortization," "economic interest income" and "economic interest expense" (both components of "net spread and dollar roll income"), "estimated taxable income" and the related per common share measures and certain financial metrics derived from such non-GAAP information, such as "cost of funds" and "net interest spread."</w:t>
      </w:r>
    </w:p>
    <w:p>
      <w:pPr>
        <w:spacing w:after="0" w:line="159"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"Net spread and dollar roll income" is measured as (i) net interest income (GAAP measure) adjusted to include TBA dollar roll income, interest rate swap periodic income/cost and other interest and dividend income (referred to as "adjusted net interest and dollar roll income"), plus (ii) management fee income (GAAP measure) and less (iii) total operating expense (GAAP measure), which are adjusted to exclude non-recurring termination fee income and one-time expenses associated with the termination of the Company's management agreement with MTGE Investment Corp. "Net spread and dollar roll income, excluding 'catch-up' premium amortization," further excludes retrospective</w:t>
      </w:r>
    </w:p>
    <w:p>
      <w:pPr>
        <w:sectPr>
          <w:pgSz w:w="11900" w:h="16838" w:orient="portrait"/>
          <w:cols w:equalWidth="0" w:num="1">
            <w:col w:w="11420"/>
          </w:cols>
          <w:pgMar w:left="240" w:top="147" w:right="239" w:bottom="1440" w:gutter="0" w:footer="0" w:header="0"/>
        </w:sectPr>
      </w:pPr>
    </w:p>
    <w:bookmarkStart w:id="17" w:name="page18"/>
    <w:bookmarkEnd w:id="17"/>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24, 2019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15</w:t>
      </w: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22"/>
          <w:szCs w:val="22"/>
          <w:color w:val="auto"/>
        </w:rPr>
        <w:t>"catch-up" adjustments to premium amortization cost or benefit due to changes in projected CPR estimates.</w:t>
      </w:r>
    </w:p>
    <w:p>
      <w:pPr>
        <w:spacing w:after="0" w:line="166"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By providing users of the Company's financial information with such measures in addition to the related GAAP measures, the Company believes users will have greater transparency into the information used by the Company's management in its financial and operational decision-making. The Company also believes that it is important for users of its financial information to consider information related to the Company's current financial performance without the effects of certain transactions that are not necessarily indicative of its current investment portfolio performance and operations.</w:t>
      </w:r>
    </w:p>
    <w:p>
      <w:pPr>
        <w:spacing w:after="0" w:line="159" w:lineRule="exact"/>
        <w:rPr>
          <w:sz w:val="20"/>
          <w:szCs w:val="20"/>
          <w:color w:val="auto"/>
        </w:rPr>
      </w:pPr>
    </w:p>
    <w:p>
      <w:pPr>
        <w:jc w:val="both"/>
        <w:spacing w:after="0" w:line="243" w:lineRule="auto"/>
        <w:rPr>
          <w:sz w:val="20"/>
          <w:szCs w:val="20"/>
          <w:color w:val="auto"/>
        </w:rPr>
      </w:pPr>
      <w:r>
        <w:rPr>
          <w:rFonts w:ascii="Arial" w:cs="Arial" w:eastAsia="Arial" w:hAnsi="Arial"/>
          <w:sz w:val="22"/>
          <w:szCs w:val="22"/>
          <w:color w:val="auto"/>
        </w:rPr>
        <w:t>Specifically, in the case of "adjusted net interest and dollar roll income," the Company believes the inclusion of TBA dollar roll income is meaningful as TBAs, which are accounted for under GAAP as derivative instruments with gains and losses recognized in other gain (loss) in the Company’s statement of operations, are economically equivalent to holding and financing generic Agency MBS using short-term repurchase agreements. Similarly, the Company believes that the inclusion of periodic interest rate swap settlements in such measure, which are recognized under GAAP in other gain (loss), is meaningful as interest rate swaps are the primary instrument the Company uses to economically hedge against fluctuations in the Company’s borrowing costs and inclusion of periodic interest rate swap settlements is more indicative of the Company’s total cost of funds than interest expense alone. In the case of "net spread and dollar roll income, excluding 'catch-up' premium amortization," the Company believes the exclusion of "catch-up" adjustments to premium amortization cost is meaningful as it excludes the cumulative effect from prior reporting periods due to current changes in future prepayment expectations and, therefore, exclusion of such "catch-up" cost or benefit is more indicative of the current earnings potential of the Company’s investment portfolio. In the case of estimated taxable income, the Company believes it is meaningful information as it is directly related to the amount of dividends the Company is required to distribute in order to maintain its REIT qualification status.</w:t>
      </w:r>
    </w:p>
    <w:p>
      <w:pPr>
        <w:spacing w:after="0" w:line="169"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However, because such measures are incomplete measures of the Company's financial performance and involve differences from results computed in accordance with GAAP, they should be considered as supplementary to, and not as a substitute for, results computed in accordance with GAAP. In addition, because not all companies use identical calculations, the Company's presentation of such non-GAAP measures may not be comparable to other similarly-titled measures of other companies. Furthermore, estimated taxable income can include certain information that is subject to potential adjustments up to the time of filing the Company's income tax returns, which occurs after the end of its fiscal year.</w:t>
      </w:r>
    </w:p>
    <w:p>
      <w:pPr>
        <w:spacing w:after="0" w:line="158" w:lineRule="exact"/>
        <w:rPr>
          <w:sz w:val="20"/>
          <w:szCs w:val="20"/>
          <w:color w:val="auto"/>
        </w:rPr>
      </w:pPr>
    </w:p>
    <w:p>
      <w:pPr>
        <w:jc w:val="both"/>
        <w:ind w:right="20"/>
        <w:spacing w:after="0" w:line="246" w:lineRule="auto"/>
        <w:rPr>
          <w:sz w:val="20"/>
          <w:szCs w:val="20"/>
          <w:color w:val="auto"/>
        </w:rPr>
      </w:pPr>
      <w:r>
        <w:rPr>
          <w:rFonts w:ascii="Arial" w:cs="Arial" w:eastAsia="Arial" w:hAnsi="Arial"/>
          <w:sz w:val="22"/>
          <w:szCs w:val="22"/>
          <w:color w:val="auto"/>
        </w:rPr>
        <w:t>A reconciliation of GAAP net interest income to non-GAAP "net spread and dollar roll income, excluding 'catch-up' premium amortization" and a reconciliation of GAAP net income to non-GAAP "estimated taxable income" is included in this release.</w:t>
      </w:r>
    </w:p>
    <w:sectPr>
      <w:pgSz w:w="11900" w:h="16838" w:orient="portrait"/>
      <w:cols w:equalWidth="0" w:num="1">
        <w:col w:w="11420"/>
      </w:cols>
      <w:pgMar w:left="240" w:top="147"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lowerLetter"/>
      <w:start w:val="1"/>
    </w:lvl>
  </w:abstractNum>
  <w:abstractNum w:abstractNumId="1">
    <w:nsid w:val="507ED7AB"/>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2">
    <w:nsid w:val="2EB141F2"/>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3">
    <w:nsid w:val="41B71EFB"/>
    <w:multiLevelType w:val="hybridMultilevel"/>
    <w:lvl w:ilvl="0">
      <w:lvlJc w:val="left"/>
      <w:lvlText w:val="%1."/>
      <w:numFmt w:val="decimal"/>
      <w:start w:val="1"/>
    </w:lvl>
  </w:abstractNum>
  <w:abstractNum w:abstractNumId="4">
    <w:nsid w:val="79E2A9E3"/>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
      <w:numFmt w:val="bullet"/>
      <w:start w:val="1"/>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2019-12-28T10:18:30Z</dcterms:created>
  <dcterms:modified xsi:type="dcterms:W3CDTF">2019-12-28T10:18:30Z</dcterms:modified>
</cp:coreProperties>
</file>