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3"/>
                <w:szCs w:val="13"/>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0" w:type="dxa"/>
            <w:vAlign w:val="bottom"/>
          </w:tcPr>
          <w:p>
            <w:pPr>
              <w:spacing w:after="0"/>
              <w:rPr>
                <w:sz w:val="1"/>
                <w:szCs w:val="1"/>
                <w:color w:val="auto"/>
              </w:rPr>
            </w:pPr>
          </w:p>
        </w:tc>
      </w:tr>
      <w:tr>
        <w:trPr>
          <w:trHeight w:val="229"/>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20" w:type="dxa"/>
            <w:vAlign w:val="bottom"/>
          </w:tcPr>
          <w:p>
            <w:pPr>
              <w:jc w:val="center"/>
              <w:ind w:left="305"/>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0" w:type="dxa"/>
            <w:vAlign w:val="bottom"/>
          </w:tcPr>
          <w:p>
            <w:pPr>
              <w:spacing w:after="0"/>
              <w:rPr>
                <w:sz w:val="1"/>
                <w:szCs w:val="1"/>
                <w:color w:val="auto"/>
              </w:rPr>
            </w:pPr>
          </w:p>
        </w:tc>
      </w:tr>
      <w:tr>
        <w:trPr>
          <w:trHeight w:val="221"/>
        </w:trPr>
        <w:tc>
          <w:tcPr>
            <w:tcW w:w="1120" w:type="dxa"/>
            <w:vAlign w:val="bottom"/>
            <w:vMerge w:val="continue"/>
          </w:tcPr>
          <w:p>
            <w:pPr>
              <w:spacing w:after="0"/>
              <w:rPr>
                <w:sz w:val="19"/>
                <w:szCs w:val="19"/>
                <w:color w:val="auto"/>
              </w:rPr>
            </w:pPr>
          </w:p>
        </w:tc>
        <w:tc>
          <w:tcPr>
            <w:tcW w:w="8120" w:type="dxa"/>
            <w:vAlign w:val="bottom"/>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w w:val="99"/>
              </w:rPr>
              <w:t>ANNUAL REPORT PURSUANT TO SECTION 13 OR 15(D) OF THE SECURITIES EXCHANGE ACT OF 1934</w:t>
            </w:r>
          </w:p>
        </w:tc>
        <w:tc>
          <w:tcPr>
            <w:tcW w:w="0" w:type="dxa"/>
            <w:vAlign w:val="bottom"/>
          </w:tcPr>
          <w:p>
            <w:pPr>
              <w:spacing w:after="0"/>
              <w:rPr>
                <w:sz w:val="1"/>
                <w:szCs w:val="1"/>
                <w:color w:val="auto"/>
              </w:rPr>
            </w:pPr>
          </w:p>
        </w:tc>
      </w:tr>
      <w:tr>
        <w:trPr>
          <w:trHeight w:val="251"/>
        </w:trPr>
        <w:tc>
          <w:tcPr>
            <w:tcW w:w="1120" w:type="dxa"/>
            <w:vAlign w:val="bottom"/>
          </w:tcPr>
          <w:p>
            <w:pPr>
              <w:spacing w:after="0"/>
              <w:rPr>
                <w:sz w:val="21"/>
                <w:szCs w:val="21"/>
                <w:color w:val="auto"/>
              </w:rPr>
            </w:pP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0" w:type="dxa"/>
            <w:vAlign w:val="bottom"/>
          </w:tcPr>
          <w:p>
            <w:pPr>
              <w:spacing w:after="0"/>
              <w:rPr>
                <w:sz w:val="1"/>
                <w:szCs w:val="1"/>
                <w:color w:val="auto"/>
              </w:rPr>
            </w:pPr>
          </w:p>
        </w:tc>
      </w:tr>
      <w:tr>
        <w:trPr>
          <w:trHeight w:val="184"/>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2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5"/>
              </w:rPr>
              <w:t>OR</w:t>
            </w:r>
          </w:p>
        </w:tc>
        <w:tc>
          <w:tcPr>
            <w:tcW w:w="0" w:type="dxa"/>
            <w:vAlign w:val="bottom"/>
          </w:tcPr>
          <w:p>
            <w:pPr>
              <w:spacing w:after="0"/>
              <w:rPr>
                <w:sz w:val="1"/>
                <w:szCs w:val="1"/>
                <w:color w:val="auto"/>
              </w:rPr>
            </w:pPr>
          </w:p>
        </w:tc>
      </w:tr>
      <w:tr>
        <w:trPr>
          <w:trHeight w:val="231"/>
        </w:trPr>
        <w:tc>
          <w:tcPr>
            <w:tcW w:w="1120" w:type="dxa"/>
            <w:vAlign w:val="bottom"/>
            <w:vMerge w:val="continue"/>
          </w:tcPr>
          <w:p>
            <w:pPr>
              <w:spacing w:after="0"/>
              <w:rPr>
                <w:sz w:val="20"/>
                <w:szCs w:val="20"/>
                <w:color w:val="auto"/>
              </w:rPr>
            </w:pPr>
          </w:p>
        </w:tc>
        <w:tc>
          <w:tcPr>
            <w:tcW w:w="81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66"/>
        </w:trPr>
        <w:tc>
          <w:tcPr>
            <w:tcW w:w="1120" w:type="dxa"/>
            <w:vAlign w:val="bottom"/>
          </w:tcPr>
          <w:p>
            <w:pPr>
              <w:spacing w:after="0"/>
              <w:rPr>
                <w:sz w:val="23"/>
                <w:szCs w:val="23"/>
                <w:color w:val="auto"/>
              </w:rPr>
            </w:pPr>
          </w:p>
        </w:tc>
        <w:tc>
          <w:tcPr>
            <w:tcW w:w="812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280670</wp:posOffset>
            </wp:positionH>
            <wp:positionV relativeFrom="page">
              <wp:posOffset>503555</wp:posOffset>
            </wp:positionV>
            <wp:extent cx="6995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page">
              <wp:posOffset>280670</wp:posOffset>
            </wp:positionH>
            <wp:positionV relativeFrom="page">
              <wp:posOffset>470535</wp:posOffset>
            </wp:positionV>
            <wp:extent cx="6995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106045</wp:posOffset>
            </wp:positionV>
            <wp:extent cx="1842135" cy="556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135" cy="556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ectPr>
          <w:pgSz w:w="11900" w:h="16838" w:orient="portrait"/>
          <w:cols w:equalWidth="0" w:num="1">
            <w:col w:w="11240"/>
          </w:cols>
          <w:pgMar w:left="320" w:top="877" w:right="339" w:bottom="1440" w:gutter="0" w:footer="0" w:header="0"/>
        </w:sectPr>
      </w:pPr>
    </w:p>
    <w:p>
      <w:pPr>
        <w:spacing w:after="0" w:line="27"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3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5"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7373 Wisconsin Avenue, 22nd Floor</w:t>
      </w:r>
    </w:p>
    <w:p>
      <w:pPr>
        <w:spacing w:after="0" w:line="23"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Bethesda, Maryland 20814</w:t>
      </w:r>
    </w:p>
    <w:p>
      <w:pPr>
        <w:spacing w:after="0" w:line="9"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(301) 968-9315</w:t>
      </w:r>
    </w:p>
    <w:p>
      <w:pPr>
        <w:spacing w:after="0" w:line="9"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0" w:type="dxa"/>
            <w:vAlign w:val="bottom"/>
          </w:tcPr>
          <w:p>
            <w:pPr>
              <w:spacing w:after="0"/>
              <w:rPr>
                <w:sz w:val="1"/>
                <w:szCs w:val="1"/>
                <w:color w:val="auto"/>
              </w:rPr>
            </w:pPr>
          </w:p>
        </w:tc>
      </w:tr>
      <w:tr>
        <w:trPr>
          <w:trHeight w:val="148"/>
        </w:trPr>
        <w:tc>
          <w:tcPr>
            <w:tcW w:w="574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w w:val="99"/>
              </w:rPr>
              <w:t>Depositary shares of 7.000% Series C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AGNCN</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6.875% Series D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AGNCM</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6.50% Series E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AGNCO</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6.125% Series F Fixed-to-Floating Rate Cumulative Redeemable Preferred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AGNCP</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57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Depositary shares of 7.75% Series G Fixed-Rate Reset Cumulative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AGNCL</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Redeemable Preferred Stock</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26-1701984</w:t>
      </w:r>
    </w:p>
    <w:p>
      <w:pPr>
        <w:spacing w:after="0" w:line="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-443230</wp:posOffset>
            </wp:positionH>
            <wp:positionV relativeFrom="paragraph">
              <wp:posOffset>36830</wp:posOffset>
            </wp:positionV>
            <wp:extent cx="2439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2"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0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6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76" w:lineRule="exact"/>
        <w:rPr>
          <w:sz w:val="24"/>
          <w:szCs w:val="24"/>
          <w:color w:val="auto"/>
        </w:rPr>
      </w:pPr>
    </w:p>
    <w:p>
      <w:pPr>
        <w:sectPr>
          <w:pgSz w:w="11900" w:h="16838" w:orient="portrait"/>
          <w:cols w:equalWidth="0" w:num="2">
            <w:col w:w="7380" w:space="720"/>
            <w:col w:w="3140"/>
          </w:cols>
          <w:pgMar w:left="320" w:top="877" w:right="339" w:bottom="1440" w:gutter="0" w:footer="0" w:header="0"/>
          <w:type w:val="continuous"/>
        </w:sectPr>
      </w:pPr>
    </w:p>
    <w:p>
      <w:pPr>
        <w:ind w:left="38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2" w:lineRule="exact"/>
        <w:rPr>
          <w:sz w:val="24"/>
          <w:szCs w:val="24"/>
          <w:color w:val="auto"/>
        </w:rPr>
      </w:pPr>
    </w:p>
    <w:p>
      <w:pPr>
        <w:ind w:left="320"/>
        <w:spacing w:after="0" w:line="161" w:lineRule="exact"/>
        <w:tabs>
          <w:tab w:leader="none" w:pos="6980" w:val="left"/>
          <w:tab w:leader="none" w:pos="748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ind w:left="320"/>
        <w:spacing w:after="0" w:line="161" w:lineRule="exact"/>
        <w:tabs>
          <w:tab w:leader="none" w:pos="6640" w:val="left"/>
          <w:tab w:leader="none" w:pos="71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 w:lineRule="exact"/>
        <w:rPr>
          <w:sz w:val="24"/>
          <w:szCs w:val="24"/>
          <w:color w:val="auto"/>
        </w:rPr>
      </w:pPr>
    </w:p>
    <w:p>
      <w:pPr>
        <w:ind w:right="40" w:firstLine="314"/>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jc w:val="both"/>
        <w:ind w:firstLine="314"/>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0" w:firstLine="314"/>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300"/>
        <w:spacing w:after="0" w:line="161" w:lineRule="exact"/>
        <w:tabs>
          <w:tab w:leader="none" w:pos="4960" w:val="left"/>
          <w:tab w:leader="none" w:pos="5460" w:val="left"/>
          <w:tab w:leader="none" w:pos="87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0" w:lineRule="exact"/>
        <w:rPr>
          <w:sz w:val="24"/>
          <w:szCs w:val="24"/>
          <w:color w:val="auto"/>
        </w:rPr>
      </w:pPr>
    </w:p>
    <w:p>
      <w:pPr>
        <w:ind w:left="2300"/>
        <w:spacing w:after="0" w:line="161" w:lineRule="exact"/>
        <w:tabs>
          <w:tab w:leader="none" w:pos="4960" w:val="left"/>
          <w:tab w:leader="none" w:pos="5460" w:val="left"/>
          <w:tab w:leader="none" w:pos="87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p>
      <w:pPr>
        <w:ind w:left="2300"/>
        <w:spacing w:after="0" w:line="161" w:lineRule="exact"/>
        <w:tabs>
          <w:tab w:leader="none" w:pos="49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18" w:lineRule="exact"/>
        <w:rPr>
          <w:sz w:val="24"/>
          <w:szCs w:val="24"/>
          <w:color w:val="auto"/>
        </w:rPr>
      </w:pPr>
    </w:p>
    <w:p>
      <w:pPr>
        <w:ind w:right="240" w:firstLine="314"/>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100" w:firstLine="314"/>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60" w:firstLine="314"/>
        <w:spacing w:after="0" w:line="15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14"/>
        <w:spacing w:after="0" w:line="15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tabs>
          <w:tab w:leader="none" w:pos="6760" w:val="left"/>
          <w:tab w:leader="none" w:pos="73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4" w:lineRule="exact"/>
        <w:rPr>
          <w:sz w:val="24"/>
          <w:szCs w:val="24"/>
          <w:color w:val="auto"/>
        </w:rPr>
      </w:pPr>
    </w:p>
    <w:p>
      <w:pPr>
        <w:jc w:val="both"/>
        <w:ind w:firstLine="314"/>
        <w:spacing w:after="0" w:line="248" w:lineRule="auto"/>
        <w:rPr>
          <w:sz w:val="20"/>
          <w:szCs w:val="20"/>
          <w:color w:val="auto"/>
        </w:rPr>
      </w:pPr>
      <w:r>
        <w:rPr>
          <w:rFonts w:ascii="Times New Roman" w:cs="Times New Roman" w:eastAsia="Times New Roman" w:hAnsi="Times New Roman"/>
          <w:sz w:val="14"/>
          <w:szCs w:val="14"/>
          <w:color w:val="auto"/>
        </w:rPr>
        <w:t>As of June 30, 2024, the aggregate market value of the Registrant's common stock held by non-affiliates of the Registrant was approximately $6.7 billion based upon the closing price of the Registrant's common stock of $9.54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number of shares of the issuer's common stock, $0.01 par value, outstanding as of January 31, 2025 was 900,421,216.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361950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ind w:firstLine="314"/>
        <w:spacing w:after="0" w:line="262" w:lineRule="auto"/>
        <w:rPr>
          <w:sz w:val="20"/>
          <w:szCs w:val="20"/>
          <w:color w:val="auto"/>
        </w:rPr>
      </w:pPr>
      <w:r>
        <w:rPr>
          <w:rFonts w:ascii="Times New Roman" w:cs="Times New Roman" w:eastAsia="Times New Roman" w:hAnsi="Times New Roman"/>
          <w:sz w:val="14"/>
          <w:szCs w:val="14"/>
          <w:color w:val="auto"/>
        </w:rPr>
        <w:t>DOCUMENTS INCORPORATED BY REFERENCE. The information required by Part III will be incorporated by reference from the Registrant's definitive proxy statement for the 2025 Annual Meeting of Stockholders to be filed with the Securities and Exchange Commission pursuant to Regulation 14A.</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exhibits previously filed with the Securities and Exchange Commission are incorporated by reference into Part IV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53975</wp:posOffset>
            </wp:positionV>
            <wp:extent cx="699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20320</wp:posOffset>
            </wp:positionV>
            <wp:extent cx="6995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40" w:type="dxa"/>
            <w:vAlign w:val="bottom"/>
            <w:gridSpan w:val="8"/>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AGNC INVESTMENT CORP.</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40" w:type="dxa"/>
            <w:vAlign w:val="bottom"/>
            <w:gridSpan w:val="8"/>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60" w:type="dxa"/>
            <w:vAlign w:val="bottom"/>
            <w:tcBorders>
              <w:top w:val="single" w:sz="8" w:color="0000FF"/>
            </w:tcBorders>
          </w:tcPr>
          <w:p>
            <w:pPr>
              <w:spacing w:after="0"/>
              <w:rPr>
                <w:sz w:val="17"/>
                <w:szCs w:val="17"/>
                <w:color w:val="auto"/>
              </w:rPr>
            </w:pPr>
          </w:p>
        </w:tc>
        <w:tc>
          <w:tcPr>
            <w:tcW w:w="480" w:type="dxa"/>
            <w:vAlign w:val="bottom"/>
            <w:gridSpan w:val="5"/>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w w:val="89"/>
              </w:rPr>
              <w:t>Business</w:t>
            </w:r>
          </w:p>
        </w:tc>
        <w:tc>
          <w:tcPr>
            <w:tcW w:w="8840" w:type="dxa"/>
            <w:vAlign w:val="bottom"/>
            <w:gridSpan w:val="17"/>
          </w:tcPr>
          <w:p>
            <w:pPr>
              <w:spacing w:after="0"/>
              <w:rPr>
                <w:sz w:val="17"/>
                <w:szCs w:val="17"/>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3"/>
              </w:rPr>
              <w:t>2</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1A.</w:t>
            </w: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3"/>
              </w:rPr>
              <w:t>7</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0"/>
              </w:rPr>
              <w:t>Item 1B.</w:t>
            </w:r>
          </w:p>
        </w:tc>
        <w:tc>
          <w:tcPr>
            <w:tcW w:w="460" w:type="dxa"/>
            <w:vAlign w:val="bottom"/>
            <w:gridSpan w:val="4"/>
          </w:tcPr>
          <w:p>
            <w:pPr>
              <w:spacing w:after="0"/>
              <w:rPr>
                <w:sz w:val="17"/>
                <w:szCs w:val="17"/>
                <w:color w:val="auto"/>
              </w:rPr>
            </w:pPr>
          </w:p>
        </w:tc>
        <w:tc>
          <w:tcPr>
            <w:tcW w:w="1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440" w:type="dxa"/>
            <w:vAlign w:val="bottom"/>
            <w:gridSpan w:val="9"/>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21</w:t>
            </w:r>
          </w:p>
        </w:tc>
      </w:tr>
      <w:tr>
        <w:trPr>
          <w:trHeight w:val="202"/>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0"/>
              </w:rPr>
              <w:t>Item 1C.</w:t>
            </w:r>
          </w:p>
        </w:tc>
        <w:tc>
          <w:tcPr>
            <w:tcW w:w="460" w:type="dxa"/>
            <w:vAlign w:val="bottom"/>
            <w:gridSpan w:val="4"/>
          </w:tcPr>
          <w:p>
            <w:pPr>
              <w:spacing w:after="0"/>
              <w:rPr>
                <w:sz w:val="17"/>
                <w:szCs w:val="17"/>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8440" w:type="dxa"/>
            <w:vAlign w:val="bottom"/>
            <w:gridSpan w:val="14"/>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21</w:t>
            </w: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8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7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5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23</w:t>
            </w: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Selected Financial Data</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7A.</w:t>
            </w: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43</w:t>
            </w:r>
          </w:p>
        </w:tc>
      </w:tr>
      <w:tr>
        <w:trPr>
          <w:trHeight w:val="202"/>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Item 8.</w:t>
            </w:r>
          </w:p>
        </w:tc>
        <w:tc>
          <w:tcPr>
            <w:tcW w:w="8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2760" w:type="dxa"/>
            <w:vAlign w:val="bottom"/>
            <w:tcBorders>
              <w:top w:val="single" w:sz="8" w:color="0000FF"/>
            </w:tcBorders>
            <w:gridSpan w:val="6"/>
          </w:tcPr>
          <w:p>
            <w:pPr>
              <w:spacing w:after="0"/>
              <w:rPr>
                <w:sz w:val="17"/>
                <w:szCs w:val="17"/>
                <w:color w:val="auto"/>
              </w:rPr>
            </w:pPr>
          </w:p>
        </w:tc>
        <w:tc>
          <w:tcPr>
            <w:tcW w:w="5200" w:type="dxa"/>
            <w:vAlign w:val="bottom"/>
            <w:gridSpan w:val="6"/>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r>
      <w:tr>
        <w:trPr>
          <w:trHeight w:val="20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540" w:type="dxa"/>
            <w:vAlign w:val="bottom"/>
            <w:gridSpan w:val="6"/>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9A.</w:t>
            </w: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2"/>
        </w:trPr>
        <w:tc>
          <w:tcPr>
            <w:tcW w:w="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0"/>
              </w:rPr>
              <w:t>Item 9B.</w:t>
            </w:r>
          </w:p>
        </w:tc>
        <w:tc>
          <w:tcPr>
            <w:tcW w:w="460" w:type="dxa"/>
            <w:vAlign w:val="bottom"/>
            <w:gridSpan w:val="4"/>
          </w:tcPr>
          <w:p>
            <w:pPr>
              <w:spacing w:after="0"/>
              <w:rPr>
                <w:sz w:val="17"/>
                <w:szCs w:val="17"/>
                <w:color w:val="auto"/>
              </w:rPr>
            </w:pPr>
          </w:p>
        </w:tc>
        <w:tc>
          <w:tcPr>
            <w:tcW w:w="1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780" w:type="dxa"/>
            <w:vAlign w:val="bottom"/>
            <w:gridSpan w:val="11"/>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0"/>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III.</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Item 10.</w:t>
            </w:r>
          </w:p>
        </w:tc>
        <w:tc>
          <w:tcPr>
            <w:tcW w:w="360" w:type="dxa"/>
            <w:vAlign w:val="bottom"/>
            <w:gridSpan w:val="2"/>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r>
      <w:tr>
        <w:trPr>
          <w:trHeight w:val="202"/>
        </w:trPr>
        <w:tc>
          <w:tcPr>
            <w:tcW w:w="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460" w:type="dxa"/>
            <w:vAlign w:val="bottom"/>
            <w:gridSpan w:val="4"/>
          </w:tcPr>
          <w:p>
            <w:pPr>
              <w:spacing w:after="0"/>
              <w:rPr>
                <w:sz w:val="17"/>
                <w:szCs w:val="17"/>
                <w:color w:val="auto"/>
              </w:rPr>
            </w:pPr>
          </w:p>
        </w:tc>
        <w:tc>
          <w:tcPr>
            <w:tcW w:w="39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460" w:type="dxa"/>
            <w:vAlign w:val="bottom"/>
            <w:gridSpan w:val="7"/>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12.</w:t>
            </w:r>
          </w:p>
        </w:tc>
        <w:tc>
          <w:tcPr>
            <w:tcW w:w="380" w:type="dxa"/>
            <w:vAlign w:val="bottom"/>
            <w:gridSpan w:val="3"/>
          </w:tcPr>
          <w:p>
            <w:pPr>
              <w:spacing w:after="0"/>
              <w:rPr>
                <w:sz w:val="17"/>
                <w:szCs w:val="17"/>
                <w:color w:val="auto"/>
              </w:rPr>
            </w:pPr>
          </w:p>
        </w:tc>
        <w:tc>
          <w:tcPr>
            <w:tcW w:w="7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36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r>
      <w:tr>
        <w:trPr>
          <w:trHeight w:val="202"/>
        </w:trPr>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13.</w:t>
            </w:r>
          </w:p>
        </w:tc>
        <w:tc>
          <w:tcPr>
            <w:tcW w:w="380" w:type="dxa"/>
            <w:vAlign w:val="bottom"/>
            <w:gridSpan w:val="3"/>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r>
      <w:tr>
        <w:trPr>
          <w:trHeight w:val="202"/>
        </w:trPr>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14.</w:t>
            </w:r>
          </w:p>
        </w:tc>
        <w:tc>
          <w:tcPr>
            <w:tcW w:w="380" w:type="dxa"/>
            <w:vAlign w:val="bottom"/>
            <w:gridSpan w:val="3"/>
          </w:tcPr>
          <w:p>
            <w:pPr>
              <w:spacing w:after="0"/>
              <w:rPr>
                <w:sz w:val="17"/>
                <w:szCs w:val="17"/>
                <w:color w:val="auto"/>
              </w:rPr>
            </w:pPr>
          </w:p>
        </w:tc>
        <w:tc>
          <w:tcPr>
            <w:tcW w:w="5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4160" w:type="dxa"/>
            <w:vAlign w:val="bottom"/>
            <w:gridSpan w:val="5"/>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30"/>
        </w:trPr>
        <w:tc>
          <w:tcPr>
            <w:tcW w:w="10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IV.</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15.</w:t>
            </w:r>
          </w:p>
        </w:tc>
        <w:tc>
          <w:tcPr>
            <w:tcW w:w="380" w:type="dxa"/>
            <w:vAlign w:val="bottom"/>
            <w:gridSpan w:val="3"/>
          </w:tcPr>
          <w:p>
            <w:pPr>
              <w:spacing w:after="0"/>
              <w:rPr>
                <w:sz w:val="17"/>
                <w:szCs w:val="17"/>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81</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2"/>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80"/>
          </w:cols>
          <w:pgMar w:left="340" w:top="864" w:right="9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7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AGNC Investment Corp. ("AGNC," the "Company," "we," "us" and "our") was organized on January 7, 2008 and commenced operations on May 20, 2008 following the completion of our initial public offering. Our common stock is traded on The Nasdaq Global Select Market under the symbol "AGNC."</w:t>
      </w:r>
    </w:p>
    <w:p>
      <w:pPr>
        <w:spacing w:after="0" w:line="9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21"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7"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Management Strategy</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Our portfolio management philosophy is based upon the following core objectives:</w:t>
      </w:r>
    </w:p>
    <w:p>
      <w:pPr>
        <w:spacing w:after="0" w:line="57" w:lineRule="exact"/>
        <w:rPr>
          <w:sz w:val="20"/>
          <w:szCs w:val="20"/>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attractive risk-adjusted returns for our stockholders primarily through monthly dividend distributions;</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 investment portfolio consisting predominantly of Agency RMBS;</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 on discrepancies in the relative valuations in the Agency and non-Agency securities market;</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financing, interest rate, prepayment, extension and credit risks;</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 as a REIT; and</w:t>
      </w:r>
    </w:p>
    <w:p>
      <w:pPr>
        <w:spacing w:after="0" w:line="65" w:lineRule="exact"/>
        <w:rPr>
          <w:rFonts w:ascii="Times New Roman" w:cs="Times New Roman" w:eastAsia="Times New Roman" w:hAnsi="Times New Roman"/>
          <w:sz w:val="17"/>
          <w:szCs w:val="17"/>
          <w:color w:val="auto"/>
        </w:rPr>
      </w:pPr>
    </w:p>
    <w:p>
      <w:pPr>
        <w:ind w:left="740" w:hanging="2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 exempt from the requirements of the Investment Company Act of 1940 (the "Investment Company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Targeted Investments</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Asset selection is a central component of our overall investment approach. Our investments consist predominantly of Agency RMBS which, in addition to carrying a GSE or U.S. Government guarantee against loss of principal, are considered a cornerstone of the U.S. financial system. The $8 trillion Agency market plays a vital role in providing liquidity to homeowners and prospective homeowners to purchase or refinance homes.</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team of investment professionals has decades of experience investing in Agency RMBS. Our asset selection process involves assessing relative risk-return profiles against the backdrop of broader market conditions. Utilizing sophisticated modeling techniques, we identify assets with favorable underlying loan characteristics with the objective of optimizing returns over the life of the investment.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Agency Securities</w:t>
      </w:r>
    </w:p>
    <w:p>
      <w:pPr>
        <w:spacing w:after="0" w:line="172" w:lineRule="exact"/>
        <w:rPr>
          <w:sz w:val="20"/>
          <w:szCs w:val="20"/>
          <w:color w:val="auto"/>
        </w:rPr>
      </w:pPr>
    </w:p>
    <w:p>
      <w:pPr>
        <w:jc w:val="both"/>
        <w:ind w:left="740" w:hanging="304"/>
        <w:spacing w:after="0" w:line="270" w:lineRule="auto"/>
        <w:tabs>
          <w:tab w:leader="none" w:pos="7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Agency Residential Mortgage-Backed Securities. </w:t>
      </w:r>
      <w:r>
        <w:rPr>
          <w:rFonts w:ascii="Times New Roman" w:cs="Times New Roman" w:eastAsia="Times New Roman" w:hAnsi="Times New Roman"/>
          <w:sz w:val="17"/>
          <w:szCs w:val="17"/>
          <w:color w:val="auto"/>
        </w:rPr>
        <w:t>Agency RMBS consist of pass-through certificates representing interests in "pools" of mortgage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distribute cash flows from the underlying collateral on a pro rata basis among the security holders. Security holders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ind w:left="740"/>
        <w:spacing w:after="0" w:line="295" w:lineRule="auto"/>
        <w:rPr>
          <w:sz w:val="20"/>
          <w:szCs w:val="20"/>
          <w:color w:val="auto"/>
        </w:rPr>
      </w:pPr>
      <w:r>
        <w:rPr>
          <w:rFonts w:ascii="Times New Roman" w:cs="Times New Roman" w:eastAsia="Times New Roman" w:hAnsi="Times New Roman"/>
          <w:sz w:val="17"/>
          <w:szCs w:val="17"/>
          <w:color w:val="auto"/>
        </w:rPr>
        <w:t>also receive guarantor advances of principal and interest for delinquent loans in the mortgage pools. We may also invest in Agency collateralized mortgage obligations ("CMOs"), which are structured instruments backed by a pool of Agency mortgage-backed securities.</w:t>
      </w:r>
    </w:p>
    <w:p>
      <w:pPr>
        <w:spacing w:after="0" w:line="92" w:lineRule="exact"/>
        <w:rPr>
          <w:sz w:val="20"/>
          <w:szCs w:val="20"/>
          <w:color w:val="auto"/>
        </w:rPr>
      </w:pPr>
    </w:p>
    <w:p>
      <w:pPr>
        <w:jc w:val="both"/>
        <w:ind w:left="740" w:hanging="304"/>
        <w:spacing w:after="0" w:line="277" w:lineRule="auto"/>
        <w:tabs>
          <w:tab w:leader="none" w:pos="7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To-Be-Announced Forward Contracts ("TBAs"). </w:t>
      </w:r>
      <w:r>
        <w:rPr>
          <w:rFonts w:ascii="Times New Roman" w:cs="Times New Roman" w:eastAsia="Times New Roman" w:hAnsi="Times New Roman"/>
          <w:sz w:val="17"/>
          <w:szCs w:val="17"/>
          <w:color w:val="auto"/>
        </w:rPr>
        <w:t>TBAs are forward contracts to purchase or sell Agency RMBS in the TBA market. TBA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contracts specify the coupon rate, issuer, term and face value of the bonds to be delivered, with the actual bonds to be delivered only identified shortly before the TBA settlement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Non-Agency Securities</w:t>
      </w:r>
    </w:p>
    <w:p>
      <w:pPr>
        <w:spacing w:after="0" w:line="172" w:lineRule="exact"/>
        <w:rPr>
          <w:sz w:val="20"/>
          <w:szCs w:val="20"/>
          <w:color w:val="auto"/>
        </w:rPr>
      </w:pPr>
    </w:p>
    <w:p>
      <w:pPr>
        <w:jc w:val="both"/>
        <w:ind w:left="740" w:hanging="265"/>
        <w:spacing w:after="0" w:line="270" w:lineRule="auto"/>
        <w:tabs>
          <w:tab w:leader="none" w:pos="7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Credit Risk Transfer ("CRT") Securities. </w:t>
      </w:r>
      <w:r>
        <w:rPr>
          <w:rFonts w:ascii="Times New Roman" w:cs="Times New Roman" w:eastAsia="Times New Roman" w:hAnsi="Times New Roman"/>
          <w:sz w:val="17"/>
          <w:szCs w:val="17"/>
          <w:color w:val="auto"/>
        </w:rPr>
        <w:t>CRT securities are risk sharing instruments that transfer a portion of the risk associated with credit losses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pools of conventional residential mortgage loans from the GSEs and/or third- 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w:t>
      </w:r>
    </w:p>
    <w:p>
      <w:pPr>
        <w:spacing w:after="0" w:line="113" w:lineRule="exact"/>
        <w:rPr>
          <w:rFonts w:ascii="Times New Roman" w:cs="Times New Roman" w:eastAsia="Times New Roman" w:hAnsi="Times New Roman"/>
          <w:sz w:val="17"/>
          <w:szCs w:val="17"/>
          <w:color w:val="auto"/>
        </w:rPr>
      </w:pPr>
    </w:p>
    <w:p>
      <w:pPr>
        <w:jc w:val="both"/>
        <w:ind w:left="740" w:hanging="265"/>
        <w:spacing w:after="0" w:line="255" w:lineRule="auto"/>
        <w:tabs>
          <w:tab w:leader="none" w:pos="733" w:val="left"/>
        </w:tabs>
        <w:numPr>
          <w:ilvl w:val="0"/>
          <w:numId w:val="4"/>
        </w:numPr>
        <w:rPr>
          <w:rFonts w:ascii="Calibri" w:cs="Calibri" w:eastAsia="Calibri" w:hAnsi="Calibri"/>
          <w:sz w:val="17"/>
          <w:szCs w:val="17"/>
          <w:color w:val="auto"/>
        </w:rPr>
      </w:pPr>
      <w:r>
        <w:rPr>
          <w:rFonts w:ascii="Times New Roman" w:cs="Times New Roman" w:eastAsia="Times New Roman" w:hAnsi="Times New Roman"/>
          <w:sz w:val="17"/>
          <w:szCs w:val="17"/>
          <w:b w:val="1"/>
          <w:bCs w:val="1"/>
          <w:color w:val="auto"/>
        </w:rPr>
        <w:t xml:space="preserve">Non-Agency Residential Mortgage-Backed Securities ("Non-Agency RMBS"). </w:t>
      </w:r>
      <w:r>
        <w:rPr>
          <w:rFonts w:ascii="Times New Roman" w:cs="Times New Roman" w:eastAsia="Times New Roman" w:hAnsi="Times New Roman"/>
          <w:sz w:val="17"/>
          <w:szCs w:val="17"/>
          <w:color w:val="auto"/>
        </w:rPr>
        <w:t>Non-Agency RMBS are structured securities backed by pools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w:t>
      </w:r>
    </w:p>
    <w:p>
      <w:pPr>
        <w:spacing w:after="0" w:line="113" w:lineRule="exact"/>
        <w:rPr>
          <w:rFonts w:ascii="Calibri" w:cs="Calibri" w:eastAsia="Calibri" w:hAnsi="Calibri"/>
          <w:sz w:val="17"/>
          <w:szCs w:val="17"/>
          <w:color w:val="auto"/>
        </w:rPr>
      </w:pPr>
    </w:p>
    <w:p>
      <w:pPr>
        <w:jc w:val="both"/>
        <w:ind w:left="740" w:hanging="265"/>
        <w:spacing w:after="0" w:line="267" w:lineRule="auto"/>
        <w:tabs>
          <w:tab w:leader="none" w:pos="7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Commercial Mortgage-Backed Securities ("CMBS"). </w:t>
      </w:r>
      <w:r>
        <w:rPr>
          <w:rFonts w:ascii="Times New Roman" w:cs="Times New Roman" w:eastAsia="Times New Roman" w:hAnsi="Times New Roman"/>
          <w:sz w:val="17"/>
          <w:szCs w:val="17"/>
          <w:color w:val="auto"/>
        </w:rPr>
        <w:t>CMBS are securities backed by a pool of loans secured by one or more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properties. 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Strategy</w:t>
      </w:r>
    </w:p>
    <w:p>
      <w:pPr>
        <w:spacing w:after="0" w:line="17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Our investments in Agency RMBS benefit from asset-driven, as well as AGNC-specific, funding advantages, that enable us to enhance returns using leverage via low-cost and highly liquid collateralized borrowings structured as repurchase agreements.</w:t>
      </w:r>
    </w:p>
    <w:p>
      <w:pPr>
        <w:spacing w:after="0" w:line="9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Repurchase agreements ("repo") involve the sale and a simultaneous agreement to repurchase the transferred assets at a future date. Our borrowings through repurchase transactions are generally short-term, with maturities typically ranging from one day to one year, but may sometimes have maturities of up to five or more years. Our financing rates are primarily impacted by short-term benchmark rates and liquidity in the Agency repo and short-term funding markets.</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amount of leverage that we utilize depends on market conditions, our assessment of risk and returns and our ability to borrow sufficient funds on favorable terms to acquire mortgage securities. We generally expect our leverage to be within six to twelve times the amount of our tangible stockholders' equity, but under certain conditions we may operate at leverage levels outside of this range.</w:t>
      </w:r>
    </w:p>
    <w:p>
      <w:pPr>
        <w:spacing w:after="0" w:line="11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Thus, through BES, we have greater depth and diversity of funding than solely through traditional bilateral repo, while also lowering our funding cost, reducing our collateral requirements and limiting our counterparty exposure.</w:t>
      </w:r>
    </w:p>
    <w:p>
      <w:pPr>
        <w:spacing w:after="0" w:line="121"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also finance the acquisition of Agency RMBS by entering into TBA dollar roll transactions through which we simultaneously sell a TBA contract for the current month's settlement date and purchase a similar TBA contract for a forward month's settlement date. The TBA contract purchased for the forward settlement date is typically priced at a discount to the TBA contract sold for the current month. The discount, or "price drop", is the economic equivalent of interest income on the underlying Agency RMBS, less an implied financing cost, between the current month and forward month settlement dates.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5" w:name="page6"/>
    <w:bookmarkEnd w:id="5"/>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forward settlement date, we may choose to roll the position to a later date by entering into an offsetting TBA position, net settling the paired off positions for cash, and simultaneously entering into a similar TBA contract for a new forward settlement date. Hence the discount or price drop from rolling TBA positions forward is commonly referred to as "TBA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Strategy</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As a levered investor in fixed income securities, risk management is core to our business. We are exposed to a variety of market risks, including interest rate, prepayment, extension, spread and credit risks. Our investment strategies are based on our assessment of these risks, our ability to hedge a portion of these risks and our intention to qualify as a REIT. We employ a variety of investment and risk management strategies to reduce our exposure to market risks, and we continuously monitor and adjust our hedge portfolio, the net duration (or interest rate sensitivity) of our investment portfolio, and leverage in order to optimize returns over the longer term as market conditions warrant.</w:t>
      </w:r>
    </w:p>
    <w:p>
      <w:pPr>
        <w:spacing w:after="0" w:line="119"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 xml:space="preserve">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Factors </w:t>
      </w:r>
      <w:r>
        <w:rPr>
          <w:rFonts w:ascii="Times New Roman" w:cs="Times New Roman" w:eastAsia="Times New Roman" w:hAnsi="Times New Roman"/>
          <w:sz w:val="17"/>
          <w:szCs w:val="17"/>
          <w:color w:val="auto"/>
        </w:rPr>
        <w:t>and Item 7A.</w:t>
      </w:r>
      <w:r>
        <w:rPr>
          <w:rFonts w:ascii="Times New Roman" w:cs="Times New Roman" w:eastAsia="Times New Roman" w:hAnsi="Times New Roman"/>
          <w:sz w:val="17"/>
          <w:szCs w:val="17"/>
          <w:i w:val="1"/>
          <w:iCs w:val="1"/>
          <w:color w:val="auto"/>
        </w:rPr>
        <w:t xml:space="preserve"> Quantitative and Qualitative Disclosures about Market Risk </w:t>
      </w:r>
      <w:r>
        <w:rPr>
          <w:rFonts w:ascii="Times New Roman" w:cs="Times New Roman" w:eastAsia="Times New Roman" w:hAnsi="Times New Roman"/>
          <w:sz w:val="17"/>
          <w:szCs w:val="17"/>
          <w:color w:val="auto"/>
        </w:rPr>
        <w:t>within this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Exemption from Regulation under the Investment Company Act</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 xml:space="preserve">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within this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Investment Trust Requirements</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Tests: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 continue to qualify as a REIT, we must satisfy two gross income requirements on an annual basis.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 w:name="page7"/>
    <w:bookmarkEnd w:id="6"/>
    <w:p>
      <w:pPr>
        <w:ind w:left="640" w:hanging="243"/>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our gross income for each taxable year generally must be derived from investments in real property or mortgages on real property.</w:t>
      </w:r>
    </w:p>
    <w:p>
      <w:pPr>
        <w:spacing w:after="0" w:line="170" w:lineRule="exact"/>
        <w:rPr>
          <w:rFonts w:ascii="Times New Roman" w:cs="Times New Roman" w:eastAsia="Times New Roman" w:hAnsi="Times New Roman"/>
          <w:sz w:val="17"/>
          <w:szCs w:val="17"/>
          <w:color w:val="auto"/>
        </w:rPr>
      </w:pPr>
    </w:p>
    <w:p>
      <w:pPr>
        <w:jc w:val="both"/>
        <w:ind w:left="640" w:hanging="243"/>
        <w:spacing w:after="0" w:line="276"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1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Tests: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the close of each calendar quarter, we must satisfy five tests relating to the nature of our assets.</w:t>
      </w:r>
    </w:p>
    <w:p>
      <w:pPr>
        <w:spacing w:after="0" w:line="170" w:lineRule="exact"/>
        <w:rPr>
          <w:sz w:val="20"/>
          <w:szCs w:val="20"/>
          <w:color w:val="auto"/>
        </w:rPr>
      </w:pPr>
    </w:p>
    <w:p>
      <w:pPr>
        <w:jc w:val="both"/>
        <w:ind w:left="640" w:hanging="322"/>
        <w:spacing w:after="0" w:line="269"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16"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any one issuer's securities that we own may not exceed 5% of the value of our total assets.</w:t>
      </w:r>
    </w:p>
    <w:p>
      <w:pPr>
        <w:spacing w:after="0" w:line="170" w:lineRule="exact"/>
        <w:rPr>
          <w:rFonts w:ascii="Times New Roman" w:cs="Times New Roman" w:eastAsia="Times New Roman" w:hAnsi="Times New Roman"/>
          <w:sz w:val="17"/>
          <w:szCs w:val="17"/>
          <w:color w:val="auto"/>
        </w:rPr>
      </w:pPr>
    </w:p>
    <w:p>
      <w:pPr>
        <w:jc w:val="both"/>
        <w:ind w:left="640" w:hanging="322"/>
        <w:spacing w:after="0" w:line="276"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09"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value of all securities of all TRSs that we hold may not exceed 20% of the value of our total assets.</w:t>
      </w:r>
    </w:p>
    <w:p>
      <w:pPr>
        <w:spacing w:after="0" w:line="170"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25% of the total value of our assets may be represented by certain non-mortgage debt instruments issued by publicly offered REITs (even though such debt instruments qualify under the 75% asset test).</w:t>
      </w:r>
    </w:p>
    <w:p>
      <w:pPr>
        <w:spacing w:after="0" w:line="9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 xml:space="preserve">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w:t>
      </w:r>
      <w:r>
        <w:rPr>
          <w:rFonts w:ascii="Times New Roman" w:cs="Times New Roman" w:eastAsia="Times New Roman" w:hAnsi="Times New Roman"/>
          <w:sz w:val="17"/>
          <w:szCs w:val="17"/>
          <w:i w:val="1"/>
          <w:iCs w:val="1"/>
          <w:color w:val="auto"/>
        </w:rPr>
        <w:t>Risks Related to Our Taxation as a REIT</w:t>
      </w:r>
      <w:r>
        <w:rPr>
          <w:rFonts w:ascii="Times New Roman" w:cs="Times New Roman" w:eastAsia="Times New Roman" w:hAnsi="Times New Roman"/>
          <w:sz w:val="17"/>
          <w:szCs w:val="17"/>
          <w:color w:val="auto"/>
        </w:rPr>
        <w:t xml:space="preserve">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of this Form 10-K for further discussion of REIT qualification requirements and related items.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Requirements of our Captive Broker-Dealer Subsidiary</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FICC's GCF Repo service, which represents a significant portion of our total borrowing capacity, is reliant on BES' ability to continually meet FINRA and FICC regulatory and membership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2"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2024, our workforce consisted of 53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 low voluntary employee turnover, which averaged less than 1 employee per year the past three years, and favorable employee survey results are a testament to the success of our human capital management initiatives.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color w:val="auto"/>
        </w:rPr>
        <w:t>Employee Communications and Engagement</w:t>
      </w:r>
    </w:p>
    <w:p>
      <w:pPr>
        <w:spacing w:after="0" w:line="172" w:lineRule="exact"/>
        <w:rPr>
          <w:sz w:val="20"/>
          <w:szCs w:val="20"/>
          <w:color w:val="auto"/>
        </w:rPr>
      </w:pPr>
    </w:p>
    <w:p>
      <w:pPr>
        <w:jc w:val="both"/>
        <w:ind w:firstLine="392"/>
        <w:spacing w:after="0" w:line="252" w:lineRule="auto"/>
        <w:rPr>
          <w:sz w:val="20"/>
          <w:szCs w:val="20"/>
          <w:color w:val="auto"/>
        </w:rPr>
      </w:pPr>
      <w:r>
        <w:rPr>
          <w:rFonts w:ascii="Times New Roman" w:cs="Times New Roman" w:eastAsia="Times New Roman" w:hAnsi="Times New Roman"/>
          <w:sz w:val="17"/>
          <w:szCs w:val="17"/>
          <w:color w:val="auto"/>
        </w:rPr>
        <w:t xml:space="preserve">We recognize the importance of ongoing open communication and engagement with our employees and we greatly value their input. To foster this, we regularly engage with our employees in a variety of ways through direct interaction with each member of our staff, periodic anonymous employee surveys and regular town hall meetings. Our anonymous employee surveys provide important information about their job satisfaction, engagement, and specific concerns. Results consistently reflect high levels of employee satisfaction, including in areas of leadership, benefits, engagement, training, and development. To encourage candid feedback, we partner with outside vendors who analyze survey results and provide verbatim comments on an anonymous basis. In recognition of these efforts, AGNC was recertified as a Great Place to Work™ in 2023 based entirely on employee feedback. In 2024, </w:t>
      </w:r>
      <w:r>
        <w:rPr>
          <w:rFonts w:ascii="Times New Roman" w:cs="Times New Roman" w:eastAsia="Times New Roman" w:hAnsi="Times New Roman"/>
          <w:sz w:val="17"/>
          <w:szCs w:val="17"/>
          <w:i w:val="1"/>
          <w:iCs w:val="1"/>
          <w:color w:val="auto"/>
        </w:rPr>
        <w:t>Fortune</w:t>
      </w:r>
      <w:r>
        <w:rPr>
          <w:rFonts w:ascii="Times New Roman" w:cs="Times New Roman" w:eastAsia="Times New Roman" w:hAnsi="Times New Roman"/>
          <w:sz w:val="17"/>
          <w:szCs w:val="17"/>
          <w:color w:val="auto"/>
        </w:rPr>
        <w:t xml:space="preserve"> named AGNC one of the Best Small Workplaces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recognizing our commitment to creating a best-in-class employee experience. Our Board of Directors (our "Board") and management use survey results and regular direct feedback from employees in making adjustments to our work environment and benefits package.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Workplace Culture and Ethics</w:t>
      </w:r>
    </w:p>
    <w:p>
      <w:pPr>
        <w:spacing w:after="0" w:line="17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third-party hotline). All employees are required to affirm their understanding of these standards on at least an annual basis. We also regularly conduct mandatory compliance training on the Code of Conduct, insider trading, whistleblower protections, anti-harassment and other legal and corporate policies. Our executive officers and human resources department maintain "open door" policies, and any form of retaliation for bona fide reporting of Code of Conduct violations is expressly prohibited.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Development</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have a number of policies and programs to further the professional development of our employees. These include our professional certification and continuing education policy, reimbursement for any supervisor-approved courses, one-on-one coaching to enhance skills in a number of areas of personal and professional development, and memberships to organizations that provide employees with access to educational webinars. We also conduct periodic "Lunch and Learn" seminars and offer a formal mentoring program for employees to receive direct one-on-one career guidance and cross-functional experience across various operations. Our employees also have the opportunity to lead and/or participate in employee-led initiatives, such as our employee-led Volunteerism &amp; Community Outreach Committee, which is responsible for implementing and leading new volunteer opportunities, as well as identifying ways the Company can have a positive impact on the community. These initiatives have advanced unique and professional skill sets throughout the 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Inclusion</w:t>
      </w:r>
    </w:p>
    <w:p>
      <w:pPr>
        <w:spacing w:after="0" w:line="172"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Central to our core values is that every individual deserves respect and equal treatment, regardless of gender, race, ethnicity, age, disability, sexual orientation, gender identity, cultural background or religious belief. We strive to have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2024, 40% of our employees were women and 32% were ethnically diverse.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and Benefits</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 w:name="page9"/>
    <w:bookmarkEnd w:id="8"/>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parental leave and adoption assistance, voluntary short-term and long-term disability insurance, term life insurance, employee assistance programs, and other benefits. We also believe in the long-term financial wellness of our employees, and to foster maximum savings rates by our employees we offer a 401(k) Savings Plan with Company matching contributions of 100% up to 6% of each employee’s eligible compensation, subject to IRS limits.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59"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executive offices are located at 7373 Wisconsin Avenue, 22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Floor, Bethesda, MD 20814 and our telephone number is (301) 968-9315.</w:t>
      </w:r>
    </w:p>
    <w:p>
      <w:pPr>
        <w:spacing w:after="0" w:line="113" w:lineRule="exact"/>
        <w:rPr>
          <w:sz w:val="20"/>
          <w:szCs w:val="20"/>
          <w:color w:val="auto"/>
        </w:rPr>
      </w:pPr>
    </w:p>
    <w:p>
      <w:pPr>
        <w:jc w:val="both"/>
        <w:ind w:firstLine="392"/>
        <w:spacing w:after="0" w:line="288" w:lineRule="auto"/>
        <w:rPr>
          <w:sz w:val="20"/>
          <w:szCs w:val="20"/>
          <w:color w:val="auto"/>
        </w:rPr>
      </w:pPr>
      <w:r>
        <w:rPr>
          <w:rFonts w:ascii="Times New Roman" w:cs="Times New Roman" w:eastAsia="Times New Roman" w:hAnsi="Times New Roman"/>
          <w:sz w:val="17"/>
          <w:szCs w:val="17"/>
          <w:color w:val="auto"/>
        </w:rPr>
        <w:t xml:space="preserve">We make available our Annual Reports on Form 10-K, quarterly reports on Form 10-Q, current reports on Form 8-K and amendments to such reports as well as our Code of Ethics and Conduct on our internet website at </w:t>
      </w:r>
      <w:r>
        <w:rPr>
          <w:rFonts w:ascii="Times New Roman" w:cs="Times New Roman" w:eastAsia="Times New Roman" w:hAnsi="Times New Roman"/>
          <w:sz w:val="17"/>
          <w:szCs w:val="17"/>
          <w:u w:val="single" w:color="auto"/>
          <w:color w:val="auto"/>
        </w:rPr>
        <w:t>www.AGNC.com.</w:t>
      </w:r>
      <w:r>
        <w:rPr>
          <w:rFonts w:ascii="Times New Roman" w:cs="Times New Roman" w:eastAsia="Times New Roman" w:hAnsi="Times New Roman"/>
          <w:sz w:val="17"/>
          <w:szCs w:val="17"/>
          <w:color w:val="auto"/>
        </w:rPr>
        <w:t xml:space="preserve"> These reports are also available on the SEC internet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 Our risk factors discussed below are classified among:</w:t>
      </w:r>
    </w:p>
    <w:p>
      <w:pPr>
        <w:spacing w:after="0" w:line="67" w:lineRule="exact"/>
        <w:rPr>
          <w:sz w:val="20"/>
          <w:szCs w:val="20"/>
          <w:color w:val="auto"/>
        </w:rPr>
      </w:pPr>
    </w:p>
    <w:p>
      <w:pPr>
        <w:ind w:left="620" w:hanging="22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investment and portfolio management activities;</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financing and hedging activities;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business operations;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risks; and</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Investment and Portfolio Management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Spread risk is inherent to our business as a levered investor in Agency RMBS.</w:t>
      </w:r>
    </w:p>
    <w:p>
      <w:pPr>
        <w:spacing w:after="0" w:line="174"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When the differential between the market yield on our assets and our interest rate hedges widens, our tangible net book value will typically decline, a dynamic we refer to as "spread risk." As a levered investor primarily in fixed-rate Agency RMBS, spread risk is an inherent component of our business. Although we use hedging instruments in an effort to protect against moves in interest rates, our hedges will typically not protect us against spread risk. Spreads may widen due to numerous factors, including actual or expected monetary policy actions by U.S. and foreign central banks; legislative, regulatory or other administrative actions affecting the Agency RMBS market; changes in fiscal policy and rising federal budget deficits; increased market volatility; reduced market liquidity; higher Agency RMBS supply; and shifts in investor return requirements and sentiment.</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Interest rate and spread volatility represent significant risks to our business, potentially affecting our liquidity, increasing our costs, and impacting our ability to manage risks effectively.</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Interest rate and spread volatility can materially and adversely impact our business, financial condition, and operating results. Elevated volatility amplifies market risks that affect the value of our assets and liabilities and can reduce earnings stability. Increased volatility also heightens our exposure to margin calls, including higher risk-based margin requirements,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9" w:name="page10"/>
    <w:bookmarkEnd w:id="9"/>
    <w:p>
      <w:pPr>
        <w:jc w:val="both"/>
        <w:spacing w:after="0" w:line="295" w:lineRule="auto"/>
        <w:rPr>
          <w:sz w:val="20"/>
          <w:szCs w:val="20"/>
          <w:color w:val="auto"/>
        </w:rPr>
      </w:pPr>
      <w:r>
        <w:rPr>
          <w:rFonts w:ascii="Times New Roman" w:cs="Times New Roman" w:eastAsia="Times New Roman" w:hAnsi="Times New Roman"/>
          <w:sz w:val="17"/>
          <w:szCs w:val="17"/>
          <w:color w:val="auto"/>
        </w:rPr>
        <w:t>which may require us to post additional collateral, thereby reducing our unencumbered liquidity, limiting resources available for operational needs and further margin obligations.</w:t>
      </w:r>
    </w:p>
    <w:p>
      <w:pPr>
        <w:spacing w:after="0" w:line="9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Volatility further increases the complexity and cost of hedging against interest rate fluctuations, which can adversely affect our profitability. In addition, heightened volatility may reduce liquidity in the mortgage market as investors scale back exposure to mitigate risk, making it more difficult to buy or sell assets without significantly impacting market prices. Volatility may also diminish the effectiveness and accuracy of the predictive models we rely on for decision-making and risk management.</w:t>
      </w:r>
    </w:p>
    <w:p>
      <w:pPr>
        <w:spacing w:after="0" w:line="117"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Sustained interest rate and spread volatility has the potential to materially impact our liquidity, increase our costs, and impair our ability to manage risk effectively. While we actively monitor market conditions and adjust our strategies in response, there is no assurance that these measures will be sufficient to offset the negative effects of volatility on our business, operations, and financial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Fed’s participation in the Agency mortgage market could have an adverse effect on our Agency RMBS investments.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The Federal Reserve’s (the "Fed") participation in the Agency RMBS market can materially impact mortgage market conditions, affecting supply, pricing, and returns. Asset purchases by the Fed generally drive Agency RMBS values higher and tighten mortgage spreads, which increases our tangible net book value but reduces the return potential on new investments. Conversely, actual or anticipated reductions in the amount of its Agency RMBS holdings typically lead to lower values and wider spreads, thereby lowering our tangible net book value while improving the return potential on new acquisitions.</w:t>
      </w:r>
    </w:p>
    <w:p>
      <w:pPr>
        <w:spacing w:after="0" w:line="117"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 Fed first implemented large-scale asset purchases, known as quantitative easing ("QE"), during the 2008-2009 financial crisis to stabilize markets and support economic recovery. In response to the COVID-19 crisis, the Fed’s balance sheet more than doubled from $4.2 trillion in March 2020 to $8.9 trillion in May 2022, with its Agency RMBS holdings rising to nearly one-third of all outstanding Agency RMBS. Since 2022, the Fed has reduced these holdings by approximately $500 billion through prepayment runoff. While the Fed currently favors gradual balance sheet reduction through prepayment runoff, there is no assurance that it will not undertake asset sales. A faster-than-expected unwinding of Fed holdings could increase market volatility, reduce liquidity, and widen RMBS spreads, materially impacting our tangible net book value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active portfolio management strategy may expose us to greater losses and lower returns than compared to passive strategies.</w:t>
      </w:r>
    </w:p>
    <w:p>
      <w:pPr>
        <w:spacing w:after="0" w:line="161"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employ an active management strategy, meaning our investment portfolio composition, leverage ratio, and hedge positions will fluctuate based on our assessment of market conditions. We may realize significant gains or losses when selling investments or adjusting hedge positions that we no longer believe offer attractive risk-adjusted returns or when reallocating to perceived better opportunities. However, our market assessments may be incorrect, leading to portfolio, leverage, or hedge decisions that underperform a more static strategy. Additionally, due to our active approach, investors may not be able to assess changes in our financial position solely by tracking changes in the mortgage market.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decline in the fair value of our assets may adversely affect our financial condition and make it costlier to finance our assets.</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Our investment securities are reported at fair value on our consolidated balance sheet, with changes in fair value reported in net income or other comprehensive income. Therefore, a decline in the fair value of our assets reduces our total comprehensive income and adversely affects our financial position. We use our investments as collateral for our financing arrangements and certain hedge transactions; consequently, a decline in fair value, or perceived market uncertainty about the value of our assets, could reduce the amount of our unencumbered assets, subject us to margin calls or make it more difficult for us to maintain our compliance with the terms of our financing agreements. It could also reduce our ability to purchase additional investments or to renew or replace our existing borrowings as they mature. As a result, we could be required to sell assets at adverse prices and our ability to maintain or grow our total comprehensive income could be reduced.</w:t>
      </w:r>
    </w:p>
    <w:p>
      <w:pPr>
        <w:spacing w:after="0" w:line="121"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The value of our assets is influenced by multiple factors. In particular, the value of our long-term fixed-rate securities is highly sensitive to fluctuations in longer-term interest rates. Additionally, market liquidity can significantly impact asset values, as reduced liquidity may lead to price declines and increased volatility. Several factors can negatively impact market liquidity, including shifts in macro-economic conditions, market uncertainties, changes in investor sentiment, reduced or negative global money flows into U.S. fixed income markets, and regulatory capital requirements that constrain the market-making or funding capacity of banks and financial institutions. Liquidity could also be affected by the Fed’s monetary policy, particularly if balance sheet reduction occurs more rapidly than expected, as well as by legislative, regulatory or other administrative actions that affect the Agency RMBS market or changes in fiscal policy that increase the federal budget deficit.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prepayment rates may adversely affect the return on our investments.</w:t>
      </w:r>
    </w:p>
    <w:p>
      <w:pPr>
        <w:spacing w:after="0" w:line="174"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7"/>
          <w:szCs w:val="17"/>
          <w:color w:val="auto"/>
        </w:rPr>
        <w:t>Our investment portfolio largely consists of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but other factors can also affect the rate of prepayments, including loan age and size, loan-to-value ratios, housing price trends, general economic conditions and GSE buyouts of delinquent loans.</w:t>
      </w:r>
    </w:p>
    <w:p>
      <w:pPr>
        <w:spacing w:after="0" w:line="32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1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If our assets prepay at a slower rate than anticipated, our assets could extend beyond their expected maturity,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At the same time, the market value of our assets could decline, while most of our hedging instruments would not receive any incremental offsetting gains.</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To the extent that actual prepayment rates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making less favorable investments.</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Prepayment rates are difficult to predict, and market conditions and other factors impacting mortgage origination channels may disrupt the historical correlation between interest rate changes and prepayment trends.</w:t>
      </w:r>
    </w:p>
    <w:p>
      <w:pPr>
        <w:spacing w:after="0" w:line="90"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and reliance on historical correlations between interest rates and other factors and the rate of prepayments. However, unprecedented events, market dislocations, advances in origination channel technologies and other factors may impair the usefulness of these historical correlations or render them completely invalid, reducing our ability to accurately predict future prepayment activity. Other factors beyond interest rates also impact the rate of prepayments and may be difficult to predict, such as housing turnover, lending conditions and the availability of credit to homeowners, and GSE buyouts of delinquent loans from the underlying mortgage pool.</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analytical models and third-party data that we rely on to manage our portfolio and conduct our business objectives may be incorrect, misleading or incomplete.</w:t>
      </w:r>
    </w:p>
    <w:p>
      <w:pPr>
        <w:spacing w:after="0" w:line="90"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17"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unanticipated and/or unprecedented financial or economic events, including any actual or anticipated shifts in monetary or fiscal policy resulting from these events. Consequently, actual results could differ materially from our projections. Moreover, the use of different models could result in materially different projections.</w:t>
      </w:r>
    </w:p>
    <w:p>
      <w:pPr>
        <w:spacing w:after="0" w:line="121"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Analytical models and third-party data used to analyze credit sensitive assets also expose us to the risk that the (i) collateral cash flows and/or liability structures may be incorrectly modeled, or may be modeled based on simplifying assumptions that lead to errors; (ii) information about collateral may be incorrect, incomplete or misleading; (iii) collateral 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 w:name="page12"/>
    <w:bookmarkEnd w:id="11"/>
    <w:p>
      <w:pPr>
        <w:jc w:val="both"/>
        <w:spacing w:after="0" w:line="276" w:lineRule="auto"/>
        <w:rPr>
          <w:sz w:val="20"/>
          <w:szCs w:val="20"/>
          <w:color w:val="auto"/>
        </w:rPr>
      </w:pPr>
      <w:r>
        <w:rPr>
          <w:rFonts w:ascii="Times New Roman" w:cs="Times New Roman" w:eastAsia="Times New Roman" w:hAnsi="Times New Roman"/>
          <w:sz w:val="17"/>
          <w:szCs w:val="17"/>
          <w:color w:val="auto"/>
        </w:rPr>
        <w:t>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fair value of our investments may not be readily determinable or may be materially different from the value that we ultimately realize upon their disposal.</w:t>
      </w:r>
    </w:p>
    <w:p>
      <w:pPr>
        <w:spacing w:after="0" w:line="35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 xml:space="preserve">We measure the fair value of our investments in accordance with guidance set forth in Accounting Standards Codification Topic 820, </w:t>
      </w:r>
      <w:r>
        <w:rPr>
          <w:rFonts w:ascii="Times New Roman" w:cs="Times New Roman" w:eastAsia="Times New Roman" w:hAnsi="Times New Roman"/>
          <w:sz w:val="17"/>
          <w:szCs w:val="17"/>
          <w:i w:val="1"/>
          <w:iCs w:val="1"/>
          <w:color w:val="auto"/>
        </w:rPr>
        <w:t>Fair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Measurements and Disclosures</w:t>
      </w:r>
      <w:r>
        <w:rPr>
          <w:rFonts w:ascii="Times New Roman" w:cs="Times New Roman" w:eastAsia="Times New Roman" w:hAnsi="Times New Roman"/>
          <w:sz w:val="17"/>
          <w:szCs w:val="17"/>
          <w:color w:val="auto"/>
        </w:rPr>
        <w:t>. Fair value is only an estimate based on good faith judgment of the price at which an investment can be sold since market prices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investments can 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source to another. Moreover, values can fluctuate significantly, even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through a forced liquidation, the realized value may be less than the amount at which the asset is recorded, which would negatively affect our results of operations and financial condition.</w:t>
      </w:r>
    </w:p>
    <w:p>
      <w:pPr>
        <w:spacing w:after="0" w:line="12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mortgage loans referenced by our CRT securities or that underlie our non-Agency securities may be or could become subject to delinquency or foreclosure, which could result in investment losses.</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1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19"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Non-Agency RMBS are backed by residential mortgage loans, which carry the risk of delinquency, foreclosure and loss based on the borrower's ability to repay. The ability to repay is primarily influenced by the borrower's income and assets. Factors such as loss of employment, divorce, illness, acts of God, acts of war or terrorism, adverse changes in economic and market conditions, declining home values, changes in laws and regulations, changes in fiscal policies and zoning ordinances, environmental hazards such as mold, and property losses (insured or not) can impede repayment.</w:t>
      </w:r>
    </w:p>
    <w:p>
      <w:pPr>
        <w:spacing w:after="0" w:line="117"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CMBS are backed by commercial loans, secured by multifamily or other commercial properties. These loans typically face higher risks of delinquency and loss compared to residential loans. Repayment largely depends on the property's operational success. Factors affecting the property's net operating income, such as occupancy rates, tenant mix, the success of tenant businesses, property management, location, condition, and economic conditions, can influence the borrower's repayment capacity.</w:t>
      </w:r>
    </w:p>
    <w:p>
      <w:pPr>
        <w:spacing w:after="0" w:line="11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Geographic concentration of our assets can heighten the risk of default and loss. Both borrower repayment and the market value of the assets underlying our investments are affected by national, local and regional economic conditions. As a result, concentrations of investments tied to geographic regions increase the risk that adverse conditions affecting a region could increase the frequency and severity of losses on our investments. Additionally, assets in certain regional areas may be more susceptible to certain environmental hazards (such as earthquakes, widespread fires, rising sea levels, disease, floods, drought, hurricanes and certain climate risks) than properties in other areas;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mortgage insurance may not cover losses on loans referenced by our CRT securities and underlying our non-Agency RMBS.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Certain mortgage loans referenced by our CRT securities or underlying our non-Agency RMBS may have private mortgage insurance; however, coverage is not guaranteed. Insurance may not fully protect against losses in the event of a loan default due to several factors, including coverage limits that absorb only a portion of the loss, the insurer rescinding or denying a claim, or the insurer failing to meet its obligations—whether due to breach of contract or insolvency. As a result, we may still incur losses despite the presence of mortgage insurance.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credit spreads may adversely affect our profitability.</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 significant portion of the fair value of CRT and non-Agency securities, as well as other credit risk-oriented investments, is typically driven by the credit spread—the difference between the value of a credit instrument and a comparable financial instrument with similar interest rate exposure but no credit risk, such as a U.S. Treasury note. Credit spreads fluctuate due to changes in economic conditions, liquidity, investor demand and other factors and can be highly volatile.</w:t>
      </w:r>
    </w:p>
    <w:p>
      <w:pPr>
        <w:spacing w:after="0" w:line="110"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Credit spreads typically widen during periods of market uncertainty or actual or anticipated economic deterioration. They may also widen due to actual or anticipated rating downgrades of the securities or similar instruments. Hedging fair value changes related to credit spreads is often inefficient, and our hedging strategies are generally not designed to mitigate credit spread risk. As a result, fluctuations in credit spreads could negatively impact our profitability and financial condition.</w:t>
      </w:r>
    </w:p>
    <w:p>
      <w:pPr>
        <w:spacing w:after="0" w:line="1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9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profitability depends on our ability to acquire our target assets at attractive prices. We may seek assets with specific attributes that influence their prepayment behavior under certain market conditions or that enable us to satisfy asset test requirements to maintain our REIT qualification status or exemption from regulation under the Investment Company Act (such as "whole pool" Agency RMBS). The supply of our target assets may be impacted by policies and procedures adopted by the GSEs, their regulator—the Federal Housing Finance Administration ("FHFA")—or other governmental agencies, such as policies impacting origination and pooling practices, as well as by legislative, regulatory or other administrative actions related to the GSEs’ government-like status or changes to their Federal conservatorships. As a result, our target assets may not be available in sufficient supply or at attractive prices. We may also compete for these assets with a variety of other investors, including other REITs, specialty finance companies, public and private funds, government entities, banks, insurance companies and other financial institutions, which may have competitive advantages over us, such as a lower cost of funds and access to funding sources not available to us. If we are unable to acquire enough target assets, we may be unable to achieve our investment objectives or maintain our REIT qualification status or exemption from regulation under the Investment Company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change our targeted investments, investment guidelines and other operational policies without stockholder consent.</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We may also amend or revise our other operational policies, including our policies with respect to our REIT qualification, acquisitions, dispositions, operations, indebtedness and distributions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Financing and Hedging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strategy involves the use of significant leverage, which increases the risk that we may incur substantial losses.</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expect our leverage to vary with market conditions and our assessment of the tradeoffs between risk and return on investments. We generally expect to maintain our leverage between six to twelve times the amount of our tangible stockholders' equity, but we may operate at levels outside of this range for extended periods. We incur this leverage by borrowing against a substantial portion of the market value of our assets. Leverage, which is fundamental to our investment strategy, creates significant risks and amplifies our risk exposure to higher borrowing costs, changes in underlying asset values, changes in mortgage spreads, and other market factors. Leverage also exposes us to the risk of margin calls and defaults under our funding agreements, which may result in forced sales of assets in adverse market conditions. The risks associated with leverage are more acute during volatile market environments and periods of reduced market liquidity. Because of our leverage, we may incur substantial losses.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procure or renew funding on favorable terms, or at all.</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10" w:lineRule="exact"/>
        <w:rPr>
          <w:sz w:val="20"/>
          <w:szCs w:val="20"/>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the repo market generally or the infrastructure that supports it;</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short-term interest rates;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market value of our investments available to collateralize borrowings;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"haircut" lenders require on the value of our assets under repurchase agreements, resulting in higher collateral requirements;</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member specific margin requirements assessed by the FICC for tri-party repo accessed by our wholly-owned captive broker-dealer subsidiary, BES, through the FICC's GCF Repo service;</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capital requirements or other limitations imposed on our lenders that negatively impact their ability or willingness to lend to us;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exit by lenders from the market;</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circumstances that could result in our failure to satisfy covenants, leverage limits, or other requirements imposed by our lenders, in which case our lenders may terminate and cease entering into repurchase transactions with us; and</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BES to continually meet FINRA and FICC regulatory and membership requirements, which may change over time.</w:t>
      </w:r>
    </w:p>
    <w:p>
      <w:pPr>
        <w:spacing w:after="0" w:line="15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borrowing costs may increase at a faster pace than the yield on our investments.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90" w:lineRule="exact"/>
        <w:rPr>
          <w:sz w:val="20"/>
          <w:szCs w:val="20"/>
          <w:color w:val="auto"/>
        </w:rPr>
      </w:pPr>
    </w:p>
    <w:p>
      <w:pPr>
        <w:jc w:val="both"/>
        <w:ind w:firstLine="392"/>
        <w:spacing w:after="0" w:line="260" w:lineRule="auto"/>
        <w:rPr>
          <w:sz w:val="20"/>
          <w:szCs w:val="20"/>
          <w:color w:val="auto"/>
        </w:rPr>
      </w:pPr>
      <w:r>
        <w:rPr>
          <w:rFonts w:ascii="Times New Roman" w:cs="Times New Roman" w:eastAsia="Times New Roman" w:hAnsi="Times New Roman"/>
          <w:sz w:val="17"/>
          <w:szCs w:val="17"/>
          <w:color w:val="auto"/>
        </w:rPr>
        <w:t>We utilize TBA dollar roll transactions, which represent a form of off-balance sheet financing and increase our "at risk" leverage, as an alternate means of investing in and financing Agency RMBS. It may become uneconomical for us to roll forward our TBA positions prior to their settlement dates due to market conditions, which can be impacted by a variety of factors, such as changes in the pace or manner of the Fed’s runoff of its portfolio of Agency RMBS or, if they occur, the Fed’s purchases or sales of Agency RMBS in the TBA market. TBA dollar roll transactions include a deferred purchase price obligation on our part. An inability or unwillingness to continue rolling forward our position has effects similar to a termination of financing. In that circumstance, we would be required to settle the obligations for cash and would then take physical delivery of the underlying Agency RMBS. We may not have sufficient funds or alternative financing sources available to settle such obligations. Additionally, if we take delivery of the underlying securities, we can expect to receive the "cheapest to deliver" securities with the least favorable prepayment attributes that satisfy the terms of the TBA contract. Further, the specific securities that we receive may include few, if any, "whole pool" securities, which could inhibit our ability to remain exempt from regulation as an investment company under the Investment Company Act (see "</w:t>
      </w:r>
      <w:r>
        <w:rPr>
          <w:rFonts w:ascii="Times New Roman" w:cs="Times New Roman" w:eastAsia="Times New Roman" w:hAnsi="Times New Roman"/>
          <w:sz w:val="17"/>
          <w:szCs w:val="17"/>
          <w:i w:val="1"/>
          <w:iCs w:val="1"/>
          <w:color w:val="auto"/>
        </w:rPr>
        <w:t>Loss of our exemption from regulation pursuant to the Investment Company Act would adversely affect us</w:t>
      </w:r>
      <w:r>
        <w:rPr>
          <w:rFonts w:ascii="Times New Roman" w:cs="Times New Roman" w:eastAsia="Times New Roman" w:hAnsi="Times New Roman"/>
          <w:sz w:val="17"/>
          <w:szCs w:val="17"/>
          <w:color w:val="auto"/>
        </w:rPr>
        <w:t>" below). TBA contracts also subject us to margin requirements as described further below. Our inability to roll forward our TBA positions, failure to obtain adequate financing to settle our obligations, or failure to meet margin calls under our TBA contracts could force us to sell assets under adverse market conditions causing us to incur significant losses.</w:t>
      </w:r>
    </w:p>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funding and derivative agreements subject us to margin calls that could result in defaults and force us to sell assets under adverse market conditions or through foreclosure.</w:t>
      </w:r>
    </w:p>
    <w:p>
      <w:pPr>
        <w:spacing w:after="0" w:line="103"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funding and derivative agreements require that we maintain certain levels of collateral with our counterparties and may result in margin calls initiated against us if, for example, the value of our collateral declines. A margin call means that the counterparty requires us to pledge additional collateral to re-establish the required collateral level to protect them from loss in the event we default on our obligations. The requirement to meet margin calls can create liquidity risks. In the event of a margin call, we must generally provide additional collateral on the same business day. If we fail to meet the margin call, we would be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7"/>
          <w:szCs w:val="17"/>
          <w:color w:val="auto"/>
        </w:rPr>
        <w:t>in default, and our counterparty could terminate outstanding transactions, require us to settle our entire obligation under the agreement and enforce their interests against existing collateral. Furthermore, we may also be subject to certain cross-default and acceleration rights, such that if we were to fail to meet a margin call under one agreement that failure could lead to defaults, accelerations, or other adverse events under other agreements, as well. The threat or occurrence of margin calls or the accelerated settlement of our obligations under our agreements could force us to sell our investments under adverse market conditions and result in substantial losses.</w:t>
      </w:r>
    </w:p>
    <w:p>
      <w:pPr>
        <w:spacing w:after="0" w:line="119"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Furthermore, faster rates of prepayment increase the magnitude of potential margin calls as there is a time lag between the effective date of the prepayment and the date we receive the principal payment.</w:t>
      </w:r>
    </w:p>
    <w:p>
      <w:pPr>
        <w:spacing w:after="0" w:line="117"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to FICC margin requirements could limit our ability to enter tri-party repo transactions with the FICC’s GCF Repo service and TBA transactions with the FICC’s MBSD</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finance a significant portion of our investments and execute TBA transactions through our wholly-owned captive broker-dealer subsidiary, BES. As an eligible institution, BES accesses repo funding through the FICC’s GCF Repo service and central clearing in the TBA market through the FICC's Mortgage-Backed Securities Division (MBSD).</w:t>
      </w:r>
    </w:p>
    <w:p>
      <w:pPr>
        <w:spacing w:after="0" w:line="110"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The FICC continually assesses potential changes to rules governing the calculation of margin and minimum margin requirements. The FICC may also levy member specific margin requirements, including requirements related to a member's specific portfolio risk factors as a ratio to that member’s net capital, requirements related to "back-testing" failures of collected FICC margin requirements to cover losses from a simulated liquidation of a member’s portfolio, and other charges that the FICC has the ability to implement, in some cases without a significant notice period.</w:t>
      </w:r>
    </w:p>
    <w:p>
      <w:pPr>
        <w:spacing w:after="0" w:line="117"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Increases in FICC margin requirements would have the effect of reducing our unencumbered assets and could potentially limit our ability to utilize tri-party repo funding through the FICC's GCF Repo service and engage in centrally-cleared TBA transactions through the FICC’s MBSD. Furthermore, BES' inability to meet FICC margin requirements may result in the FICC declaring an event of default and ceasing to act for BES as a member along with a liquidation of any margin collateral as well as the portfolio of outstanding transactions for which the FICC serves as BES’ central counterparty, potentially in adverse market conditions. If BES were to fail to continually meet FICC margin requirements and default on its obligations to the FICC it could have a material financial impact on our financial position.</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repurchase agreements and agreements governing certain derivative instruments may contain financial and nonfinancial covenants subjecting us to the risk of default.</w:t>
      </w:r>
    </w:p>
    <w:p>
      <w:pPr>
        <w:spacing w:after="0" w:line="90" w:lineRule="exact"/>
        <w:rPr>
          <w:sz w:val="20"/>
          <w:szCs w:val="20"/>
          <w:color w:val="auto"/>
        </w:rPr>
      </w:pPr>
    </w:p>
    <w:p>
      <w:pPr>
        <w:jc w:val="both"/>
        <w:ind w:firstLine="392"/>
        <w:spacing w:after="0" w:line="260" w:lineRule="auto"/>
        <w:rPr>
          <w:sz w:val="20"/>
          <w:szCs w:val="20"/>
          <w:color w:val="auto"/>
        </w:rPr>
      </w:pPr>
      <w:r>
        <w:rPr>
          <w:rFonts w:ascii="Times New Roman" w:cs="Times New Roman" w:eastAsia="Times New Roman" w:hAnsi="Times New Roman"/>
          <w:sz w:val="17"/>
          <w:szCs w:val="17"/>
          <w:color w:val="auto"/>
        </w:rPr>
        <w:t>A number of our bilateral repurchase agreements and derivative agreements require that we comply with certain financial and non-financial covenants. These financial covenants typically limit declines in our stockholders’ equity for any given quarter, calendar year, or 12-month period and limit our leverage to a maximum amount. Compliance with these covenants depends on market factors and the strength of our business and operating results. In addition, a number of these agreements require, among other things, that we maintain our status as a publicly listed REIT and remain exempt from the provisions of the 1940 Act. Various risks, uncertainties and events beyond our control, including significant fluctuations in interest rates, market volatility and changes in market conditions, could affect our ability to comply with these covenants. Unless we were able to negotiate a waiver or forbearance of such covenants, failure to comply with them could result in an event of default and generally would give the counterparty the right to exercise certain other remedies under the agreement, including termination of one or more repo or hedging transactions, acceleration of all amounts owed under an agreement, and the right to sell the collateral held by that counterparty. Any waiver or forbearance, if granted, could carry additional conditions that may be unfavorable to us. Additionally, certain of our agreements contain cross-default, cross-acceleration or similar provisions, such that if we were to violate a covenant under one agreement, that violation could lead to defaults, accelerations, or other adverse events under other agreements, as well.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Our rights under repurchase and derivative agreements in the event bankruptcy or insolvency may be limited.</w:t>
      </w:r>
    </w:p>
    <w:p>
      <w:pPr>
        <w:spacing w:after="0" w:line="174"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In the event of our bankruptcy or insolvency, our repurchase agreements and hedging arrangements may qualify for special treatment under the U.S. Bankruptcy Code, the effect of which, among other things, would be to allow the counterparty under the applicable agreement to avoid the automatic stay provisions of the U.S. Bankruptcy Code and to foreclose on the collateral without delay. In the event of an insolvency or bankruptcy of one of our repurchase agreement or derivative counterparties, the counterparty may be permitted, under applicable insolvency laws, to repudiate the contract, and our claim against the counterparty for damages may be treated simply as an unsecured creditor. In addition, if the counterparty is a broker or dealer subject to the Securities Investor Protection Act of 1970, or an insured depository institution subject to the Federal Deposit Insurance Act, our ability to recover our assets under our agreements or to be compensated for any damages resulting from the counterparty's insolvency may be further limited by those statutes. Recoveries on these claims could be subject to significant delay and, if received, could be substantially less than the damages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funding and derivative agreement counterparties may not fulfill their obligations to us as and when due.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11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and futures transactions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that of the DCO. Consequently, for any cleared swap or futures transaction, we bear the credit risk of both the DCO and the relevant FCM as to obligations under our swap and futures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hedging strategies may be ineffective.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pacing w:after="0" w:line="117"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Our hedging strategies may vary in scope based on our portfolio composition, liabilities and our assessment of the level and volatility of interest rates, expected prepayments, credit and other market conditions, and are expected to change over time. We could inaccurately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332" w:lineRule="exact"/>
        <w:rPr>
          <w:sz w:val="20"/>
          <w:szCs w:val="20"/>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interest rate hedges;</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the interest rate hedge benchmark rate correlates to the interest rate risk being hedged;</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the duration of the hedge matches that of the related asset or liability, particularly as interest rates change;</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income that a REIT may earn from hedging transactions that do not satisfy certain requirements of the Internal Revenue Code or that are not done through a TRS; and</w:t>
      </w:r>
    </w:p>
    <w:p>
      <w:pPr>
        <w:spacing w:after="0" w:line="1" w:lineRule="exact"/>
        <w:rPr>
          <w:rFonts w:ascii="Times New Roman" w:cs="Times New Roman" w:eastAsia="Times New Roman" w:hAnsi="Times New Roman"/>
          <w:sz w:val="17"/>
          <w:szCs w:val="17"/>
          <w:color w:val="auto"/>
        </w:rPr>
      </w:pPr>
    </w:p>
    <w:p>
      <w:pPr>
        <w:ind w:left="640" w:hanging="243"/>
        <w:spacing w:after="0" w:line="273"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the value of our interest rate hedges changes relative to our assets as a result of fluctuations in interest rates, passage of time, or other factors.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6" w:name="page17"/>
    <w:bookmarkEnd w:id="16"/>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1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and other key personnel are critical to our success and the loss of any executive officer or key employee may materially adversely affect our business.</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information systems and third-party service providers to conduct our operations, and system failures, cybersecurity incidents or failure of our providers to fulfill their obligations to us could significantly disrupt our ability to operate our business.</w:t>
      </w:r>
    </w:p>
    <w:p>
      <w:pPr>
        <w:spacing w:after="0" w:line="90"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Our business heavily depends on information and communication systems, including services provided by third parties and cloud-based platforms. A failure in these systems, or a failure by a third-party provider, could significantly disrupt our operations. These systems may be subject to damage or interruption from, among other things, natural disasters, public health issues such as pandemics or epidemics, terrorist attack, rogue employees, power loss, telecommunications failures, internet disruptions, and other interruptions beyond our control. Additionally, our reliance on these systems exposes us to risks of disruption or damage from cybersecurity risks, such as malware, virus, hacking, denial of service, ransomware, physical or electronic break-ins, insider threats, and phishing attacks, all of which are increasingly sophisticated and prevalent. Our systems may be misconfigured or configured in a way that exacerbates our exposure to these risks. Despite having no significant breaches detected so far, we regularly are targeted by threat actors, and completely preventing or detecting such incidents promptly is increasingly challenging.</w:t>
      </w:r>
    </w:p>
    <w:p>
      <w:pPr>
        <w:spacing w:after="0" w:line="122"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7"/>
          <w:szCs w:val="17"/>
          <w:color w:val="auto"/>
        </w:rPr>
        <w:t>The complex nature of cybersecurity threats means a breach could go undetected for a long time, if ever, and responding to such incidents may not always be immediate or sufficient. Moreover, we depend on third-party vendors to implement security programs commensurate with their own risk. They may not be successful at defending against or detecting cybersecurity threats, and they may not be obligated to inform us of such incidents. The consequences of a cyber-attack may include operational disruption, unauthorized access to sensitive data, regulatory fines, reputational damage, liability to third parties, and financial losses.</w:t>
      </w:r>
    </w:p>
    <w:p>
      <w:pPr>
        <w:spacing w:after="0" w:line="329"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The impact of cybersecurity incidents is difficult to predict, and legal and regulatory requirements around data privacy and security could lead to increased costs and stricter compliance requirements. During an investigation of a cybersecurity incident, or a series of events, it is possible we may not necessarily know the extent of the harm or how to remediate it, which could further adversely impact us, and we may be compelled to disclose information about a material cybersecurity incident before it has been mitigated or resolved, or even fully investigated. Furthermore, whether a single or series of cyber events is material is often a matter of judgment rather than quantitative measures and might only be determinable well after the fact. Despite our efforts to enhance our cybersecurity defenses, we cannot assure complete protection against all cybersecurity threats. A cybersecurity incident, if one were to occur, could adversely affect our business,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Taxation as a REIT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qualify as a REIT would have adverse tax consequences.</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We believe we qualify as a REIT for U.S. federal income tax purposes under Sections 856–860 of the Internal Revenue Code of 1986, as amended, and related Treasury Regulations, and we intend to maintain our REIT status. The determination that we are a REIT requires an analysis of various factual matters and circumstances that may not be entirely within our control. Qualification and taxation as a REIT also depend on our ability to continually meet requirements imposed on REITs by the Internal Revenue Code, including satisfying certain organizational requirements, an annual distribution requirement, and quarterly asset and annual income tests. These tests depend on our ability to effectively manage the composition of our income and assets on an ongoing basis. At least 75% of our gross income must come from real estate sources, and 95% must come from real estate and certain other qualifying sources. Our ability to satisfy the asset tests depends on determining the characterization and fair market value of our assets, which may not be precisely measurable and lack independent appraisals. Additionally, the classification of certain instruments as debt or equity for tax purposes may be uncertain, which could impact the application of the REIT asset requirements. The distribution requirement mandates that we distribute at least 90% of our REIT taxable income to stockholders annually, determined without regard to the dividends paid deduction and excluding net capital gains.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7" w:name="page18"/>
    <w:bookmarkEnd w:id="17"/>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Failure to qualify as a REIT would have significant consequences. We would lose the ability to deduct dividends paid to stockholders when computing our taxable income and would be subject to U.S. federal and state corporate income tax as a regular C corporation for any taxable year for which we did not qualify. This could result in substantial tax liabilities and reduce funds available for investments and distributions, likely adversely impacting our stock value. Additionally, we would no longer be required to make stockholder distributions. Unless the IRS granted us relief under certain statutory provisions, we would remain disqualified as a REIT for four years following the year we first fail to qualify.</w:t>
      </w:r>
    </w:p>
    <w:p>
      <w:pPr>
        <w:spacing w:after="0" w:line="11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Relief provisions may be available if we fail to meet the REIT requirements, provided the failure was due to reasonable cause, not willful neglect, and we satisfy other requirements, including completion of applicable IRS filings. It is not possible to predict if we would be entitled to benefit from such provisions. Even if we were to qualify for relief, we may still incur penalty taxes. The penalty for failing an asset test is the greater of $50,000 per failure or the net income from non-qualifying assets that resulted in the failure multiplied by the highest U.S. federal corporate tax rate. For failing one or both gross income tests, the penalty equals 100% of the net profit from non-qualifying income that resulted in the failure, as determined under the Internal Revenue Code.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REIT distribution requirements could adversely affect our ability to execute our business plan.</w:t>
      </w:r>
    </w:p>
    <w:p>
      <w:pPr>
        <w:spacing w:after="0" w:line="17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2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19"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Our taxable income will typically differ from income prepared in accordance with GAAP due to temporary and permanent differences. For example, realized gains and losses on our hedging instruments, such as interest rate swaps, may be deferred for income tax purposes and amortized into taxable income over the remaining contract term of the instrument even if we have exited the instrument and settled such gains or losses for cash. We are also not allowed to reduce our taxable income for net capital losses incurred; instead, the capital losses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choose to pay dividends in our own stock, in which case stockholders may be required to pay income taxes in excess of cash dividends received.</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may in the future distribute taxable dividends that are payable at least in part in shares of our common stock.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we remain qualified as a REIT, we may face other tax liabilities that reduce our cash flow.</w:t>
      </w:r>
    </w:p>
    <w:p>
      <w:pPr>
        <w:spacing w:after="0" w:line="174"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94" w:lineRule="exact"/>
        <w:rPr>
          <w:sz w:val="20"/>
          <w:szCs w:val="20"/>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U.S. federal and state corporate income taxes on any undistributed taxable income, including undistributed net capital gains.</w:t>
      </w:r>
    </w:p>
    <w:p>
      <w:pPr>
        <w:spacing w:after="0" w:line="31"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non-deductible 4% excise tax if the actual amount distributed to our stockholders in a calendar year is less than a minimum amount specified under Federal tax laws.</w:t>
      </w:r>
    </w:p>
    <w:p>
      <w:pPr>
        <w:spacing w:after="0" w:line="1"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income taxes on the earnings of subsidiaries, to the extent that such subsidiaries are subchapter C corporations and are not qualified REIT subsidiaries or other disregarded entities for federal income tax purposes.</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tax on certain transactions between us and our TRSs that do not reflect arm's-length terms.</w:t>
      </w:r>
    </w:p>
    <w:p>
      <w:pPr>
        <w:spacing w:after="0" w:line="13" w:lineRule="exact"/>
        <w:rPr>
          <w:rFonts w:ascii="Times New Roman" w:cs="Times New Roman" w:eastAsia="Times New Roman" w:hAnsi="Times New Roman"/>
          <w:sz w:val="17"/>
          <w:szCs w:val="17"/>
          <w:color w:val="auto"/>
        </w:rPr>
      </w:pPr>
    </w:p>
    <w:p>
      <w:pPr>
        <w:jc w:val="both"/>
        <w:ind w:left="640" w:hanging="243"/>
        <w:spacing w:after="0" w:line="256"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tax on net income and gains from "prohibited transactions."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Penalty taxes and other fines for failure to satisfy one or more requirements for REIT qualification.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cause us to liquidate or forgo attractive investment opportunities.</w:t>
      </w:r>
    </w:p>
    <w:p>
      <w:pPr>
        <w:spacing w:after="0" w:line="174" w:lineRule="exact"/>
        <w:rPr>
          <w:sz w:val="20"/>
          <w:szCs w:val="20"/>
          <w:color w:val="auto"/>
        </w:rPr>
      </w:pPr>
    </w:p>
    <w:p>
      <w:pPr>
        <w:jc w:val="both"/>
        <w:ind w:firstLine="392"/>
        <w:spacing w:after="0" w:line="260" w:lineRule="auto"/>
        <w:rPr>
          <w:sz w:val="20"/>
          <w:szCs w:val="20"/>
          <w:color w:val="auto"/>
        </w:rPr>
      </w:pPr>
      <w:r>
        <w:rPr>
          <w:rFonts w:ascii="Times New Roman" w:cs="Times New Roman" w:eastAsia="Times New Roman" w:hAnsi="Times New Roman"/>
          <w:sz w:val="17"/>
          <w:szCs w:val="17"/>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we may be required to sell otherwise attractive investments. Thus, the potential returns on our investment portfolio may be lower than if we were not subject to such requirements. Additionally, if we must liquidate our investments to repay our lenders or to satisfy other obligations, we may be unable to comply with these requirements, potentially jeopardizing our qualification as a REIT.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limit our ability to hedge effectively and may cause us to incur tax liabilities.</w:t>
      </w:r>
    </w:p>
    <w:p>
      <w:pPr>
        <w:spacing w:after="0" w:line="174"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The REIT provisions of the Internal Revenue Code could substantially limit our ability to hedge our risks.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Uncertainty exists with respect to the treatment of our TBAs for purposes of the REIT asset and income tests.</w:t>
      </w:r>
    </w:p>
    <w:p>
      <w:pPr>
        <w:spacing w:after="0" w:line="174"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7"/>
          <w:szCs w:val="17"/>
          <w:color w:val="auto"/>
        </w:rPr>
        <w:t>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Qualifying as a REIT involves highly technical and complex provisions of the Internal Revenue Code.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tax on prohibited transactions could limit our ability to engage in certain transactions.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1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 to tax-exempt investors may be classified as unrelated business taxable income.</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Although distributions with respect to our common stock generally do not constitute unrelated business taxable income, there are some circumstances where they may. If (i) we generate "excess inclusion income" as a result of all or a portion of our 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Internal Revenue Code.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Legislative and Regulatory Risks</w:t>
      </w:r>
    </w:p>
    <w:p>
      <w:pPr>
        <w:spacing w:after="0" w:line="1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9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1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In September 2008, Fannie Mae and Freddie Mac were placed into the conservatorship of the FHFA. In addition to the conservatorships, the U.S. Department of the Treasury has provided a liquidity backstop to Fannie Mae and Freddie Mac to ensure their financial stability. Over time, efforts to end the conservatorships and the guarantee-payment structure of Fannie Mae and Freddie Mac have garnered attention from U.S. Government policymakers. During the final year of the first Trump Administration, FHFA established new regulatory capital requirements necessary for Fannie Mae and Freddie Mac to exit conservatorship, and the U.S. Treasury Department amended the terms of its liquidity backstop to enable Fannie Mae and Freddie Mac to retain a greater amount of capital in order to achieve these levels, subject to certain conditions. In the final months of 2020 and early 2021, the Director of the FHFA was reported to have considered various actions to bring a prompt end to the conservatorships. The Biden Administration and the FHFA delayed implementation or reversed many of these initiatives and took steps intended to advance other housing finance policy objectives. In the final month of the Biden Administration, the FHFA and Department of Treasury further amended the liquidity backstop to, among other things, require the written consent of the Department of Treasury after a period of public notice and opportunity to comment prior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7"/>
          <w:szCs w:val="17"/>
          <w:color w:val="auto"/>
        </w:rPr>
        <w:t>terminating the conservatorships (other than through receivership) and would further require that Fannie Mae and Freddie Mac achieve sufficient capital levels prior to being released from conservatorship. Since the 2024 election, speculation has grown that the Trump Administration or Congress would take actions to bring an end to the conservatorships although it is not clear what form any such actions may take or what the timeline would be to implement them, and it is possible that the Department of Treasury and FHFA will further amend the liquidity backstop to eliminate or modify provisions that would otherwise slow or add conditionality to an end to the conservatorships.</w:t>
      </w:r>
    </w:p>
    <w:p>
      <w:pPr>
        <w:spacing w:after="0" w:line="11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These or other administrative and/or legislative actions may be taken that affect the GSEs or the housing finance system, alter the amount or nature of the credit support provided by the U.S. Treasury to Fannie Mae and Freddie Mac, modify the future roles of Fannie Mae and Freddie Mac in housing finance or otherwise impact the value or relative fungibility of Agency RMBS issued by each GSE. Such actions may create market uncertainty, may have the effect of reducing the actual or perceived credit quality of securities issued or guaranteed by the GSEs, may impact the ability of banks, foreign investors, mutual funds or others to own Agency RMBS, or may otherwise impact the liquidity, size and scope of the Agency RMBS markets. Actions that would terminate the conservatorships without also providing for sufficiently robust U.S. government backing to preserve their government-like status or otherwise retain the functionality, scale and efficiency of the primary and secondary mortgage markets as they exist today could re-define what constitutes an Agency security. This could subject Agency RMBS to greater credit risk, make them more difficult to finance or less liquid, and cause their values to decline, all of which could have broad adverse implications for primary and secondary mortgage markets and our business.</w:t>
      </w:r>
    </w:p>
    <w:p>
      <w:pPr>
        <w:spacing w:after="0" w:line="12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Actions of the U.S. Government, including the U.S. Congress, Fed, U.S. Treasury, FHFA and other governmental and regulatory bodies may adversely affect our business.</w:t>
      </w:r>
    </w:p>
    <w:p>
      <w:pPr>
        <w:spacing w:after="0" w:line="9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U.S. Government legislative and administrative actions may have an adverse impact on financial markets for fixed income securities, including Agency RMBS. To the extent the markets do not respond favorably to any such actions or such actions do not function as intended, they could have broad adverse market implications and could negatively impact our financial condition and results of operations. For example, the actual or anticipated actions or inaction on U.S. fiscal policy matters, including the U.S. dept ceiling and the amount and tenor of U.S. Treasury debt required to fund the government, could result in a wide range of negative economic effects, including increased financial market and interest rate volatility and wider market spreads between mortgage assets and benchmark interest rates.</w:t>
      </w:r>
    </w:p>
    <w:p>
      <w:pPr>
        <w:spacing w:after="0" w:line="121" w:lineRule="exact"/>
        <w:rPr>
          <w:sz w:val="20"/>
          <w:szCs w:val="20"/>
          <w:color w:val="auto"/>
        </w:rPr>
      </w:pPr>
    </w:p>
    <w:p>
      <w:pPr>
        <w:jc w:val="both"/>
        <w:ind w:firstLine="392"/>
        <w:spacing w:after="0" w:line="260" w:lineRule="auto"/>
        <w:rPr>
          <w:sz w:val="20"/>
          <w:szCs w:val="20"/>
          <w:color w:val="auto"/>
        </w:rPr>
      </w:pPr>
      <w:r>
        <w:rPr>
          <w:rFonts w:ascii="Times New Roman" w:cs="Times New Roman" w:eastAsia="Times New Roman" w:hAnsi="Times New Roman"/>
          <w:sz w:val="17"/>
          <w:szCs w:val="17"/>
          <w:color w:val="auto"/>
        </w:rPr>
        <w:t>Additionally, new regulatory requirements, including the imposition of more stringent bank capital rules and changes to the manner and timing of clearing U.S. Treasury and Agency RMBS transactions, could adversely affect the availability or terms of financing from our lending counterparties, reduce market liquidity or demand for Agency RMBS, restrict the origination of residential mortgage loans and the formation of new issuances of mortgage-backed securities, or limit the trading activities of certain banking entities and other systemically significant organizations that are important to our business. In 2023, the FDIC and Fed proposed revisions to bank capital rules that would have applied risk weights (and costs) to Agency RMBS that, if adopted, might have impacted the source, pricing, volume, financing, and nature of Agency RMBS. Although these proposals are not expected to be finally adopted in their original form, they have not yet been withdrawn, and aspects of them may be re-proposed or adopted in the future. In addition, SEC regulations that mandate the central clearing of U.S. Treasury and U.S. Treasury repurchase agreement ("U.S. Treasury Repo") transactions will necessitate significant changes to trading operations and have the potential to adversely impact liquidity, funding and efficiency of these markets. Such changes could adversely affect the cost and other terms or availability of financing and hedging arrangements for our business. Together or individually new regulatory requirements could materially affect our financial condition or results of operations in adverse ways.</w:t>
      </w:r>
    </w:p>
    <w:p>
      <w:pPr>
        <w:spacing w:after="0" w:line="1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satisfy regulatory requirements of our captive broker-dealer subsidiary could result in our inability to access tri-party repo funding through the FICC’s GCF Repo service and could be harmful to our business operations.</w:t>
      </w:r>
    </w:p>
    <w:p>
      <w:pPr>
        <w:spacing w:after="0" w:line="90"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Our ability to access tri-party repo funding through the FICC's GCF Repo service, which represents a significant portion of our total borrowing capacity, and our ability to conduct self-clearing of our investment and funding activity through BES are reliant on BES' ability to continually meet these regulatory and membership requirements. If BES were to lose its memberships in FICC and FINRA or its status as a self-clearing registered broker-dealer, we may be unable to find alternative sources of financing on favorable terms and we may experience business interruptions as we attempt to transfer custody and clearing activities to alternative providers that would be harmful to our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our exemption from regulation pursuant to the Investment Company Act would adversely affect us.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17"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9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our common stock may be volatile.</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 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19" w:lineRule="exact"/>
        <w:rPr>
          <w:sz w:val="20"/>
          <w:szCs w:val="20"/>
          <w:color w:val="auto"/>
        </w:rPr>
      </w:pPr>
    </w:p>
    <w:p>
      <w:pPr>
        <w:ind w:left="620" w:hanging="22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and economic conditions, including actual and anticipated changes in interest rates and mortgage spreads;</w:t>
      </w:r>
    </w:p>
    <w:p>
      <w:pPr>
        <w:spacing w:after="0" w:line="31"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policy, rules and regulations applicable to mortgage REITs, including tax laws, financial accounting and reporting standards, and exemptions from the Investment Company Act of 1940, as amended;</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quarterly operating results as well as relative to levels expected by securities analysts;</w:t>
      </w:r>
    </w:p>
    <w:p>
      <w:pPr>
        <w:spacing w:after="0" w:line="13" w:lineRule="exact"/>
        <w:rPr>
          <w:rFonts w:ascii="Times New Roman" w:cs="Times New Roman" w:eastAsia="Times New Roman" w:hAnsi="Times New Roman"/>
          <w:sz w:val="17"/>
          <w:szCs w:val="17"/>
          <w:color w:val="auto"/>
        </w:rPr>
      </w:pPr>
    </w:p>
    <w:p>
      <w:pPr>
        <w:ind w:left="640" w:hanging="243"/>
        <w:spacing w:after="0" w:line="256"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shares of common stock or securities convertible into common stock, which may be issued at a price below tangible net book value per share of common stock;</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similar companies;</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market reaction to any increased indebtedness we incur in the future or issuance of preferred stock senior in priority to our common stock;</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stockholders, individually or collectively;</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3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dividend policy; and</w:t>
      </w:r>
    </w:p>
    <w:p>
      <w:pPr>
        <w:spacing w:after="0" w:line="13"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targeted investments or investment guidelines.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established a minimum dividend payment level and may be unable to pay dividends in the future.</w:t>
      </w:r>
    </w:p>
    <w:p>
      <w:pPr>
        <w:spacing w:after="0" w:line="174"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and will depend on our earnings and financial condition, the requirements for REIT qualification and such other factors as our Board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may change our dividend policy.</w:t>
      </w:r>
    </w:p>
    <w:p>
      <w:pPr>
        <w:spacing w:after="0" w:line="1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9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7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We maintain an active cybersecurity risk management and strategy program to address the risks of cybersecurity threats to our business. Our cybersecurity program aligns with the NIST Cybersecurity Framework, and we conduct reviews of its effectiveness on a regular basis through annual testing, periodic third-party evaluations of our processes and controls, and ongoing surveillance. This program involves the use of cybersecurity tools to identify, protect, detect, respond, and recover from cybersecurity threats. Additionally, we engage with third-party cybersecurity consultants and other professional advisors to gain insight and knowledge into emerging threats, industry trends and emerging practices. Annually, we review cybersecurity risk in the context of our overall enterprise risk management assessment. As a component of these processes, our management team, including our Senior Vice President and Chief Technology Officer, identifies and assesses the likelihood and magnitude of risks, on both inherent and residual basis. These evaluations inform our overall cybersecurity strategy.</w:t>
      </w:r>
    </w:p>
    <w:p>
      <w:pPr>
        <w:spacing w:after="0" w:line="336"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business operations depend significantly on third party service providers. We have processes in place to evaluate the operational and cybersecurity risks posed to us by third parties on whom we are reliant for these services at the inception of our engagement, and we continuously monitor third-party firms that pose the greatest risks to our business and operations from cybersecurity threats. Nonetheless, we rely on the third parties we use to implement security programs commensurate with their own risk, and we cannot ensure that their efforts will be successful.</w:t>
      </w:r>
    </w:p>
    <w:p>
      <w:pPr>
        <w:spacing w:after="0" w:line="104" w:lineRule="exact"/>
        <w:rPr>
          <w:sz w:val="20"/>
          <w:szCs w:val="20"/>
          <w:color w:val="auto"/>
        </w:rPr>
      </w:pPr>
    </w:p>
    <w:p>
      <w:pPr>
        <w:jc w:val="both"/>
        <w:ind w:firstLine="392"/>
        <w:spacing w:after="0" w:line="247" w:lineRule="auto"/>
        <w:rPr>
          <w:sz w:val="20"/>
          <w:szCs w:val="20"/>
          <w:color w:val="auto"/>
        </w:rPr>
      </w:pPr>
      <w:r>
        <w:rPr>
          <w:rFonts w:ascii="Times New Roman" w:cs="Times New Roman" w:eastAsia="Times New Roman" w:hAnsi="Times New Roman"/>
          <w:sz w:val="17"/>
          <w:szCs w:val="17"/>
          <w:color w:val="auto"/>
        </w:rPr>
        <w:t xml:space="preserve">Our primary business involves investments in mortgages and mortgage instruments, but we do not perform mortgage servicing, maintain customer accounts, or provide any direct mortgage lending. Nor do we receive personal information on individual mortgage borrowers as part of our regular operations. However, our business is highly dependent on the availability of information systems, and a cybersecurity incident, if one were to occur, could have the potential to disrupt our operations. To date, the Company has not identified any cybersecurity incidents which have materially affected, or are reasonably likely to materially affect, our operations, business strategy, or financial condition. As discussed more fully under </w:t>
      </w:r>
      <w:r>
        <w:rPr>
          <w:rFonts w:ascii="Times New Roman" w:cs="Times New Roman" w:eastAsia="Times New Roman" w:hAnsi="Times New Roman"/>
          <w:sz w:val="17"/>
          <w:szCs w:val="17"/>
          <w:i w:val="1"/>
          <w:iCs w:val="1"/>
          <w:color w:val="auto"/>
        </w:rPr>
        <w:t>Risks Related to Our Business Operations</w:t>
      </w:r>
      <w:r>
        <w:rPr>
          <w:rFonts w:ascii="Times New Roman" w:cs="Times New Roman" w:eastAsia="Times New Roman" w:hAnsi="Times New Roman"/>
          <w:sz w:val="17"/>
          <w:szCs w:val="17"/>
          <w:color w:val="auto"/>
        </w:rPr>
        <w:t xml:space="preserve"> in Item 1A. </w:t>
      </w:r>
      <w:r>
        <w:rPr>
          <w:rFonts w:ascii="Times New Roman" w:cs="Times New Roman" w:eastAsia="Times New Roman" w:hAnsi="Times New Roman"/>
          <w:sz w:val="17"/>
          <w:szCs w:val="17"/>
          <w:i w:val="1"/>
          <w:iCs w:val="1"/>
          <w:color w:val="auto"/>
        </w:rPr>
        <w:t xml:space="preserve">Risk Factors </w:t>
      </w:r>
      <w:r>
        <w:rPr>
          <w:rFonts w:ascii="Times New Roman" w:cs="Times New Roman" w:eastAsia="Times New Roman" w:hAnsi="Times New Roman"/>
          <w:sz w:val="17"/>
          <w:szCs w:val="17"/>
          <w:color w:val="auto"/>
        </w:rPr>
        <w:t>of this Form 10-K, given the evolving nature and increasing sophistication of cyber threats, there is no guarantee that future incidents will not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material impact. While we continuously assess, identify,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3" w:name="page24"/>
    <w:bookmarkEnd w:id="23"/>
    <w:p>
      <w:pPr>
        <w:jc w:val="both"/>
        <w:spacing w:after="0" w:line="279" w:lineRule="auto"/>
        <w:rPr>
          <w:sz w:val="20"/>
          <w:szCs w:val="20"/>
          <w:color w:val="auto"/>
        </w:rPr>
      </w:pPr>
      <w:r>
        <w:rPr>
          <w:rFonts w:ascii="Times New Roman" w:cs="Times New Roman" w:eastAsia="Times New Roman" w:hAnsi="Times New Roman"/>
          <w:sz w:val="17"/>
          <w:szCs w:val="17"/>
          <w:color w:val="auto"/>
        </w:rPr>
        <w:t>and mitigate cybersecurity risks through policies, procedures, and industry-standard security measures, cyber threats remain dynamic and could potentially disrupt our operations, expose us to legal or regulatory liabilities, or cause reputational harm.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Oversight</w:t>
      </w:r>
    </w:p>
    <w:p>
      <w:pPr>
        <w:spacing w:after="0" w:line="17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The Audit Committee of the Board has responsibility to oversee management’s strategy to address risks from cybersecurity threats. The Audit Committee periodically reviews with management the Company’s policies, controls, and procedures used to identify, mitigate, and manage cybersecurity risks. To accomplish this objective, we have established processes for reporting cybersecurity risks to the Audit Committee of the Board on a quarterly basis. This report, which is prepared by our Senior Vice President and Chief Technology Officer, includes performance as against key performance indicators (KPIs) and service level objectives specifically defined to measure the effectiveness of our cybersecurity controls and risk management efforts, current threat landscape, and strategy. In addition, on at least an annual basis the Company’s Senior Vice President and Chief Technology Officer presents to the Audit Committee on cybersecurity matters, including material changes to the Company’s information systems, policies and controls, the results of penetration and other testing and findings from any third-party reviews. Our Audit Committee is committed to maintaining a well-informed and cybersecurity-aware posture, regularly engaging by receiving scheduled and requested updates on our strategy to address risks from cybersecurity threats and the evolving threat landscape. The Board also is apprised of cybersecurity risks as part of its review of management’s annual enterprise risk management assessment.</w:t>
      </w:r>
    </w:p>
    <w:p>
      <w:pPr>
        <w:spacing w:after="0" w:line="12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Management plays a pivotal role in identifying, assessing, and managing material risks from cybersecurity threats. This involves continuous monitoring, analyzing emerging threats, and developing and implementing risk mitigation strategies. The Company, led by our Senior Vice President and Chief Technology Officer—who holds the Certified Information Systems Security Professional (CISSP) designation and has over 20 years of cyber and risk management experience—actively implements and enforces cybersecurity policies, procedures, and strategies, including employee training programs, security assessments, and updates to ensure alignment with our evolving threat landscape.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12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4" w:name="page25"/>
    <w:bookmarkEnd w:id="24"/>
    <w:p>
      <w:pPr>
        <w:ind w:left="528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"AGNC." As of January 31, 2025, 900,421,216 shares of common stock were issued and outstanding, which were held by 1,491 stockholders of record. Most of the shares of our common stock are held by brokers and other institutions on behalf of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2"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2024. All distributions to stockholders will be made at the discretion of our Board and will depend on our earnings, financial condition, maintenance of our REIT status and other factors as our Board may deem relevant from time to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72" w:lineRule="exact"/>
        <w:rPr>
          <w:sz w:val="20"/>
          <w:szCs w:val="20"/>
          <w:color w:val="auto"/>
        </w:rPr>
      </w:pPr>
    </w:p>
    <w:p>
      <w:pPr>
        <w:jc w:val="both"/>
        <w:ind w:firstLine="438"/>
        <w:spacing w:after="0" w:line="276" w:lineRule="auto"/>
        <w:rPr>
          <w:sz w:val="20"/>
          <w:szCs w:val="20"/>
          <w:color w:val="auto"/>
        </w:rPr>
      </w:pPr>
      <w:r>
        <w:rPr>
          <w:rFonts w:ascii="Times New Roman" w:cs="Times New Roman" w:eastAsia="Times New Roman" w:hAnsi="Times New Roman"/>
          <w:sz w:val="17"/>
          <w:szCs w:val="17"/>
          <w:color w:val="auto"/>
        </w:rPr>
        <w:t>The following table summarizes information, as of December 31, 2024, concerning shares of our common stock authorized for issuance under our equity compensation plans, pursuant to which grants of equity-based awards, namely restricted stock units ("RSUs"), may be granted from time to time. See Notes 2 and 10 to our Consolidated Financial Statements in this Form 10-K for a description of our equity compensation plans.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Number of securities to be</w:t>
            </w: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 remaining</w:t>
            </w: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available for future issuance under</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2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equity compensation plans</w:t>
            </w:r>
          </w:p>
        </w:tc>
        <w:tc>
          <w:tcPr>
            <w:tcW w:w="0" w:type="dxa"/>
            <w:vAlign w:val="bottom"/>
          </w:tcPr>
          <w:p>
            <w:pPr>
              <w:spacing w:after="0"/>
              <w:rPr>
                <w:sz w:val="1"/>
                <w:szCs w:val="1"/>
                <w:color w:val="auto"/>
              </w:rPr>
            </w:pPr>
          </w:p>
        </w:tc>
      </w:tr>
      <w:tr>
        <w:trPr>
          <w:trHeight w:val="144"/>
        </w:trPr>
        <w:tc>
          <w:tcPr>
            <w:tcW w:w="5620" w:type="dxa"/>
            <w:vAlign w:val="bottom"/>
            <w:gridSpan w:val="2"/>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(excluding securities reflected in</w:t>
            </w:r>
          </w:p>
        </w:tc>
        <w:tc>
          <w:tcPr>
            <w:tcW w:w="0" w:type="dxa"/>
            <w:vAlign w:val="bottom"/>
          </w:tcPr>
          <w:p>
            <w:pPr>
              <w:spacing w:after="0"/>
              <w:rPr>
                <w:sz w:val="1"/>
                <w:szCs w:val="1"/>
                <w:color w:val="auto"/>
              </w:rPr>
            </w:pPr>
          </w:p>
        </w:tc>
      </w:tr>
      <w:tr>
        <w:trPr>
          <w:trHeight w:val="190"/>
        </w:trPr>
        <w:tc>
          <w:tcPr>
            <w:tcW w:w="5620" w:type="dxa"/>
            <w:vAlign w:val="bottom"/>
            <w:gridSpan w:val="2"/>
            <w:vMerge w:val="continue"/>
          </w:tcPr>
          <w:p>
            <w:pPr>
              <w:spacing w:after="0"/>
              <w:rPr>
                <w:sz w:val="16"/>
                <w:szCs w:val="16"/>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 xml:space="preserve">and rights </w:t>
            </w:r>
            <w:r>
              <w:rPr>
                <w:rFonts w:ascii="Times New Roman" w:cs="Times New Roman" w:eastAsia="Times New Roman" w:hAnsi="Times New Roman"/>
                <w:sz w:val="9"/>
                <w:szCs w:val="9"/>
                <w:b w:val="1"/>
                <w:bCs w:val="1"/>
                <w:color w:val="auto"/>
                <w:w w:val="98"/>
              </w:rPr>
              <w:t>1</w:t>
            </w:r>
          </w:p>
        </w:tc>
        <w:tc>
          <w:tcPr>
            <w:tcW w:w="12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the first column of this table) </w:t>
            </w:r>
            <w:r>
              <w:rPr>
                <w:rFonts w:ascii="Times New Roman" w:cs="Times New Roman" w:eastAsia="Times New Roman" w:hAnsi="Times New Roman"/>
                <w:sz w:val="9"/>
                <w:szCs w:val="9"/>
                <w:b w:val="1"/>
                <w:bCs w:val="1"/>
                <w:color w:val="auto"/>
                <w:w w:val="99"/>
              </w:rPr>
              <w:t>2</w:t>
            </w:r>
          </w:p>
        </w:tc>
        <w:tc>
          <w:tcPr>
            <w:tcW w:w="0" w:type="dxa"/>
            <w:vAlign w:val="bottom"/>
          </w:tcPr>
          <w:p>
            <w:pPr>
              <w:spacing w:after="0"/>
              <w:rPr>
                <w:sz w:val="1"/>
                <w:szCs w:val="1"/>
                <w:color w:val="auto"/>
              </w:rPr>
            </w:pPr>
          </w:p>
        </w:tc>
      </w:tr>
      <w:tr>
        <w:trPr>
          <w:trHeight w:val="208"/>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10,312,795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6"/>
                <w:szCs w:val="16"/>
                <w:color w:val="auto"/>
              </w:rPr>
              <w:t>25,983,630</w:t>
            </w:r>
          </w:p>
        </w:tc>
        <w:tc>
          <w:tcPr>
            <w:tcW w:w="0" w:type="dxa"/>
            <w:vAlign w:val="bottom"/>
          </w:tcPr>
          <w:p>
            <w:pPr>
              <w:spacing w:after="0"/>
              <w:rPr>
                <w:sz w:val="1"/>
                <w:szCs w:val="1"/>
                <w:color w:val="auto"/>
              </w:rPr>
            </w:pPr>
          </w:p>
        </w:tc>
      </w:tr>
      <w:tr>
        <w:trPr>
          <w:trHeight w:val="20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10,312,795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Times New Roman" w:cs="Times New Roman" w:eastAsia="Times New Roman" w:hAnsi="Times New Roman"/>
                <w:sz w:val="16"/>
                <w:szCs w:val="16"/>
                <w:color w:val="auto"/>
              </w:rPr>
              <w:t>25,983,630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40" w:hanging="322"/>
        <w:spacing w:after="0" w:line="252"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2024.</w:t>
      </w:r>
    </w:p>
    <w:p>
      <w:pPr>
        <w:ind w:left="640" w:hanging="322"/>
        <w:spacing w:after="0" w:line="24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38" w:lineRule="exact"/>
        <w:rPr>
          <w:sz w:val="20"/>
          <w:szCs w:val="20"/>
          <w:color w:val="auto"/>
        </w:rPr>
      </w:pPr>
    </w:p>
    <w:p>
      <w:pPr>
        <w:ind w:firstLine="392"/>
        <w:spacing w:after="0" w:line="252" w:lineRule="auto"/>
        <w:rPr>
          <w:sz w:val="20"/>
          <w:szCs w:val="20"/>
          <w:color w:val="auto"/>
        </w:rPr>
      </w:pPr>
      <w:r>
        <w:rPr>
          <w:rFonts w:ascii="Times New Roman" w:cs="Times New Roman" w:eastAsia="Times New Roman" w:hAnsi="Times New Roman"/>
          <w:sz w:val="17"/>
          <w:szCs w:val="17"/>
          <w:color w:val="auto"/>
        </w:rPr>
        <w:t>The following graph and table compare a stockholder's cumulative total return, assuming $100 invested at December 31, 2019, with the reinvestment of all dividends, as if such amounts had been invested in: (i) our common stock; (ii) the stocks included in the Standard &amp; Poor's 500 Stock Index ("S&amp;P 500"); and</w:t>
      </w:r>
    </w:p>
    <w:p>
      <w:pPr>
        <w:spacing w:after="0" w:line="2" w:lineRule="exact"/>
        <w:rPr>
          <w:sz w:val="20"/>
          <w:szCs w:val="20"/>
          <w:color w:val="auto"/>
        </w:rPr>
      </w:pPr>
    </w:p>
    <w:p>
      <w:pPr>
        <w:jc w:val="both"/>
        <w:ind w:firstLine="5"/>
        <w:spacing w:after="0" w:line="247" w:lineRule="auto"/>
        <w:tabs>
          <w:tab w:leader="none" w:pos="3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stocks included in the FTSE NAREIT Mortgage REIT Index. In prior years, we compared the cumulative total return on our common stock with that of the S&amp;P 500 and the Bloomberg Mortgage REIT Index; however, the Bloomberg Mortgage REIT Index was discontinued in February 2024 and consequently we are not able to include it in the graph.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661670</wp:posOffset>
            </wp:positionV>
            <wp:extent cx="4979035" cy="3900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9790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40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$100 invested on 12/31/19 in stock or index, including reinvestment of dividends.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Fiscal year ending December 31.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32"/>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6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AGNC Investment Corp.</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w:t>
            </w:r>
          </w:p>
        </w:tc>
      </w:tr>
      <w:tr>
        <w:trPr>
          <w:trHeight w:val="189"/>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196.85</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118.39</w:t>
            </w: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FTSE NAREIT Mortgage REITs</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81.23</w:t>
            </w:r>
          </w:p>
        </w:tc>
      </w:tr>
    </w:tbl>
    <w:p>
      <w:pPr>
        <w:spacing w:after="0" w:line="308" w:lineRule="exact"/>
        <w:rPr>
          <w:sz w:val="20"/>
          <w:szCs w:val="20"/>
          <w:color w:val="auto"/>
        </w:rPr>
      </w:pPr>
    </w:p>
    <w:p>
      <w:pPr>
        <w:jc w:val="both"/>
        <w:ind w:firstLine="502"/>
        <w:spacing w:after="0" w:line="276" w:lineRule="auto"/>
        <w:rPr>
          <w:sz w:val="20"/>
          <w:szCs w:val="20"/>
          <w:color w:val="auto"/>
        </w:rPr>
      </w:pPr>
      <w:r>
        <w:rPr>
          <w:rFonts w:ascii="Times New Roman" w:cs="Times New Roman" w:eastAsia="Times New Roman" w:hAnsi="Times New Roman"/>
          <w:sz w:val="17"/>
          <w:szCs w:val="17"/>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the following sections:</w:t>
      </w:r>
    </w:p>
    <w:p>
      <w:pPr>
        <w:spacing w:after="0" w:line="44" w:lineRule="exact"/>
        <w:rPr>
          <w:sz w:val="20"/>
          <w:szCs w:val="20"/>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Overview</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Condition</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of Critical Accounting Estimates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and Capital Resources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Off-Balance Sheet Arrangements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Forward-Looking Statements</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Website and Social Media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19"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17"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and Recent Market Impacts</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In 2024, an increasingly favorable market environment for Agency RMBS investors emerged as the Fed pivoted from its restrictive monetary policy and began lowering short-term rates toward a neutral level. Declining inflationary pressures and the Fed’s more accommodative monetary policy helped reduce interest rate volatility and steepen the yield curve. These dynamics provided an improved investment backdrop that enabled AGNC to generate a positive economic return of 13.2% in 2024, comprised of our monthly dividends totaling $1.44 per common share for the year and a modest decline of our tangible net book value of $0.29 per common share.</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U.S. presidential election and its implications for deficit spending, fiscal policy and future Treasury issuance tempered the positive investment sentiment that existed during the first three quarters of the year. In addition, strong economic data late in the fourth quarter extended the Fed’s anticipated easing timeline as evidenced by its December Summary of Economic Projections, which indicated fewer expected rate cuts in 2025 and 2026 than previously projected.</w:t>
      </w:r>
    </w:p>
    <w:p>
      <w:pPr>
        <w:spacing w:after="0" w:line="110"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Looking forward, our outlook for Agency mortgage-backed securities in 2025 remains very favorable. We anticipate that Agency RMBS spreads relative to benchmark rates will remain wide compared to historical averages and continue to trade within the well-defined range that has been established over the past several quarters. Agency RMBS spreads to benchmark rates in the current range offer investors attractive return opportunities. Further, longer-term interest rates have risen meaningfully, and as of year-end, the 30-year primary mortgage rate was once again near 7%. At current rate levels, we expect the supply of Agency RMBS in 2025 to be similar to that of 2024 and reasonably well-aligned with investor demand. Potential increases in bank demand as regulatory constraints ease could also provide incremental additional support for Agency RMBS valuations. Together, these positive dynamics create a constructive investment backdrop for AGNC in 2025.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7" w:name="page28"/>
    <w:bookmarkEnd w:id="27"/>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 xml:space="preserve">Notwithstanding our favorable outlook for Agency RMBS as we begin 2025, financial market and macroeconomic uncertainty remains elevated as the new administration implements sweeping changes to tariff, immigration, fiscal, and regulatory policy. In addition, while GSE reform does not appear to be an immediate focus of the administration, it is possible that this topic could be revisited at some point during the next four years. Favorably in our view, there also appears to be a growing consensus that any change to the structure of the GSE’s and the Agency RMBS market should be done in a way that preserves the current functionality of the conventional mortgage market, avoids disrupting the real estate market and ensures that housing affordability does not decline further. Please refer to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for additional information regarding potential changes to the Federal conservatorships of Fannie Mae and Freddie Mac, laws or regulations affecting the relationship between the GSEs and the U.S. Government or other housing finance reform initiatives.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Highlights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AGNC earned total comprehensive income of $0.84 per diluted common share for fiscal year 2024, an increase from $0.30 per share in 2023. Net spread and dollar roll income per diluted common share decreased to $1.88 in 2024 from $2.61 in 2023, primarily due to a narrowing of our net interest rate spread, which averaged 242 basis points in 2024, down from 306 basis points in 2023.</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reduction in our net interest spread was largely driven by higher swap costs following the expiration of lower-cost pay-fixed interest rate swaps during the year and a strategic shift toward a greater proportion of Treasury-based hedges, which are not included in our reported net interest spread or net spread income. Additionally, we expanded our use of longer-term hedges in response to changes in monetary policy and expectations of further yield curve steepening.</w:t>
      </w:r>
    </w:p>
    <w:p>
      <w:pPr>
        <w:spacing w:after="0" w:line="110"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As of December 31, 2024, our interest rate hedge position covered 91% of the outstanding balance of our repurchase agreements used to fund our investment portfolio ("Investment Securities Repo"), TBA position, and other debt, compared to 112% at the end of 2023. Our duration gap, which measures the estimated difference between the interest rate sensitivity of our assets and our liabilities, inclusive of interest rate hedges, extended to 0.3 years as of December 31, 2024, from -0.5 years as of December 31, 2023, consistent with higher long-term rates and shifts in portfolio and hedge composition.</w:t>
      </w:r>
    </w:p>
    <w:p>
      <w:pPr>
        <w:spacing w:after="0" w:line="117"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weighted average coupon on our fixed-rate Agency RMBS and TBA securities increased to 5.02% at the end of 2024, up from 4.83% at the end of 2023. The average projected life Constant Prepayment Rate (CPR) for the portfolio decreased to 7.7% at year-end, from 11.4% at the end of 2023. Actual CPRs for 2024 averaged 7.5%, slightly up from 6.3% in 2023.</w:t>
      </w:r>
    </w:p>
    <w:p>
      <w:pPr>
        <w:spacing w:after="0" w:line="11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AGNC's average and ending "at risk" leverage for 2024 was 7.2x tangible stockholders’ equity, compared to 7.4x and 7.0x, respectively, for 2023. We concluded 2024 with $6.1 billion in cash and unencumbered Agency RMBS, representing 66% of tangible stockholders’ equity, compared to $5.1 billion and 66% of tangible equity as of December 31, 2023.</w:t>
      </w:r>
    </w:p>
    <w:p>
      <w:pPr>
        <w:spacing w:after="0" w:line="110"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During 2024, we raised $2.0 billion of common stock through our at-the-market offering program at a considerable premium to tangible net book value, generating meaningful book value accretion for our common stockholders.</w:t>
      </w:r>
    </w:p>
    <w:p>
      <w:pPr>
        <w:spacing w:after="0" w:line="9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7A.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this form 10-K.</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benchmark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2024</w:t>
            </w:r>
          </w:p>
        </w:tc>
        <w:tc>
          <w:tcPr>
            <w:tcW w:w="0" w:type="dxa"/>
            <w:vAlign w:val="bottom"/>
          </w:tcPr>
          <w:p>
            <w:pPr>
              <w:spacing w:after="0"/>
              <w:rPr>
                <w:sz w:val="1"/>
                <w:szCs w:val="1"/>
                <w:color w:val="auto"/>
              </w:rPr>
            </w:pPr>
          </w:p>
        </w:tc>
      </w:tr>
      <w:tr>
        <w:trPr>
          <w:trHeight w:val="142"/>
        </w:trPr>
        <w:tc>
          <w:tcPr>
            <w:tcW w:w="54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2023</w:t>
            </w:r>
          </w:p>
        </w:tc>
        <w:tc>
          <w:tcPr>
            <w:tcW w:w="0" w:type="dxa"/>
            <w:vAlign w:val="bottom"/>
          </w:tcPr>
          <w:p>
            <w:pPr>
              <w:spacing w:after="0"/>
              <w:rPr>
                <w:sz w:val="1"/>
                <w:szCs w:val="1"/>
                <w:color w:val="auto"/>
              </w:rPr>
            </w:pPr>
          </w:p>
        </w:tc>
      </w:tr>
      <w:tr>
        <w:trPr>
          <w:trHeight w:val="18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4.49%</w:t>
            </w:r>
          </w:p>
        </w:tc>
        <w:tc>
          <w:tcPr>
            <w:tcW w:w="160" w:type="dxa"/>
            <w:vAlign w:val="bottom"/>
          </w:tcPr>
          <w:p>
            <w:pPr>
              <w:spacing w:after="0"/>
              <w:rPr>
                <w:sz w:val="16"/>
                <w:szCs w:val="16"/>
                <w:color w:val="auto"/>
              </w:rPr>
            </w:pP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-89 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4.04%</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4.07%</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4.24%</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3"/>
              </w:rPr>
              <w:t>-1</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$82.77</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$81.87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$81.38</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$88.58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$86.16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$85.26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$89.68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$84.88</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$89.61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$88.67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$93.09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$88.38</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$94.69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$92.74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$91.68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$95.98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$91.32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$95.34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$93.98</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$99.04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$97.70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$96.81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$99.90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$96.44</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$100.56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$99.58</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$98.76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$101.15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$98.61</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$101.63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$100.98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$100.39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$102.19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$100.45</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$102.51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$103.10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$102.10</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$86.69</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$85.61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$89.16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$85.80</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$89.47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$88.71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$91.41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$88.34</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$91.07</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$90.44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$93.68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$90.83</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$93.17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$92.61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$95.82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$93.12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$95.13</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$94.61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$97.88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$94.56</w:t>
            </w:r>
          </w:p>
        </w:tc>
        <w:tc>
          <w:tcPr>
            <w:tcW w:w="16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$98.10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$96.95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$96.24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$99.28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$96.01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64"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7"/>
          <w:szCs w:val="17"/>
          <w:color w:val="auto"/>
        </w:rPr>
        <w:t>The following table summarizes mortgage and credit spreads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2024</w:t>
            </w:r>
          </w:p>
        </w:tc>
        <w:tc>
          <w:tcPr>
            <w:tcW w:w="0" w:type="dxa"/>
            <w:vAlign w:val="bottom"/>
          </w:tcPr>
          <w:p>
            <w:pPr>
              <w:spacing w:after="0"/>
              <w:rPr>
                <w:sz w:val="1"/>
                <w:szCs w:val="1"/>
                <w:color w:val="auto"/>
              </w:rPr>
            </w:pPr>
          </w:p>
        </w:tc>
      </w:tr>
      <w:tr>
        <w:trPr>
          <w:trHeight w:val="142"/>
        </w:trPr>
        <w:tc>
          <w:tcPr>
            <w:tcW w:w="54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1"/>
        </w:trPr>
        <w:tc>
          <w:tcPr>
            <w:tcW w:w="546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2023</w:t>
            </w:r>
          </w:p>
        </w:tc>
        <w:tc>
          <w:tcPr>
            <w:tcW w:w="0" w:type="dxa"/>
            <w:vAlign w:val="bottom"/>
          </w:tcPr>
          <w:p>
            <w:pPr>
              <w:spacing w:after="0"/>
              <w:rPr>
                <w:sz w:val="1"/>
                <w:szCs w:val="1"/>
                <w:color w:val="auto"/>
              </w:rPr>
            </w:pPr>
          </w:p>
        </w:tc>
      </w:tr>
      <w:tr>
        <w:trPr>
          <w:trHeight w:val="194"/>
        </w:trPr>
        <w:tc>
          <w:tcPr>
            <w:tcW w:w="530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5-Year U.S. Treasury Spread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+5</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10-Year U.S. Treasury Spread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5/10-Year U.S. Treasury Spread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center"/>
              <w:ind w:right="430"/>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6.74%</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6.86%</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-69</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-46</w:t>
            </w:r>
          </w:p>
        </w:tc>
        <w:tc>
          <w:tcPr>
            <w:tcW w:w="0" w:type="dxa"/>
            <w:vAlign w:val="bottom"/>
          </w:tcPr>
          <w:p>
            <w:pPr>
              <w:spacing w:after="0"/>
              <w:rPr>
                <w:sz w:val="1"/>
                <w:szCs w:val="1"/>
                <w:color w:val="auto"/>
              </w:rPr>
            </w:pPr>
          </w:p>
        </w:tc>
      </w:tr>
      <w:tr>
        <w:trPr>
          <w:trHeight w:val="182"/>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center"/>
              <w:ind w:right="43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72" w:lineRule="exact"/>
        <w:rPr>
          <w:sz w:val="20"/>
          <w:szCs w:val="20"/>
          <w:color w:val="auto"/>
        </w:rPr>
      </w:pPr>
    </w:p>
    <w:p>
      <w:pPr>
        <w:ind w:left="640" w:hanging="322"/>
        <w:spacing w:after="0" w:line="252"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yield on new production Agency RMBS. 30-Year Current Coupon Yields are sourced from Bloomberg and 30-Year Mortgage Rates are sourced from Clear Blue.</w:t>
      </w:r>
    </w:p>
    <w:p>
      <w:pPr>
        <w:ind w:left="640" w:hanging="322"/>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FINANCIAL CONDITION</w:t>
      </w:r>
    </w:p>
    <w:p>
      <w:pPr>
        <w:spacing w:after="0" w:line="172"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As of December 31, 2024 and 2023, our investment portfolio totaled $73.3 billion and $60.2 billion, respectively, consisting of: $65.5 billion and $53.8 billion Agency RMBS, at fair value, respectively; $6.9 billion and $5.4 billion net TBA securities, at fair value, respectively; $0.9 billion and $1.0 billion CRT, non-Agency RMBS and CMBS, at fair value, respectively; and other mortgage credit investments of $64 million and $44 million, respectively, which we account for under the equity method of accounting. The following table is a summary of our investment securities (including TBA securities) as of December 31, 2024 and 2023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60"/>
              <w:spacing w:after="0" w:line="203" w:lineRule="exact"/>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70,314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70,910</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Total CMO Agency RMBS </w:t>
            </w:r>
            <w:r>
              <w:rPr>
                <w:rFonts w:ascii="Times New Roman" w:cs="Times New Roman" w:eastAsia="Times New Roman" w:hAnsi="Times New Roman"/>
                <w:sz w:val="18"/>
                <w:szCs w:val="18"/>
                <w:color w:val="auto"/>
                <w:vertAlign w:val="superscript"/>
              </w:rPr>
              <w:t>3</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Total Agency RMBS and TBA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72,325</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59,148</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1,3</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CMBS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10.44 %</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investment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73,209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640" w:hanging="32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$64 million and $44 million as of December 31, 2024 and 2023, respectively.</w:t>
      </w:r>
    </w:p>
    <w:p>
      <w:pPr>
        <w:ind w:left="640" w:hanging="32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10-K</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excludes interest-only and principal-only securities.</w:t>
      </w:r>
    </w:p>
    <w:p>
      <w:pPr>
        <w:spacing w:after="0" w:line="158"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TBA securities are recorded as derivative instruments in our accompanying consolidated financial statements, and our TBA dollar roll transactions represent a form of off-balance sheet financing. As of December 31, 2024 and 2023, our TBA securities had a net carrying value of $(26) million and $66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17"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As of December 31, 2024 and 2023, the weighted average yield on our investment securities (excluding TBA and forward settling securities) was 4.77% and 4.41%, respectively.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1" w:name="page32"/>
    <w:bookmarkEnd w:id="31"/>
    <w:p>
      <w:pPr>
        <w:ind w:firstLine="431"/>
        <w:spacing w:after="0" w:line="295" w:lineRule="auto"/>
        <w:rPr>
          <w:sz w:val="20"/>
          <w:szCs w:val="20"/>
          <w:color w:val="auto"/>
        </w:rPr>
      </w:pPr>
      <w:r>
        <w:rPr>
          <w:rFonts w:ascii="Times New Roman" w:cs="Times New Roman" w:eastAsia="Times New Roman" w:hAnsi="Times New Roman"/>
          <w:sz w:val="17"/>
          <w:szCs w:val="17"/>
          <w:color w:val="auto"/>
        </w:rPr>
        <w:t>The following tables summarize certain characteristics of our fixed rate Agency RMBS portfolio, inclusive of TBA securities, as of December 31, 2024 and 2023 (dollars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Includes Net TBA Position</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40" w:type="dxa"/>
            <w:vAlign w:val="bottom"/>
            <w:gridSpan w:val="3"/>
          </w:tcPr>
          <w:p>
            <w:pPr>
              <w:jc w:val="center"/>
              <w:ind w:right="400"/>
              <w:spacing w:after="0" w:line="15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2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9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Pr>
          <w:p>
            <w:pPr>
              <w:spacing w:after="0"/>
              <w:rPr>
                <w:sz w:val="17"/>
                <w:szCs w:val="17"/>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9"/>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9"/>
              </w:rPr>
              <w:t>99.4%</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100.9%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101.2%</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164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101.0%</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165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2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2.68%</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101.4%</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9"/>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104.5%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103.5%</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103.7%</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104.8%</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3.12%</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103.9%</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77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9"/>
              </w:rPr>
              <w:t>97.9%</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104.1%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105.7%</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103.4%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9"/>
              </w:rPr>
              <w:t>99.6%</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100.4%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101.6%</w:t>
            </w:r>
          </w:p>
        </w:tc>
        <w:tc>
          <w:tcPr>
            <w:tcW w:w="16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102.7%</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15</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72,445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73,351</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70,314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5.04%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101.5%</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21"/>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70,910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101.5%</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jc w:val="both"/>
        <w:ind w:left="640" w:hanging="322"/>
        <w:spacing w:after="0" w:line="248"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2024, lower balance specified pools had a weighted average original loan balance of $188,000 and $148,000 for 15-year and 30-year securities, respectively, and HARP pools had a weighted average original LTV of 128% and 141% for 15-year and 30-year securities, respectively.</w:t>
      </w:r>
    </w:p>
    <w:p>
      <w:pPr>
        <w:ind w:left="640" w:hanging="322"/>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38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80" w:type="dxa"/>
            <w:vAlign w:val="bottom"/>
            <w:gridSpan w:val="3"/>
            <w:vMerge w:val="restart"/>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98"/>
        </w:trPr>
        <w:tc>
          <w:tcPr>
            <w:tcW w:w="2380" w:type="dxa"/>
            <w:vAlign w:val="bottom"/>
            <w:gridSpan w:val="2"/>
            <w:vMerge w:val="continue"/>
          </w:tcPr>
          <w:p>
            <w:pPr>
              <w:spacing w:after="0"/>
              <w:rPr>
                <w:sz w:val="8"/>
                <w:szCs w:val="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8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9"/>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101.7%</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101.5%</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101.5%</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102.8%</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101.7%</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5.0%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100.9%</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3.44%</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101.9%</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71</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104.7%</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101.7%</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104.3%</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103.6%</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59</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3"/>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101.0%</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104.1%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105.7%</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103.9%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100.5%</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7"/>
              </w:rPr>
              <w:t>101.0%</w:t>
            </w:r>
          </w:p>
        </w:tc>
        <w:tc>
          <w:tcPr>
            <w:tcW w:w="1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102.3%</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57,766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4.88%</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102.2%</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59,442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58,515</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7"/>
              </w:rPr>
              <w:t>102.2%</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2"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preceding table for specified pool composition.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640" w:hanging="322"/>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2023.</w:t>
      </w:r>
    </w:p>
    <w:p>
      <w:pPr>
        <w:spacing w:after="0" w:line="158"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For additional details regarding our CRT and non-Agency securities, including credit ratings, as of December 31, 2024 and 2023, please refer to Note 3 of our Consolidated Financial Statements included under Item 8 of this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CRITICAL ACCOUNTING ESTIMATES</w:t>
      </w:r>
    </w:p>
    <w:p>
      <w:pPr>
        <w:spacing w:after="0" w:line="17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incorporating scheduled contractual payments and estimated prepayments, using the effective interest method. The weighted average cost basis of our securities as of December 31, 2024 was 101.5% of par value; therefore, changes in our actual or projected prepayments can significantly alter the effective yield on our assets.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w:t>
      </w:r>
    </w:p>
    <w:p>
      <w:pPr>
        <w:spacing w:after="0" w:line="121"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review our actual and anticipated prepayment experience on at least a quarterly basis, and effective yields are recalculated when differences arise between (i) our previous prepayment estimates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from inception through the reporting date. We commonly refer to this adjustment as "catch-up" premium amortization cost/benefit.</w:t>
      </w:r>
    </w:p>
    <w:p>
      <w:pPr>
        <w:spacing w:after="0" w:line="11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 xml:space="preserve">The most significant factor impacting prepayment rates on our securities is changes to long-term interest rates. Prepayment rates generally increase when interest rates fall and decrease when interest rates rise. Item 7A.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this Form 10-K includes the estimated weighted average projected CPR of our investments and the corresponding weighted average yield on our investments should interest rates instantaneously go up or down by 25, 50, and 75 basis points. However, there are a variety of other factors that may impact the rate of prepayments on our securities. Consequently, our actual experience and future estimates of prepayments could differ materially from our estimates.</w:t>
      </w:r>
    </w:p>
    <w:p>
      <w:pPr>
        <w:spacing w:after="0" w:line="11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spacing w:after="0" w:line="11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 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33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4" w:name="page35"/>
    <w:bookmarkEnd w:id="34"/>
    <w:p>
      <w:pPr>
        <w:jc w:val="both"/>
        <w:spacing w:after="0" w:line="264" w:lineRule="auto"/>
        <w:rPr>
          <w:sz w:val="20"/>
          <w:szCs w:val="20"/>
          <w:color w:val="auto"/>
        </w:rPr>
      </w:pPr>
      <w:r>
        <w:rPr>
          <w:rFonts w:ascii="Times New Roman" w:cs="Times New Roman" w:eastAsia="Times New Roman" w:hAnsi="Times New Roman"/>
          <w:sz w:val="17"/>
          <w:szCs w:val="17"/>
          <w:color w:val="auto"/>
        </w:rPr>
        <w:t>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21"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Financial Data</w:t>
      </w:r>
    </w:p>
    <w:p>
      <w:pPr>
        <w:spacing w:after="0" w:line="240" w:lineRule="exact"/>
        <w:rPr>
          <w:sz w:val="20"/>
          <w:szCs w:val="20"/>
          <w:color w:val="auto"/>
        </w:rPr>
      </w:pPr>
    </w:p>
    <w:p>
      <w:pPr>
        <w:jc w:val="both"/>
        <w:ind w:firstLine="431"/>
        <w:spacing w:after="0" w:line="259" w:lineRule="auto"/>
        <w:rPr>
          <w:sz w:val="20"/>
          <w:szCs w:val="20"/>
          <w:color w:val="auto"/>
        </w:rPr>
      </w:pPr>
      <w:r>
        <w:rPr>
          <w:rFonts w:ascii="Times New Roman" w:cs="Times New Roman" w:eastAsia="Times New Roman" w:hAnsi="Times New Roman"/>
          <w:sz w:val="17"/>
          <w:szCs w:val="17"/>
          <w:color w:val="auto"/>
        </w:rPr>
        <w:t xml:space="preserve">The following selected financial data is derived from our annual financial statements for the three years ended December 31, 2024. The selected financial data should be read in conjunction with the more detailed information contained in Item 8.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xml:space="preserve"> and in this Item 7. </w:t>
      </w:r>
      <w:r>
        <w:rPr>
          <w:rFonts w:ascii="Times New Roman" w:cs="Times New Roman" w:eastAsia="Times New Roman" w:hAnsi="Times New Roman"/>
          <w:sz w:val="17"/>
          <w:szCs w:val="17"/>
          <w:i w:val="1"/>
          <w:iCs w:val="1"/>
          <w:color w:val="auto"/>
        </w:rPr>
        <w:t>Management's Discussion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Analysis of Financial Condition and Results of Operations </w:t>
      </w:r>
      <w:r>
        <w:rPr>
          <w:rFonts w:ascii="Times New Roman" w:cs="Times New Roman" w:eastAsia="Times New Roman" w:hAnsi="Times New Roman"/>
          <w:sz w:val="17"/>
          <w:szCs w:val="17"/>
          <w:color w:val="auto"/>
        </w:rPr>
        <w:t>(in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color w:val="auto"/>
                <w:w w:val="97"/>
              </w:rPr>
              <w:t>Investment securities, at fair value of $66,348, $54,824 and $40,904, respectively, and other mortgage credit</w:t>
            </w:r>
          </w:p>
        </w:tc>
        <w:tc>
          <w:tcPr>
            <w:tcW w:w="80" w:type="dxa"/>
            <w:vAlign w:val="bottom"/>
          </w:tcPr>
          <w:p>
            <w:pPr>
              <w:spacing w:after="0"/>
              <w:rPr>
                <w:sz w:val="13"/>
                <w:szCs w:val="13"/>
                <w:color w:val="auto"/>
              </w:rPr>
            </w:pPr>
          </w:p>
        </w:tc>
        <w:tc>
          <w:tcPr>
            <w:tcW w:w="12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66,412</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54,868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auto"/>
            </w:tcBorders>
            <w:gridSpan w:val="2"/>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40,929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71,596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51,748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50,506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36,357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63,339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8,257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0"/>
                <w:szCs w:val="20"/>
                <w:color w:val="auto"/>
                <w:vertAlign w:val="superscript"/>
              </w:rPr>
              <w:t>1</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0"/>
                <w:szCs w:val="20"/>
                <w:color w:val="auto"/>
                <w:vertAlign w:val="superscript"/>
              </w:rPr>
              <w:t>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3"/>
                <w:szCs w:val="2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92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2,931</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 (loss), net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731</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863</w:t>
            </w:r>
          </w:p>
        </w:tc>
        <w:tc>
          <w:tcPr>
            <w:tcW w:w="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657</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783.4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786.0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0.93</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0.05</w:t>
            </w: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0.84</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0.30</w:t>
            </w: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0.84</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1.44</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1.44</w:t>
            </w: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8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8"/>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61,613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50,878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47,761</w:t>
            </w:r>
          </w:p>
        </w:tc>
        <w:tc>
          <w:tcPr>
            <w:tcW w:w="0" w:type="dxa"/>
            <w:vAlign w:val="bottom"/>
          </w:tcPr>
          <w:p>
            <w:pPr>
              <w:spacing w:after="0"/>
              <w:rPr>
                <w:sz w:val="1"/>
                <w:szCs w:val="1"/>
                <w:color w:val="auto"/>
              </w:rPr>
            </w:pPr>
          </w:p>
        </w:tc>
      </w:tr>
      <w:tr>
        <w:trPr>
          <w:trHeight w:val="20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62,698</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52,262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49,195</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par (as of period end) </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19,050</w:t>
            </w:r>
          </w:p>
        </w:tc>
        <w:tc>
          <w:tcPr>
            <w:tcW w:w="0" w:type="dxa"/>
            <w:vAlign w:val="bottom"/>
          </w:tcPr>
          <w:p>
            <w:pPr>
              <w:spacing w:after="0"/>
              <w:rPr>
                <w:sz w:val="1"/>
                <w:szCs w:val="1"/>
                <w:color w:val="auto"/>
              </w:rPr>
            </w:pPr>
          </w:p>
        </w:tc>
      </w:tr>
      <w:tr>
        <w:trPr>
          <w:trHeight w:val="20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cost (as of period end) </w:t>
            </w:r>
            <w:r>
              <w:rPr>
                <w:rFonts w:ascii="Times New Roman" w:cs="Times New Roman" w:eastAsia="Times New Roman" w:hAnsi="Times New Roman"/>
                <w:sz w:val="18"/>
                <w:szCs w:val="18"/>
                <w:color w:val="auto"/>
                <w:vertAlign w:val="superscript"/>
              </w:rPr>
              <w:t>3</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6,887</w:t>
            </w:r>
          </w:p>
        </w:tc>
        <w:tc>
          <w:tcPr>
            <w:tcW w:w="8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18,407</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market value (as of period end) </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18,574</w:t>
            </w:r>
          </w:p>
        </w:tc>
        <w:tc>
          <w:tcPr>
            <w:tcW w:w="0" w:type="dxa"/>
            <w:vAlign w:val="bottom"/>
          </w:tcPr>
          <w:p>
            <w:pPr>
              <w:spacing w:after="0"/>
              <w:rPr>
                <w:sz w:val="1"/>
                <w:szCs w:val="1"/>
                <w:color w:val="auto"/>
              </w:rPr>
            </w:pPr>
          </w:p>
        </w:tc>
      </w:tr>
      <w:tr>
        <w:trPr>
          <w:trHeight w:val="20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Net TBA portfolio - at carrying value (as of period end) </w:t>
            </w:r>
            <w:r>
              <w:rPr>
                <w:rFonts w:ascii="Times New Roman" w:cs="Times New Roman" w:eastAsia="Times New Roman" w:hAnsi="Times New Roman"/>
                <w:sz w:val="18"/>
                <w:szCs w:val="18"/>
                <w:color w:val="auto"/>
                <w:vertAlign w:val="superscript"/>
              </w:rPr>
              <w:t>3,4</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5,389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20,631</w:t>
            </w:r>
          </w:p>
        </w:tc>
        <w:tc>
          <w:tcPr>
            <w:tcW w:w="0" w:type="dxa"/>
            <w:vAlign w:val="bottom"/>
          </w:tcPr>
          <w:p>
            <w:pPr>
              <w:spacing w:after="0"/>
              <w:rPr>
                <w:sz w:val="1"/>
                <w:szCs w:val="1"/>
                <w:color w:val="auto"/>
              </w:rPr>
            </w:pPr>
          </w:p>
        </w:tc>
      </w:tr>
      <w:tr>
        <w:trPr>
          <w:trHeight w:val="20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79,058</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63,409</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61,028</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5</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54,658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44,027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41,363</w:t>
            </w:r>
          </w:p>
        </w:tc>
        <w:tc>
          <w:tcPr>
            <w:tcW w:w="0" w:type="dxa"/>
            <w:vAlign w:val="bottom"/>
          </w:tcPr>
          <w:p>
            <w:pPr>
              <w:spacing w:after="0"/>
              <w:rPr>
                <w:sz w:val="1"/>
                <w:szCs w:val="1"/>
                <w:color w:val="auto"/>
              </w:rPr>
            </w:pPr>
          </w:p>
        </w:tc>
      </w:tr>
      <w:tr>
        <w:trPr>
          <w:trHeight w:val="20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6</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8,885</w:t>
            </w:r>
          </w:p>
        </w:tc>
        <w:tc>
          <w:tcPr>
            <w:tcW w:w="8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7,817</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8,475</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0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8</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20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ind w:left="640" w:hanging="322"/>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8"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TBA dollar roll position and, if applicable, forward settling securities.</w:t>
      </w:r>
    </w:p>
    <w:p>
      <w:pPr>
        <w:spacing w:after="0" w:line="8" w:lineRule="exact"/>
        <w:rPr>
          <w:rFonts w:ascii="Times New Roman" w:cs="Times New Roman" w:eastAsia="Times New Roman" w:hAnsi="Times New Roman"/>
          <w:sz w:val="14"/>
          <w:szCs w:val="14"/>
          <w:color w:val="auto"/>
        </w:rPr>
      </w:pPr>
    </w:p>
    <w:p>
      <w:pPr>
        <w:ind w:left="640" w:hanging="322"/>
        <w:spacing w:after="0" w:line="246"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40" w:hanging="322"/>
        <w:spacing w:after="0" w:line="250"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ind w:left="640" w:hanging="322"/>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8" w:lineRule="exact"/>
        <w:rPr>
          <w:rFonts w:ascii="Times New Roman" w:cs="Times New Roman" w:eastAsia="Times New Roman" w:hAnsi="Times New Roman"/>
          <w:sz w:val="14"/>
          <w:szCs w:val="14"/>
          <w:color w:val="auto"/>
        </w:rPr>
      </w:pPr>
    </w:p>
    <w:p>
      <w:pPr>
        <w:jc w:val="both"/>
        <w:ind w:left="640" w:hanging="322"/>
        <w:spacing w:after="0" w:line="246"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40" w:hanging="322"/>
        <w:spacing w:after="0" w:line="253"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ind w:left="640" w:hanging="322"/>
        <w:spacing w:after="0" w:line="266"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Interest Income and Asset Yields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The following table summarizes our economic interest income (a non-GAAP measure) for fiscal years 2024, 2023 and 2022,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0"/>
        </w:trPr>
        <w:tc>
          <w:tcPr>
            <w:tcW w:w="47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2,949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0" w:type="dxa"/>
            <w:vAlign w:val="bottom"/>
          </w:tcPr>
          <w:p>
            <w:pPr>
              <w:spacing w:after="0"/>
              <w:rPr>
                <w:sz w:val="1"/>
                <w:szCs w:val="1"/>
                <w:color w:val="auto"/>
              </w:rPr>
            </w:pPr>
          </w:p>
        </w:tc>
      </w:tr>
      <w:tr>
        <w:trPr>
          <w:trHeight w:val="131"/>
        </w:trPr>
        <w:tc>
          <w:tcPr>
            <w:tcW w:w="474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 change in CPR</w:t>
            </w:r>
          </w:p>
        </w:tc>
        <w:tc>
          <w:tcPr>
            <w:tcW w:w="140" w:type="dxa"/>
            <w:vAlign w:val="bottom"/>
          </w:tcPr>
          <w:p>
            <w:pPr>
              <w:spacing w:after="0"/>
              <w:rPr>
                <w:sz w:val="11"/>
                <w:szCs w:val="11"/>
                <w:color w:val="auto"/>
              </w:rPr>
            </w:pPr>
          </w:p>
        </w:tc>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forecast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80"/>
              <w:spacing w:after="0" w:line="196"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18"/>
                <w:szCs w:val="18"/>
                <w:color w:val="auto"/>
                <w:vertAlign w:val="superscript"/>
              </w:rPr>
              <w:t>1,2</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 xml:space="preserve">Economic interest income (non-GAAP measure) </w:t>
            </w:r>
            <w:r>
              <w:rPr>
                <w:rFonts w:ascii="Times New Roman" w:cs="Times New Roman" w:eastAsia="Times New Roman" w:hAnsi="Times New Roman"/>
                <w:sz w:val="18"/>
                <w:szCs w:val="18"/>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period</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held as of period end</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18"/>
                <w:szCs w:val="18"/>
                <w:color w:val="auto"/>
                <w:vertAlign w:val="superscript"/>
              </w:rPr>
              <w:t>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5" w:lineRule="exact"/>
        <w:rPr>
          <w:rFonts w:ascii="Times New Roman" w:cs="Times New Roman" w:eastAsia="Times New Roman" w:hAnsi="Times New Roman"/>
          <w:sz w:val="14"/>
          <w:szCs w:val="14"/>
          <w:color w:val="auto"/>
        </w:rPr>
      </w:pPr>
    </w:p>
    <w:p>
      <w:pPr>
        <w:jc w:val="both"/>
        <w:ind w:left="640" w:hanging="322"/>
        <w:spacing w:after="0" w:line="248"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 TBA price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spacing w:after="0" w:line="8"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58"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fiscal years 2024 and 2023 compared to the prior year period (in millions):</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2024 vs 2023</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Portfolio</w:t>
            </w:r>
          </w:p>
        </w:tc>
        <w:tc>
          <w:tcPr>
            <w:tcW w:w="320" w:type="dxa"/>
            <w:vAlign w:val="bottom"/>
          </w:tcPr>
          <w:p>
            <w:pPr>
              <w:spacing w:after="0"/>
              <w:rPr>
                <w:sz w:val="11"/>
                <w:szCs w:val="11"/>
                <w:color w:val="auto"/>
              </w:rPr>
            </w:pPr>
          </w:p>
        </w:tc>
        <w:tc>
          <w:tcPr>
            <w:tcW w:w="1100" w:type="dxa"/>
            <w:vAlign w:val="bottom"/>
          </w:tcPr>
          <w:p>
            <w:pPr>
              <w:jc w:val="right"/>
              <w:ind w:right="47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2023 vs 2022</w:t>
            </w: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Portfolio</w:t>
            </w:r>
          </w:p>
        </w:tc>
        <w:tc>
          <w:tcPr>
            <w:tcW w:w="320" w:type="dxa"/>
            <w:vAlign w:val="bottom"/>
          </w:tcPr>
          <w:p>
            <w:pPr>
              <w:spacing w:after="0"/>
              <w:rPr>
                <w:sz w:val="10"/>
                <w:szCs w:val="10"/>
                <w:color w:val="auto"/>
              </w:rPr>
            </w:pPr>
          </w:p>
        </w:tc>
        <w:tc>
          <w:tcPr>
            <w:tcW w:w="1100" w:type="dxa"/>
            <w:vAlign w:val="bottom"/>
          </w:tcPr>
          <w:p>
            <w:pPr>
              <w:jc w:val="right"/>
              <w:ind w:right="470"/>
              <w:spacing w:after="0" w:line="124"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80" w:type="dxa"/>
            <w:vAlign w:val="bottom"/>
          </w:tcPr>
          <w:p>
            <w:pPr>
              <w:spacing w:after="0"/>
              <w:rPr>
                <w:sz w:val="16"/>
                <w:szCs w:val="16"/>
                <w:color w:val="auto"/>
              </w:rPr>
            </w:pPr>
          </w:p>
        </w:tc>
        <w:tc>
          <w:tcPr>
            <w:tcW w:w="1260" w:type="dxa"/>
            <w:vAlign w:val="bottom"/>
          </w:tcPr>
          <w:p>
            <w:pPr>
              <w:jc w:val="center"/>
              <w:ind w:left="850"/>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4"/>
                <w:szCs w:val="14"/>
                <w:color w:val="auto"/>
                <w:w w:val="98"/>
              </w:rPr>
              <w:t>(222)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7" w:name="page38"/>
    <w:bookmarkEnd w:id="37"/>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Our average investment portfolio (at cost), inclusive of TBAs, increased 9% and decreased 11% for fiscal years 2024 and 2023, respectively, primarily due to changes in our capital base. The average yield on our investment portfolio, including TBA implied asset yields and excluding "catch-up" premium amortization, increased 59 and 111 basis points for fiscal years 2024 and 2023, respectively, largely as a result of shifting our asset portfolio from lower coupon holdings toward a greater share of higher coupon, specified pools.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Leverage</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10"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7"/>
          <w:szCs w:val="17"/>
          <w:i w:val="1"/>
          <w:iCs w:val="1"/>
          <w:color w:val="auto"/>
        </w:rPr>
        <w:t>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Capital Resources </w:t>
      </w:r>
      <w:r>
        <w:rPr>
          <w:rFonts w:ascii="Times New Roman" w:cs="Times New Roman" w:eastAsia="Times New Roman" w:hAnsi="Times New Roman"/>
          <w:sz w:val="17"/>
          <w:szCs w:val="17"/>
          <w:color w:val="auto"/>
        </w:rPr>
        <w:t>in this Form 10-K for further discussion of TBA securities and dollar roll transactions). Repurchase agreements used to fund short-term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9"/>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 Securities Repurchase Agreements and</w:t>
            </w:r>
          </w:p>
        </w:tc>
        <w:tc>
          <w:tcPr>
            <w:tcW w:w="160" w:type="dxa"/>
            <w:vAlign w:val="bottom"/>
          </w:tcPr>
          <w:p>
            <w:pPr>
              <w:spacing w:after="0"/>
              <w:rPr>
                <w:sz w:val="12"/>
                <w:szCs w:val="12"/>
                <w:color w:val="auto"/>
              </w:rPr>
            </w:pPr>
          </w:p>
        </w:tc>
        <w:tc>
          <w:tcPr>
            <w:tcW w:w="1700" w:type="dxa"/>
            <w:vAlign w:val="bottom"/>
            <w:gridSpan w:val="4"/>
          </w:tcPr>
          <w:p>
            <w:pPr>
              <w:jc w:val="right"/>
              <w:ind w:right="412"/>
              <w:spacing w:after="0"/>
              <w:rPr>
                <w:sz w:val="20"/>
                <w:szCs w:val="20"/>
                <w:color w:val="auto"/>
              </w:rPr>
            </w:pPr>
            <w:r>
              <w:rPr>
                <w:rFonts w:ascii="Times New Roman" w:cs="Times New Roman" w:eastAsia="Times New Roman" w:hAnsi="Times New Roman"/>
                <w:sz w:val="12"/>
                <w:szCs w:val="12"/>
                <w:b w:val="1"/>
                <w:bCs w:val="1"/>
                <w:color w:val="auto"/>
              </w:rPr>
              <w:t>Net TBA Position</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Tangible Net Book</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Other Debt </w:t>
            </w:r>
            <w:r>
              <w:rPr>
                <w:rFonts w:ascii="Times New Roman" w:cs="Times New Roman" w:eastAsia="Times New Roman" w:hAnsi="Times New Roman"/>
                <w:sz w:val="13"/>
                <w:szCs w:val="13"/>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tcPr>
          <w:p>
            <w:pPr>
              <w:jc w:val="right"/>
              <w:ind w:right="492"/>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Long/(Short) </w:t>
            </w:r>
            <w:r>
              <w:rPr>
                <w:rFonts w:ascii="Times New Roman" w:cs="Times New Roman" w:eastAsia="Times New Roman" w:hAnsi="Times New Roman"/>
                <w:sz w:val="13"/>
                <w:szCs w:val="13"/>
                <w:b w:val="1"/>
                <w:bCs w:val="1"/>
                <w:color w:val="auto"/>
                <w:vertAlign w:val="superscript"/>
              </w:rPr>
              <w:t>2</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5" w:lineRule="exact"/>
              <w:rPr>
                <w:sz w:val="20"/>
                <w:szCs w:val="20"/>
                <w:color w:val="auto"/>
              </w:rPr>
            </w:pPr>
            <w:r>
              <w:rPr>
                <w:rFonts w:ascii="Times New Roman" w:cs="Times New Roman" w:eastAsia="Times New Roman" w:hAnsi="Times New Roman"/>
                <w:sz w:val="9"/>
                <w:szCs w:val="9"/>
                <w:b w:val="1"/>
                <w:bCs w:val="1"/>
                <w:color w:val="auto"/>
              </w:rPr>
              <w:t>Average Tangible Net</w:t>
            </w:r>
          </w:p>
        </w:tc>
        <w:tc>
          <w:tcPr>
            <w:tcW w:w="130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Value "At Risk"</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Book Value</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Leverage</w:t>
            </w:r>
          </w:p>
        </w:tc>
        <w:tc>
          <w:tcPr>
            <w:tcW w:w="0" w:type="dxa"/>
            <w:vAlign w:val="bottom"/>
          </w:tcPr>
          <w:p>
            <w:pPr>
              <w:spacing w:after="0"/>
              <w:rPr>
                <w:sz w:val="1"/>
                <w:szCs w:val="1"/>
                <w:color w:val="auto"/>
              </w:rPr>
            </w:pPr>
          </w:p>
        </w:tc>
      </w:tr>
      <w:tr>
        <w:trPr>
          <w:trHeight w:val="131"/>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Quarter Ended</w:t>
            </w:r>
          </w:p>
        </w:tc>
        <w:tc>
          <w:tcPr>
            <w:tcW w:w="96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2"/>
                <w:szCs w:val="12"/>
                <w:b w:val="1"/>
                <w:bCs w:val="1"/>
                <w:color w:val="auto"/>
              </w:rPr>
              <w:t>Average Daily</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4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2"/>
                <w:szCs w:val="12"/>
                <w:b w:val="1"/>
                <w:bCs w:val="1"/>
                <w:color w:val="auto"/>
              </w:rPr>
              <w:t>Ending</w:t>
            </w:r>
          </w:p>
        </w:tc>
        <w:tc>
          <w:tcPr>
            <w:tcW w:w="9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8"/>
              </w:rPr>
              <w:t>Average Daily</w:t>
            </w:r>
          </w:p>
        </w:tc>
        <w:tc>
          <w:tcPr>
            <w:tcW w:w="160" w:type="dxa"/>
            <w:vAlign w:val="bottom"/>
          </w:tcPr>
          <w:p>
            <w:pPr>
              <w:spacing w:after="0"/>
              <w:rPr>
                <w:sz w:val="11"/>
                <w:szCs w:val="11"/>
                <w:color w:val="auto"/>
              </w:rPr>
            </w:pPr>
          </w:p>
        </w:tc>
        <w:tc>
          <w:tcPr>
            <w:tcW w:w="720" w:type="dxa"/>
            <w:vAlign w:val="bottom"/>
          </w:tcPr>
          <w:p>
            <w:pPr>
              <w:jc w:val="right"/>
              <w:ind w:right="192"/>
              <w:spacing w:after="0" w:line="131" w:lineRule="exact"/>
              <w:rPr>
                <w:sz w:val="20"/>
                <w:szCs w:val="20"/>
                <w:color w:val="auto"/>
              </w:rPr>
            </w:pPr>
            <w:r>
              <w:rPr>
                <w:rFonts w:ascii="Times New Roman" w:cs="Times New Roman" w:eastAsia="Times New Roman" w:hAnsi="Times New Roman"/>
                <w:sz w:val="12"/>
                <w:szCs w:val="12"/>
                <w:b w:val="1"/>
                <w:bCs w:val="1"/>
                <w:color w:val="auto"/>
              </w:rPr>
              <w:t>Ending</w:t>
            </w: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"At Risk" Leverage</w:t>
            </w: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70"/>
        </w:trPr>
        <w:tc>
          <w:tcPr>
            <w:tcW w:w="3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Daily Amount</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2"/>
                <w:szCs w:val="12"/>
                <w:b w:val="1"/>
                <w:bCs w:val="1"/>
                <w:color w:val="auto"/>
                <w:w w:val="99"/>
              </w:rPr>
              <w:t xml:space="preserve">during the Period </w:t>
            </w:r>
            <w:r>
              <w:rPr>
                <w:rFonts w:ascii="Times New Roman" w:cs="Times New Roman" w:eastAsia="Times New Roman" w:hAnsi="Times New Roman"/>
                <w:sz w:val="15"/>
                <w:szCs w:val="15"/>
                <w:b w:val="1"/>
                <w:bCs w:val="1"/>
                <w:color w:val="auto"/>
                <w:w w:val="99"/>
                <w:vertAlign w:val="superscript"/>
              </w:rPr>
              <w:t>3</w:t>
            </w:r>
          </w:p>
        </w:tc>
        <w:tc>
          <w:tcPr>
            <w:tcW w:w="1300" w:type="dxa"/>
            <w:vAlign w:val="bottom"/>
          </w:tcPr>
          <w:p>
            <w:pPr>
              <w:jc w:val="center"/>
              <w:spacing w:after="0" w:line="170" w:lineRule="exact"/>
              <w:rPr>
                <w:sz w:val="20"/>
                <w:szCs w:val="20"/>
                <w:color w:val="auto"/>
              </w:rPr>
            </w:pPr>
            <w:r>
              <w:rPr>
                <w:rFonts w:ascii="Times New Roman" w:cs="Times New Roman" w:eastAsia="Times New Roman" w:hAnsi="Times New Roman"/>
                <w:sz w:val="12"/>
                <w:szCs w:val="12"/>
                <w:b w:val="1"/>
                <w:bCs w:val="1"/>
                <w:color w:val="auto"/>
                <w:w w:val="99"/>
              </w:rPr>
              <w:t xml:space="preserve">Period End </w:t>
            </w:r>
            <w:r>
              <w:rPr>
                <w:rFonts w:ascii="Times New Roman" w:cs="Times New Roman" w:eastAsia="Times New Roman" w:hAnsi="Times New Roman"/>
                <w:sz w:val="15"/>
                <w:szCs w:val="15"/>
                <w:b w:val="1"/>
                <w:bCs w:val="1"/>
                <w:color w:val="auto"/>
                <w:w w:val="99"/>
                <w:vertAlign w:val="superscript"/>
              </w:rPr>
              <w:t>4</w:t>
            </w:r>
          </w:p>
        </w:tc>
        <w:tc>
          <w:tcPr>
            <w:tcW w:w="0" w:type="dxa"/>
            <w:vAlign w:val="bottom"/>
          </w:tcPr>
          <w:p>
            <w:pPr>
              <w:spacing w:after="0"/>
              <w:rPr>
                <w:sz w:val="1"/>
                <w:szCs w:val="1"/>
                <w:color w:val="auto"/>
              </w:rPr>
            </w:pPr>
          </w:p>
        </w:tc>
      </w:tr>
      <w:tr>
        <w:trPr>
          <w:trHeight w:val="189"/>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59,690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63,759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59,322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64,585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63,468</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50,784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55,507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48,730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49,894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7.0:1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47,548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52,643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7.0:1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47,073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52,888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7.9:1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41,546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42,408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10,320</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39,824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42,919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7.7:1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35,486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39,399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40,530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41,834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39,169</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19,116</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8.1:1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8.7:1</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42,997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44,243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46,570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47,940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44,150</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23,605</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8"/>
              </w:rPr>
              <w:t>7.8:1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7.5:1</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640" w:hanging="32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ind w:left="640" w:hanging="32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5" w:lineRule="exact"/>
        <w:rPr>
          <w:rFonts w:ascii="Times New Roman" w:cs="Times New Roman" w:eastAsia="Times New Roman" w:hAnsi="Times New Roman"/>
          <w:sz w:val="14"/>
          <w:szCs w:val="14"/>
          <w:color w:val="auto"/>
        </w:rPr>
      </w:pPr>
    </w:p>
    <w:p>
      <w:pPr>
        <w:ind w:left="640" w:hanging="322"/>
        <w:spacing w:after="0" w:line="25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jc w:val="both"/>
        <w:ind w:left="640" w:hanging="322"/>
        <w:spacing w:after="0" w:line="250"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Interest Expense and Aggregate Cost of Funds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following table summarizes our economic interest expense and aggregate cost of funds (non-GAAP measures) for fiscal years 2024, 2023 and 2022 (dollars in millions), which includes the combination of interest expense on repurchase agreements and other debt used to fund acquisitions of investment securities (GAAP measure), implied financing cost of our TBA securities and interest rate swap periodic income: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8" w:name="page39"/>
    <w:bookmarkEnd w:id="38"/>
    <w:tbl>
      <w:tblPr>
        <w:tblLayout w:type="fixed"/>
        <w:tblInd w:w="24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1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0" w:type="dxa"/>
            <w:vAlign w:val="bottom"/>
          </w:tcPr>
          <w:p>
            <w:pPr>
              <w:spacing w:after="0"/>
              <w:rPr>
                <w:sz w:val="1"/>
                <w:szCs w:val="1"/>
                <w:color w:val="auto"/>
              </w:rPr>
            </w:pPr>
          </w:p>
        </w:tc>
      </w:tr>
      <w:tr>
        <w:trPr>
          <w:trHeight w:val="127"/>
        </w:trPr>
        <w:tc>
          <w:tcPr>
            <w:tcW w:w="5080" w:type="dxa"/>
            <w:vAlign w:val="bottom"/>
            <w:tcBorders>
              <w:top w:val="single" w:sz="8" w:color="auto"/>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Investment securities repurchase agreement and other debt - interest expense (GAAP</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19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w:t>
            </w: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18"/>
                <w:szCs w:val="18"/>
                <w:color w:val="auto"/>
                <w:vertAlign w:val="superscript"/>
              </w:rPr>
              <w:t>2,3</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89"/>
        </w:trPr>
        <w:tc>
          <w:tcPr>
            <w:tcW w:w="518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income, net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2,5</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color w:val="auto"/>
                <w:w w:val="98"/>
              </w:rPr>
              <w:t>(675)</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4"/>
        </w:trPr>
        <w:tc>
          <w:tcPr>
            <w:tcW w:w="5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2"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40" w:hanging="32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8" w:lineRule="exact"/>
        <w:rPr>
          <w:rFonts w:ascii="Times New Roman" w:cs="Times New Roman" w:eastAsia="Times New Roman" w:hAnsi="Times New Roman"/>
          <w:sz w:val="14"/>
          <w:szCs w:val="14"/>
          <w:color w:val="auto"/>
        </w:rPr>
      </w:pPr>
    </w:p>
    <w:p>
      <w:pPr>
        <w:jc w:val="both"/>
        <w:ind w:left="640" w:hanging="322"/>
        <w:spacing w:after="0" w:line="248"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40" w:hanging="322"/>
        <w:spacing w:after="0" w:line="25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ind w:left="640" w:hanging="32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income is measured as a percent of average mortgage borrowings outstanding for the period.</w:t>
      </w:r>
    </w:p>
    <w:p>
      <w:pPr>
        <w:spacing w:after="0" w:line="236"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2024 and 2023 compared to the prior year period (in millions):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6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740" w:type="dxa"/>
            <w:vAlign w:val="bottom"/>
            <w:tcBorders>
              <w:top w:val="single" w:sz="8" w:color="auto"/>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2024 vs 2023</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6"/>
              </w:rPr>
              <w:t>Total Increase /</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120" w:type="dxa"/>
            <w:vAlign w:val="bottom"/>
          </w:tcPr>
          <w:p>
            <w:pPr>
              <w:spacing w:after="0"/>
              <w:rPr>
                <w:sz w:val="11"/>
                <w:szCs w:val="11"/>
                <w:color w:val="auto"/>
              </w:rPr>
            </w:pPr>
          </w:p>
        </w:tc>
        <w:tc>
          <w:tcPr>
            <w:tcW w:w="1260" w:type="dxa"/>
            <w:vAlign w:val="bottom"/>
          </w:tcPr>
          <w:p>
            <w:pPr>
              <w:jc w:val="right"/>
              <w:ind w:right="90"/>
              <w:spacing w:after="0" w:line="131"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0" w:type="dxa"/>
            <w:vAlign w:val="bottom"/>
          </w:tcPr>
          <w:p>
            <w:pPr>
              <w:spacing w:after="0"/>
              <w:rPr>
                <w:sz w:val="1"/>
                <w:szCs w:val="1"/>
                <w:color w:val="auto"/>
              </w:rPr>
            </w:pPr>
          </w:p>
        </w:tc>
      </w:tr>
      <w:tr>
        <w:trPr>
          <w:trHeight w:val="190"/>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5"/>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w w:val="95"/>
              </w:rPr>
              <w:t>644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tc>
        <w:tc>
          <w:tcPr>
            <w:tcW w:w="160" w:type="dxa"/>
            <w:vAlign w:val="bottom"/>
          </w:tcPr>
          <w:p>
            <w:pPr>
              <w:spacing w:after="0"/>
              <w:rPr>
                <w:sz w:val="16"/>
                <w:szCs w:val="16"/>
                <w:color w:val="auto"/>
              </w:rPr>
            </w:pPr>
          </w:p>
        </w:tc>
        <w:tc>
          <w:tcPr>
            <w:tcW w:w="1220" w:type="dxa"/>
            <w:vAlign w:val="bottom"/>
          </w:tcPr>
          <w:p>
            <w:pPr>
              <w:jc w:val="center"/>
              <w:ind w:left="810"/>
              <w:spacing w:after="0"/>
              <w:rPr>
                <w:sz w:val="20"/>
                <w:szCs w:val="20"/>
                <w:color w:val="auto"/>
              </w:rPr>
            </w:pPr>
            <w:r>
              <w:rPr>
                <w:rFonts w:ascii="Times New Roman" w:cs="Times New Roman" w:eastAsia="Times New Roman" w:hAnsi="Times New Roman"/>
                <w:sz w:val="14"/>
                <w:szCs w:val="14"/>
                <w:color w:val="auto"/>
                <w:w w:val="98"/>
              </w:rPr>
              <w:t>(214)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left="810"/>
              <w:spacing w:after="0"/>
              <w:rPr>
                <w:sz w:val="20"/>
                <w:szCs w:val="20"/>
                <w:color w:val="auto"/>
              </w:rPr>
            </w:pPr>
            <w:r>
              <w:rPr>
                <w:rFonts w:ascii="Times New Roman" w:cs="Times New Roman" w:eastAsia="Times New Roman" w:hAnsi="Times New Roman"/>
                <w:sz w:val="14"/>
                <w:szCs w:val="14"/>
                <w:color w:val="auto"/>
                <w:w w:val="98"/>
              </w:rPr>
              <w:t>(227)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w w:val="95"/>
              </w:rPr>
              <w:t>387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expense</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4"/>
                <w:szCs w:val="14"/>
                <w:color w:val="auto"/>
                <w:w w:val="95"/>
              </w:rPr>
              <w:t>817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96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44"/>
        </w:trPr>
        <w:tc>
          <w:tcPr>
            <w:tcW w:w="67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2023 vs 2022</w:t>
            </w:r>
          </w:p>
        </w:tc>
        <w:tc>
          <w:tcPr>
            <w:tcW w:w="1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gridSpan w:val="2"/>
            <w:shd w:val="clear" w:color="auto" w:fill="CCEEFF"/>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Total Increase /</w:t>
            </w:r>
          </w:p>
        </w:tc>
        <w:tc>
          <w:tcPr>
            <w:tcW w:w="14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9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0" w:type="dxa"/>
            <w:vAlign w:val="bottom"/>
          </w:tcPr>
          <w:p>
            <w:pPr>
              <w:spacing w:after="0"/>
              <w:rPr>
                <w:sz w:val="1"/>
                <w:szCs w:val="1"/>
                <w:color w:val="auto"/>
              </w:rPr>
            </w:pPr>
          </w:p>
        </w:tc>
      </w:tr>
      <w:tr>
        <w:trPr>
          <w:trHeight w:val="196"/>
        </w:trPr>
        <w:tc>
          <w:tcPr>
            <w:tcW w:w="6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2"/>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9"/>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Our average mortgage borrowings, inclusive of TBAs, increased 11% and decreased 13% for fiscal years 2024 and 2023, respectively, consistent with changes to our average investment portfolio. The average interest rate on our mortgage borrowings, excluding the impact of interest rate swap periodic income, increased 18 and 372 basis points for fiscal years 2024 and 2023, respectively, due to higher short-term interest rates.</w:t>
      </w:r>
    </w:p>
    <w:p>
      <w:pPr>
        <w:spacing w:after="0" w:line="123"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Interest rate swap periodic income declined for fiscal years 2024 and 2023 primarily due to higher pay rates on our pay-fixed swaps largely driven by the maturity of low cost interest rate swaps. The following is a summary of our interest rate swaps outstanding during fiscal years 2024, 2023 and 2022 (dollars in millions). Amounts exclude forward starting swaps not yet in effect.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tbl>
      <w:tblPr>
        <w:tblLayout w:type="fixed"/>
        <w:tblInd w:w="14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 Outstanding</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54,658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44,027</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41,363</w:t>
            </w: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5,389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20,631</w:t>
            </w:r>
          </w:p>
        </w:tc>
        <w:tc>
          <w:tcPr>
            <w:tcW w:w="0" w:type="dxa"/>
            <w:vAlign w:val="bottom"/>
          </w:tcPr>
          <w:p>
            <w:pPr>
              <w:spacing w:after="0"/>
              <w:rPr>
                <w:sz w:val="1"/>
                <w:szCs w:val="1"/>
                <w:color w:val="auto"/>
              </w:rPr>
            </w:pPr>
          </w:p>
        </w:tc>
      </w:tr>
      <w:tr>
        <w:trPr>
          <w:trHeight w:val="19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60,047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54,027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61,994</w:t>
            </w: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43,351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47,012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49,334</w:t>
            </w:r>
          </w:p>
        </w:tc>
        <w:tc>
          <w:tcPr>
            <w:tcW w:w="0" w:type="dxa"/>
            <w:vAlign w:val="bottom"/>
          </w:tcPr>
          <w:p>
            <w:pPr>
              <w:spacing w:after="0"/>
              <w:rPr>
                <w:sz w:val="1"/>
                <w:szCs w:val="1"/>
                <w:color w:val="auto"/>
              </w:rPr>
            </w:pPr>
          </w:p>
        </w:tc>
      </w:tr>
      <w:tr>
        <w:trPr>
          <w:trHeight w:val="221"/>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9" w:right="339" w:bottom="1440" w:gutter="0" w:footer="0" w:header="0"/>
        </w:sectPr>
      </w:pP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Average interest rate swap pay-fixed rate (excluding forward starting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-88265</wp:posOffset>
            </wp:positionV>
            <wp:extent cx="6953885" cy="124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53885" cy="124460"/>
                    </a:xfrm>
                    <a:prstGeom prst="rect">
                      <a:avLst/>
                    </a:prstGeom>
                    <a:noFill/>
                  </pic:spPr>
                </pic:pic>
              </a:graphicData>
            </a:graphic>
          </wp:anchor>
        </w:drawing>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27940</wp:posOffset>
            </wp:positionV>
            <wp:extent cx="6953885" cy="149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53885" cy="14922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0.55 %</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0.25 %</w:t>
            </w:r>
          </w:p>
        </w:tc>
      </w:tr>
      <w:tr>
        <w:trPr>
          <w:trHeight w:val="196"/>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23"/>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6"/>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660" w:space="720"/>
            <w:col w:w="3860"/>
          </w:cols>
          <w:pgMar w:left="320" w:top="899" w:right="339" w:bottom="1440" w:gutter="0" w:footer="0" w:header="0"/>
          <w:type w:val="continuous"/>
        </w:sectPr>
      </w:pPr>
    </w:p>
    <w:p>
      <w:pPr>
        <w:spacing w:after="0" w:line="43"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For fiscal years 2024, 2023 and 2022, we had an average forward starting net pay-fixed rate swap balance of $672 million, $43 million and $48 million, respectively. Forward starting interest rate swaps do not impact our economic interest expense and aggregate cost of funds until they commence accruing net interest settlements on their forward start 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Interest Spread</w:t>
      </w:r>
    </w:p>
    <w:p>
      <w:pPr>
        <w:spacing w:after="0" w:line="174" w:lineRule="exact"/>
        <w:rPr>
          <w:sz w:val="20"/>
          <w:szCs w:val="20"/>
          <w:color w:val="auto"/>
        </w:rPr>
      </w:pPr>
    </w:p>
    <w:p>
      <w:pPr>
        <w:jc w:val="both"/>
        <w:ind w:firstLine="392"/>
        <w:spacing w:after="0" w:line="277" w:lineRule="auto"/>
        <w:rPr>
          <w:sz w:val="20"/>
          <w:szCs w:val="20"/>
          <w:color w:val="auto"/>
        </w:rPr>
      </w:pPr>
      <w:r>
        <w:rPr>
          <w:rFonts w:ascii="Times New Roman" w:cs="Times New Roman" w:eastAsia="Times New Roman" w:hAnsi="Times New Roman"/>
          <w:sz w:val="17"/>
          <w:szCs w:val="17"/>
          <w:color w:val="auto"/>
        </w:rPr>
        <w:t>The following table presents a summary of our net interest spread (including the impact of TBA dollar roll income, interest rate swaps and excluding "catch-up" premium amortization) for fiscal years 2024, 2023 and 2022:</w:t>
      </w:r>
    </w:p>
    <w:tbl>
      <w:tblPr>
        <w:tblLayout w:type="fixed"/>
        <w:tblInd w:w="12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80" w:type="dxa"/>
            <w:vAlign w:val="bottom"/>
            <w:gridSpan w:val="2"/>
            <w:vMerge w:val="continue"/>
          </w:tcPr>
          <w:p>
            <w:pPr>
              <w:spacing w:after="0"/>
              <w:rPr>
                <w:sz w:val="15"/>
                <w:szCs w:val="15"/>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21"/>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Spread and Dollar Roll Income</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fiscal years 2024, 2023 and 2022 (dollars in millions):</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75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available (attributable) to common stockholders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r>
      <w:tr>
        <w:trPr>
          <w:trHeight w:val="19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exclude realized and unrealized (gains) losses reported through net income: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 on sale of investment securities,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r>
      <w:tr>
        <w:trPr>
          <w:trHeight w:val="189"/>
        </w:trPr>
        <w:tc>
          <w:tcPr>
            <w:tcW w:w="7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20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derivative instruments and other securities,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r>
      <w:tr>
        <w:trPr>
          <w:trHeight w:val="19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 to exclude unrealized (gain) loss reported through other comprehensive income: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 at fair value through other comprehensive income,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19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Estimated "catch-up" premium amortization benefit due to change in CPR forecast </w:t>
            </w:r>
            <w:r>
              <w:rPr>
                <w:rFonts w:ascii="Times New Roman" w:cs="Times New Roman" w:eastAsia="Times New Roman" w:hAnsi="Times New Roman"/>
                <w:sz w:val="9"/>
                <w:szCs w:val="9"/>
                <w:color w:val="auto"/>
              </w:rPr>
              <w:t>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9"/>
        </w:trPr>
        <w:tc>
          <w:tcPr>
            <w:tcW w:w="7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9"/>
                <w:szCs w:val="9"/>
                <w:color w:val="auto"/>
              </w:rPr>
              <w:t>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20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9"/>
                <w:szCs w:val="9"/>
                <w:color w:val="auto"/>
              </w:rPr>
              <w:t>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8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9"/>
                <w:szCs w:val="9"/>
                <w:color w:val="auto"/>
              </w:rPr>
              <w:t>2,3</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21"/>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spread and dollar roll income available to common stockholders (non-GAAP measure)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7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1"/>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538.1</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7"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40" w:name="page41"/>
    <w:bookmarkEnd w:id="40"/>
    <w:p>
      <w:pPr>
        <w:ind w:left="640" w:hanging="322"/>
        <w:spacing w:after="0" w:line="284"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Investment Securities, Net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is a summary of our net gain (loss) on investment securities for fiscal years 2024, 2023 and 2022 (in millions):</w:t>
      </w:r>
    </w:p>
    <w:p>
      <w:pPr>
        <w:spacing w:after="0" w:line="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18"/>
                <w:szCs w:val="18"/>
                <w:b w:val="1"/>
                <w:bCs w:val="1"/>
                <w:color w:val="auto"/>
                <w:vertAlign w:val="superscript"/>
              </w:rPr>
              <w:t>1</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investment securities, net</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0" w:type="dxa"/>
            <w:vAlign w:val="bottom"/>
          </w:tcPr>
          <w:p>
            <w:pPr>
              <w:spacing w:after="0"/>
              <w:rPr>
                <w:sz w:val="1"/>
                <w:szCs w:val="1"/>
                <w:color w:val="auto"/>
              </w:rPr>
            </w:pPr>
          </w:p>
        </w:tc>
      </w:tr>
      <w:tr>
        <w:trPr>
          <w:trHeight w:val="196"/>
        </w:trPr>
        <w:tc>
          <w:tcPr>
            <w:tcW w:w="7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Unrealized (loss) gain on investment securities measured at fair value through net income, net </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0" w:type="dxa"/>
            <w:vAlign w:val="bottom"/>
          </w:tcPr>
          <w:p>
            <w:pPr>
              <w:spacing w:after="0"/>
              <w:rPr>
                <w:sz w:val="1"/>
                <w:szCs w:val="1"/>
                <w:color w:val="auto"/>
              </w:rPr>
            </w:pPr>
          </w:p>
        </w:tc>
      </w:tr>
      <w:tr>
        <w:trPr>
          <w:trHeight w:val="18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investment securities measured at fair value through other comprehensive income, net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9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(loss) gain on investment securities, net</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ind w:left="640" w:hanging="32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Derivative Instruments and Other Securities, Net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is a summary of our gain (loss) on derivative instruments and other securities, net for fiscal years 2024, 2023 and 2022 (in millions):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73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7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TBA securities, mark-to-market gain (loss)</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 periodic income</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default swaps - buy protection</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Payer swaptions</w:t>
            </w:r>
          </w:p>
        </w:tc>
        <w:tc>
          <w:tcPr>
            <w:tcW w:w="78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Recceiver swaptions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8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U.S. Treasury futures contracts - short position</w:t>
            </w:r>
          </w:p>
        </w:tc>
        <w:tc>
          <w:tcPr>
            <w:tcW w:w="78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 income (expense)</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gain (loss)</w:t>
            </w:r>
          </w:p>
        </w:tc>
        <w:tc>
          <w:tcPr>
            <w:tcW w:w="7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4,630</w:t>
            </w:r>
          </w:p>
        </w:tc>
      </w:tr>
      <w:tr>
        <w:trPr>
          <w:trHeight w:val="20"/>
        </w:trPr>
        <w:tc>
          <w:tcPr>
            <w:tcW w:w="7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For further details regarding our use of derivative instruments and related activity refer to Notes 2 and 5 of our Consolidated Financial Statements in this Form 10-K.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2"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and Item 7A. </w:t>
      </w:r>
      <w:r>
        <w:rPr>
          <w:rFonts w:ascii="Times New Roman" w:cs="Times New Roman" w:eastAsia="Times New Roman" w:hAnsi="Times New Roman"/>
          <w:sz w:val="17"/>
          <w:szCs w:val="17"/>
          <w:i w:val="1"/>
          <w:iCs w:val="1"/>
          <w:color w:val="auto"/>
        </w:rPr>
        <w:t>Quantitative and Qualitative Disclosures of Market Risks</w:t>
      </w:r>
      <w:r>
        <w:rPr>
          <w:rFonts w:ascii="Times New Roman" w:cs="Times New Roman" w:eastAsia="Times New Roman" w:hAnsi="Times New Roman"/>
          <w:sz w:val="17"/>
          <w:szCs w:val="17"/>
          <w:color w:val="auto"/>
        </w:rPr>
        <w:t xml:space="preserve"> in this Form 10-K.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Leverage and Financing Sources</w:t>
      </w:r>
    </w:p>
    <w:p>
      <w:pPr>
        <w:spacing w:after="0" w:line="174"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7.2x and 7.0x as of December 31, 2024 and 2023, respectively. The following table includes a summary of our mortgage borrowings outstanding as of December 31, 2024 and 2023 (dollars in millions). For additional details of our mortgage borrowings refer to Notes 2, 4 and 5 to our Consolidated Financial Statements in this Form 10-K.</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574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59,362</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48,879</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8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59,426</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21"/>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51" w:lineRule="auto"/>
        <w:tabs>
          <w:tab w:leader="none" w:pos="638"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$1.4 billion and $1.5 billion as of December 31, 2024 and 2023, respectively.</w:t>
      </w:r>
    </w:p>
    <w:p>
      <w:pPr>
        <w:spacing w:after="0" w:line="1" w:lineRule="exact"/>
        <w:rPr>
          <w:rFonts w:ascii="Arial" w:cs="Arial" w:eastAsia="Arial" w:hAnsi="Arial"/>
          <w:sz w:val="14"/>
          <w:szCs w:val="14"/>
          <w:color w:val="auto"/>
        </w:rPr>
      </w:pPr>
    </w:p>
    <w:p>
      <w:pPr>
        <w:ind w:left="640" w:hanging="322"/>
        <w:spacing w:after="0" w:line="266"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and 2023, 47% and 43%, respectively, of our total repurchase agreements, including 49% and 45% or our investment securities repurchase agreements, respectively, were funded through the Fixed Income Clearing Corporation's GCF Repo service.</w:t>
      </w:r>
    </w:p>
    <w:p>
      <w:pPr>
        <w:spacing w:after="0" w:line="11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19"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1"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Collateral Requirements and Unencumbered Assets</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19"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2024, we had met all our margin requirements.</w:t>
      </w:r>
    </w:p>
    <w:p>
      <w:pPr>
        <w:spacing w:after="0" w:line="121"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2024, approximately 9% of our investment portfolio consisted of TBA securities, which are not subject to monthly principal pay-downs. The remainder of our portfolio primarily consisted of Agency RMBS, which had an average one-year CPR forecast of 7% as of December 31, 2024.</w:t>
      </w:r>
    </w:p>
    <w:p>
      <w:pPr>
        <w:spacing w:after="0" w:line="122"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22"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Haircut levels and minimum margin requirements imposed by our counterparties reduce the amount of our unencumbered assets and limit the amount we can borrow against our investment securities. During the fiscal year 2024, haircuts on our repo funding arrangements remained stable. As of December 31, 2024, the weighted average haircut on our repurchase agreements was approximately 3.2% of the value of our collateral, compared to 3.1% as of December 31, 2023.</w:t>
      </w:r>
    </w:p>
    <w:p>
      <w:pPr>
        <w:spacing w:after="0" w:line="110"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To mitigate the risk of margins calls, we seek to maintain excess liquidity by holding unencumbered liquid assets that can be used to satisfy collateral requirements, collateralize additional borrowings or sold for cash. As of December 31, 2024, our unencumbered assets totaled approximately $6.2 billion, or 67% of tangible equity, consisting of $6.1 billion of cash and unencumbered Agency RMBS and $0.1 billion of unencumbered credit assets. This compares to $5.2 billion of unencumbered assets, or 67% of tangible equity, as of December 31, 2023, consisting of $5.1 billion of cash and unencumbered Agency RMBS and $0.1 billion of unencumbered credit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Counterparty Risk</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3" w:name="page44"/>
    <w:bookmarkEnd w:id="43"/>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As of December 31, 2024,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December 31, 2024, 9% of our tangible stockholder's equity was at risk with the FICC. Excluding central clearing exchanges, as of December 31, 2024, our amount at risk with any counterparty to our derivative agreements was less than 1% of our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Sales</w:t>
      </w:r>
    </w:p>
    <w:p>
      <w:pPr>
        <w:spacing w:after="0" w:line="17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7"/>
          <w:szCs w:val="17"/>
          <w:i w:val="1"/>
          <w:iCs w:val="1"/>
          <w:color w:val="auto"/>
        </w:rPr>
        <w:t>Trends and Recent Market Impacts</w:t>
      </w:r>
      <w:r>
        <w:rPr>
          <w:rFonts w:ascii="Times New Roman" w:cs="Times New Roman" w:eastAsia="Times New Roman" w:hAnsi="Times New Roman"/>
          <w:sz w:val="17"/>
          <w:szCs w:val="17"/>
          <w:color w:val="auto"/>
        </w:rPr>
        <w:t xml:space="preserve"> of this Management Discussion and Analysis for further information regarding Agency RMBS and TBA market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Markets</w:t>
      </w:r>
    </w:p>
    <w:p>
      <w:pPr>
        <w:spacing w:after="0" w:line="17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Please refer to Note 9 of our Consolidated Financial Statements in this Form 10-K for further details regarding our recent equity capital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72"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2024,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2024, we had not guaranteed obligations of unconsolidated entities or entered into a commitment or intent to provide funding to such entities.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19"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Forward-looking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57" w:lineRule="exact"/>
        <w:rPr>
          <w:sz w:val="20"/>
          <w:szCs w:val="20"/>
          <w:color w:val="auto"/>
        </w:rPr>
      </w:pPr>
    </w:p>
    <w:p>
      <w:pPr>
        <w:ind w:left="640" w:hanging="243"/>
        <w:spacing w:after="0" w:line="288"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yield curve;</w:t>
      </w:r>
    </w:p>
    <w:p>
      <w:pPr>
        <w:spacing w:after="0" w:line="31" w:lineRule="exact"/>
        <w:rPr>
          <w:rFonts w:ascii="Times New Roman" w:cs="Times New Roman" w:eastAsia="Times New Roman" w:hAnsi="Times New Roman"/>
          <w:sz w:val="17"/>
          <w:szCs w:val="17"/>
          <w:color w:val="auto"/>
        </w:rPr>
      </w:pPr>
    </w:p>
    <w:p>
      <w:pPr>
        <w:ind w:left="620" w:hanging="223"/>
        <w:spacing w:after="0" w:line="233" w:lineRule="auto"/>
        <w:tabs>
          <w:tab w:leader="none" w:pos="62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level, degree and extent of volatility in interest rates or the yield on our assets relative to interest rate benchmarks;</w:t>
      </w:r>
    </w:p>
    <w:p>
      <w:pPr>
        <w:spacing w:after="0" w:line="34" w:lineRule="exact"/>
        <w:rPr>
          <w:rFonts w:ascii="Arial" w:cs="Arial" w:eastAsia="Arial" w:hAnsi="Arial"/>
          <w:sz w:val="21"/>
          <w:szCs w:val="21"/>
          <w:color w:val="auto"/>
        </w:rPr>
      </w:pPr>
    </w:p>
    <w:p>
      <w:pPr>
        <w:ind w:left="620" w:hanging="22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mortgage prepayment rates on the loans underlying our Agency RMBS;</w:t>
      </w:r>
    </w:p>
    <w:p>
      <w:pPr>
        <w:spacing w:after="0" w:line="65"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terms of financing and our hedge positions;</w:t>
      </w:r>
    </w:p>
    <w:p>
      <w:pPr>
        <w:spacing w:after="0" w:line="65" w:lineRule="exact"/>
        <w:rPr>
          <w:rFonts w:ascii="Times New Roman" w:cs="Times New Roman" w:eastAsia="Times New Roman" w:hAnsi="Times New Roman"/>
          <w:sz w:val="17"/>
          <w:szCs w:val="17"/>
          <w:color w:val="auto"/>
        </w:rPr>
      </w:pPr>
    </w:p>
    <w:p>
      <w:pPr>
        <w:ind w:left="640" w:hanging="243"/>
        <w:spacing w:after="0" w:line="288"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value of our assets, including from changes in net interest spreads, market liquidity or depth, and changes in our "at risk" leverage or hedge positions;</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mitigation strategies;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4" w:name="page45"/>
    <w:bookmarkEnd w:id="44"/>
    <w:p>
      <w:pPr>
        <w:ind w:left="640" w:right="460" w:hanging="243"/>
        <w:spacing w:after="0" w:line="279"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the market for Agency RMBS and other mortgage securities, including changes in the available supply of such securities or investor appetite therefor;</w:t>
      </w:r>
    </w:p>
    <w:p>
      <w:pPr>
        <w:spacing w:after="0" w:line="2"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the federal, state, or local governments that affect the economy, the housing sector or financial markets;</w:t>
      </w:r>
    </w:p>
    <w:p>
      <w:pPr>
        <w:spacing w:after="0" w:line="65" w:lineRule="exact"/>
        <w:rPr>
          <w:rFonts w:ascii="Times New Roman" w:cs="Times New Roman" w:eastAsia="Times New Roman" w:hAnsi="Times New Roman"/>
          <w:sz w:val="17"/>
          <w:szCs w:val="17"/>
          <w:color w:val="auto"/>
        </w:rPr>
      </w:pPr>
    </w:p>
    <w:p>
      <w:pPr>
        <w:jc w:val="both"/>
        <w:ind w:left="640" w:hanging="243"/>
        <w:spacing w:after="0" w:line="259"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personnel, operational resources, information technology and other systems to conduct our operations;</w:t>
      </w:r>
    </w:p>
    <w:p>
      <w:pPr>
        <w:ind w:left="640" w:right="40" w:hanging="243"/>
        <w:spacing w:after="0" w:line="25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spacing w:after="0" w:line="21" w:lineRule="exact"/>
        <w:rPr>
          <w:rFonts w:ascii="Times New Roman" w:cs="Times New Roman" w:eastAsia="Times New Roman" w:hAnsi="Times New Roman"/>
          <w:sz w:val="17"/>
          <w:szCs w:val="17"/>
          <w:color w:val="auto"/>
        </w:rPr>
      </w:pPr>
    </w:p>
    <w:p>
      <w:pPr>
        <w:ind w:left="620" w:hanging="223"/>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actions that affect our status as a REIT or our exemption from the Investment Company Act of 1940.</w:t>
      </w:r>
    </w:p>
    <w:p>
      <w:pPr>
        <w:spacing w:after="0" w:line="17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Factors </w:t>
      </w:r>
      <w:r>
        <w:rPr>
          <w:rFonts w:ascii="Times New Roman" w:cs="Times New Roman" w:eastAsia="Times New Roman" w:hAnsi="Times New Roman"/>
          <w:sz w:val="17"/>
          <w:szCs w:val="17"/>
          <w:color w:val="auto"/>
        </w:rPr>
        <w:t>in Part I of this document. We caution readers not to place undue reliance on our forward-looking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 AND SOCIAL MEDIA DISCLOSURE</w:t>
      </w:r>
    </w:p>
    <w:p>
      <w:pPr>
        <w:spacing w:after="0" w:line="172"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4"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19"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21"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5" w:name="page46"/>
    <w:bookmarkEnd w:id="45"/>
    <w:p>
      <w:pPr>
        <w:jc w:val="both"/>
        <w:spacing w:after="0" w:line="295" w:lineRule="auto"/>
        <w:rPr>
          <w:sz w:val="20"/>
          <w:szCs w:val="20"/>
          <w:color w:val="auto"/>
        </w:rPr>
      </w:pPr>
      <w:r>
        <w:rPr>
          <w:rFonts w:ascii="Times New Roman" w:cs="Times New Roman" w:eastAsia="Times New Roman" w:hAnsi="Times New Roman"/>
          <w:sz w:val="17"/>
          <w:szCs w:val="17"/>
          <w:color w:val="auto"/>
        </w:rPr>
        <w:t>and decrease when interest rates fall. This "negative convexity" generally increases the interest rate exposure of our investment portfolio in excess of what is measured by duration alone.</w:t>
      </w:r>
    </w:p>
    <w:p>
      <w:pPr>
        <w:spacing w:after="0" w:line="94"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0.3 years as of December 31, 2024, compared to -0.5 years as of 2023.</w:t>
      </w:r>
    </w:p>
    <w:p>
      <w:pPr>
        <w:spacing w:after="0" w:line="32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The table below quantifies the estimated changes in the fair value of our investment portfolio (including derivatives and other securities used for hedging purposes) and in our tangible net book value per common share as of December 31, 2024 and 2023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2024 and 2023.</w:t>
      </w:r>
    </w:p>
    <w:p>
      <w:pPr>
        <w:spacing w:after="0" w:line="119"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0" w:type="dxa"/>
            <w:vAlign w:val="bottom"/>
            <w:tcBorders>
              <w:top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26"/>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13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1440" w:type="dxa"/>
            <w:vAlign w:val="bottom"/>
            <w:gridSpan w:val="2"/>
            <w:vMerge w:val="continue"/>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0" w:type="dxa"/>
            <w:vAlign w:val="bottom"/>
          </w:tcPr>
          <w:p>
            <w:pPr>
              <w:spacing w:after="0"/>
              <w:rPr>
                <w:sz w:val="1"/>
                <w:szCs w:val="1"/>
                <w:color w:val="auto"/>
              </w:rPr>
            </w:pPr>
          </w:p>
        </w:tc>
      </w:tr>
      <w:tr>
        <w:trPr>
          <w:trHeight w:val="132"/>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3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Portfolio Market</w:t>
            </w:r>
          </w:p>
        </w:tc>
        <w:tc>
          <w:tcPr>
            <w:tcW w:w="148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14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0" w:type="dxa"/>
            <w:vAlign w:val="bottom"/>
          </w:tcPr>
          <w:p>
            <w:pPr>
              <w:spacing w:after="0"/>
              <w:rPr>
                <w:sz w:val="1"/>
                <w:szCs w:val="1"/>
                <w:color w:val="auto"/>
              </w:rPr>
            </w:pPr>
          </w:p>
        </w:tc>
      </w:tr>
      <w:tr>
        <w:trPr>
          <w:trHeight w:val="184"/>
        </w:trPr>
        <w:tc>
          <w:tcPr>
            <w:tcW w:w="3100" w:type="dxa"/>
            <w:vAlign w:val="bottom"/>
            <w:gridSpan w:val="2"/>
            <w:vMerge w:val="continue"/>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+0.7%</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+0.7%</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40" w:hanging="322"/>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Prepayment Risk and Extension Risk</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1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19"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mortgages at a slower pace than originally anticipated, adversely impacting our net interest spread, and thus our net interest income.</w:t>
      </w:r>
    </w:p>
    <w:p>
      <w:pPr>
        <w:spacing w:after="0" w:line="170"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2024 and 2023, our investment securities (excluding TBAs) had a weighted average projected CPR of 7.7% and 11.4%, respectively, and a weighted average yield of 4.77% and 4.41%,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87"/>
        </w:trPr>
        <w:tc>
          <w:tcPr>
            <w:tcW w:w="3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70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26"/>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6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Asset Yield </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89"/>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-75 Basis Points</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11.7%</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4.70%</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17.8%</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4.33%</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4.73%</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4.36%</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4.39%</w:t>
            </w:r>
          </w:p>
        </w:tc>
        <w:tc>
          <w:tcPr>
            <w:tcW w:w="0" w:type="dxa"/>
            <w:vAlign w:val="bottom"/>
          </w:tcPr>
          <w:p>
            <w:pPr>
              <w:spacing w:after="0"/>
              <w:rPr>
                <w:sz w:val="1"/>
                <w:szCs w:val="1"/>
                <w:color w:val="auto"/>
              </w:rPr>
            </w:pPr>
          </w:p>
        </w:tc>
      </w:tr>
      <w:tr>
        <w:trPr>
          <w:trHeight w:val="189"/>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4.77%</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11.4%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4.44%</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4.79%</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4.46%</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Derived from models that are dependent on inputs and assumptions and assumes a static portfolio. Actual results could differ materially from these estimates. Table excludes TBA securities.</w:t>
      </w:r>
    </w:p>
    <w:p>
      <w:pPr>
        <w:spacing w:after="0" w:line="10" w:lineRule="exact"/>
        <w:rPr>
          <w:rFonts w:ascii="Times New Roman" w:cs="Times New Roman" w:eastAsia="Times New Roman" w:hAnsi="Times New Roman"/>
          <w:sz w:val="13"/>
          <w:szCs w:val="13"/>
          <w:color w:val="auto"/>
        </w:rPr>
      </w:pPr>
    </w:p>
    <w:p>
      <w:pPr>
        <w:ind w:left="640" w:hanging="322"/>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Spread Risk</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2024 and 2023 should spreads widen or tighten by 10, 25 and 50 basis points. The estimated impact of changes in spreads is in addition to our interest rate shock sensitivity included in the interest rate shock table above. The table below assumes a spread duration of 5.1 and 4.7 years as of December 31, 2024 and 2023,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3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72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13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8"/>
              </w:rPr>
              <w:t>Estimated Change in</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1380" w:type="dxa"/>
            <w:vAlign w:val="bottom"/>
            <w:gridSpan w:val="2"/>
            <w:vMerge w:val="continue"/>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Tangible Net Book</w:t>
            </w:r>
          </w:p>
        </w:tc>
        <w:tc>
          <w:tcPr>
            <w:tcW w:w="0" w:type="dxa"/>
            <w:vAlign w:val="bottom"/>
          </w:tcPr>
          <w:p>
            <w:pPr>
              <w:spacing w:after="0"/>
              <w:rPr>
                <w:sz w:val="1"/>
                <w:szCs w:val="1"/>
                <w:color w:val="auto"/>
              </w:rPr>
            </w:pPr>
          </w:p>
        </w:tc>
      </w:tr>
      <w:tr>
        <w:trPr>
          <w:trHeight w:val="144"/>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4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4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13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Portfolio Market</w:t>
            </w:r>
          </w:p>
        </w:tc>
        <w:tc>
          <w:tcPr>
            <w:tcW w:w="13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0" w:type="dxa"/>
            <w:vAlign w:val="bottom"/>
          </w:tcPr>
          <w:p>
            <w:pPr>
              <w:spacing w:after="0"/>
              <w:rPr>
                <w:sz w:val="1"/>
                <w:szCs w:val="1"/>
                <w:color w:val="auto"/>
              </w:rPr>
            </w:pPr>
          </w:p>
        </w:tc>
      </w:tr>
      <w:tr>
        <w:trPr>
          <w:trHeight w:val="190"/>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9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+24.5%</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+2.3%</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+23.1%</w:t>
            </w:r>
          </w:p>
        </w:tc>
        <w:tc>
          <w:tcPr>
            <w:tcW w:w="0" w:type="dxa"/>
            <w:vAlign w:val="bottom"/>
          </w:tcPr>
          <w:p>
            <w:pPr>
              <w:spacing w:after="0"/>
              <w:rPr>
                <w:sz w:val="1"/>
                <w:szCs w:val="1"/>
                <w:color w:val="auto"/>
              </w:rPr>
            </w:pPr>
          </w:p>
        </w:tc>
      </w:tr>
      <w:tr>
        <w:trPr>
          <w:trHeight w:val="18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+12.3%</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+11.6%</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+4.6%</w:t>
            </w:r>
          </w:p>
        </w:tc>
        <w:tc>
          <w:tcPr>
            <w:tcW w:w="0" w:type="dxa"/>
            <w:vAlign w:val="bottom"/>
          </w:tcPr>
          <w:p>
            <w:pPr>
              <w:spacing w:after="0"/>
              <w:rPr>
                <w:sz w:val="1"/>
                <w:szCs w:val="1"/>
                <w:color w:val="auto"/>
              </w:rPr>
            </w:pPr>
          </w:p>
        </w:tc>
      </w:tr>
      <w:tr>
        <w:trPr>
          <w:trHeight w:val="18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-11.6%</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-24.5%</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2"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40" w:hanging="322"/>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174" w:lineRule="exact"/>
        <w:rPr>
          <w:sz w:val="20"/>
          <w:szCs w:val="20"/>
          <w:color w:val="auto"/>
        </w:rPr>
      </w:pPr>
    </w:p>
    <w:p>
      <w:pPr>
        <w:jc w:val="both"/>
        <w:ind w:firstLine="431"/>
        <w:spacing w:after="0" w:line="273" w:lineRule="auto"/>
        <w:rPr>
          <w:sz w:val="20"/>
          <w:szCs w:val="20"/>
          <w:color w:val="auto"/>
        </w:rPr>
      </w:pPr>
      <w:r>
        <w:rPr>
          <w:rFonts w:ascii="Times New Roman" w:cs="Times New Roman" w:eastAsia="Times New Roman" w:hAnsi="Times New Roman"/>
          <w:sz w:val="17"/>
          <w:szCs w:val="17"/>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32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 xml:space="preserve">As of December 31, 2024, we believe that we have sufficient liquidity and capital resources available to execute our business strategy (see </w:t>
      </w:r>
      <w:r>
        <w:rPr>
          <w:rFonts w:ascii="Times New Roman" w:cs="Times New Roman" w:eastAsia="Times New Roman" w:hAnsi="Times New Roman"/>
          <w:sz w:val="17"/>
          <w:szCs w:val="17"/>
          <w:i w:val="1"/>
          <w:iCs w:val="1"/>
          <w:color w:val="auto"/>
        </w:rPr>
        <w:t>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Capital Resources </w:t>
      </w:r>
      <w:r>
        <w:rPr>
          <w:rFonts w:ascii="Times New Roman" w:cs="Times New Roman" w:eastAsia="Times New Roman" w:hAnsi="Times New Roman"/>
          <w:sz w:val="17"/>
          <w:szCs w:val="17"/>
          <w:color w:val="auto"/>
        </w:rPr>
        <w:t>in this Form 10-K for additional details). However, should the value of our collateral or the value of our derivative instruments suddenly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74" w:lineRule="exact"/>
        <w:rPr>
          <w:sz w:val="20"/>
          <w:szCs w:val="20"/>
          <w:color w:val="auto"/>
        </w:rPr>
      </w:pPr>
    </w:p>
    <w:p>
      <w:pPr>
        <w:jc w:val="both"/>
        <w:ind w:firstLine="431"/>
        <w:spacing w:after="0" w:line="273" w:lineRule="auto"/>
        <w:rPr>
          <w:sz w:val="20"/>
          <w:szCs w:val="20"/>
          <w:color w:val="auto"/>
        </w:rPr>
      </w:pPr>
      <w:r>
        <w:rPr>
          <w:rFonts w:ascii="Times New Roman" w:cs="Times New Roman" w:eastAsia="Times New Roman" w:hAnsi="Times New Roman"/>
          <w:sz w:val="17"/>
          <w:szCs w:val="17"/>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326"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December 31, 2024, our maximum amount at risk with any counterparty related to our repurchase agreements and derivative agreements was less than 2% and less than 1%, respectively, of tangible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65"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The consolidated financial statements as of December 31, 2024 and 2023 and for fiscal years 2024, 2023 and 2022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audits. For further information refer to the Ernst &amp; Young LLP (PCAOB ID: 42) audit opinion included in this Item 8 of our Annual Report.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20"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70"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Management assessed the effectiveness of our internal control over financial reporting as of December 31, 2024,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2024. The effectiveness of our internal control over financial reporting as of December 31, 2024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9" w:name="page50"/>
    <w:bookmarkEnd w:id="49"/>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AGNC Investment Corp.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audited AGNC Investment Corp.’s internal control over financial reporting as of December 31, 2024, based on criteria established in Internal Control Integrated Framework issued by the Committee of Sponsoring Organizations of the Treadway Commission (2013 framework) (the COSO criteria). In our opinion, AGNC Investment Corp. (the Company) maintained, in all material respects, effective internal control over financial reporting as of December 31, 2024, based on the COSO criteria</w:t>
      </w:r>
      <w:r>
        <w:rPr>
          <w:rFonts w:ascii="Times New Roman" w:cs="Times New Roman" w:eastAsia="Times New Roman" w:hAnsi="Times New Roman"/>
          <w:sz w:val="17"/>
          <w:szCs w:val="17"/>
          <w:b w:val="1"/>
          <w:bCs w:val="1"/>
          <w:color w:val="auto"/>
        </w:rPr>
        <w:t>.</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stockholders’ equity, and cash flows for each of the three years in the period ended December 31, 2024, and the related notes, and our report dated February 21, 2025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0" w:name="page51"/>
    <w:bookmarkEnd w:id="50"/>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AGNC Investment Corp.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AGNC Investment Corp. (the Company) as of December 31, 2024 and 2023, the related consolidated statements of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1" w:name="page52"/>
    <w:bookmarkEnd w:id="51"/>
    <w:tbl>
      <w:tblPr>
        <w:tblLayout w:type="fixed"/>
        <w:tblInd w:w="40" w:type="dxa"/>
        <w:tblCellMar>
          <w:top w:w="0" w:type="dxa"/>
          <w:left w:w="0" w:type="dxa"/>
          <w:bottom w:w="0" w:type="dxa"/>
          <w:right w:w="0" w:type="dxa"/>
        </w:tblCellMar>
      </w:tblPr>
      <w:tr>
        <w:trPr>
          <w:trHeight w:val="226"/>
        </w:trPr>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Description</w:t>
            </w: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Agency securities and non-agency securities of high credit quality net premium amortization</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As of December 31, 2024, the Company’s investment securities had a net unamortized premium balance of $1.0 billion,</w:t>
            </w:r>
          </w:p>
        </w:tc>
        <w:tc>
          <w:tcPr>
            <w:tcW w:w="0" w:type="dxa"/>
            <w:vAlign w:val="bottom"/>
          </w:tcPr>
          <w:p>
            <w:pPr>
              <w:spacing w:after="0"/>
              <w:rPr>
                <w:sz w:val="1"/>
                <w:szCs w:val="1"/>
                <w:color w:val="auto"/>
              </w:rPr>
            </w:pPr>
          </w:p>
        </w:tc>
      </w:tr>
      <w:tr>
        <w:trPr>
          <w:trHeight w:val="170"/>
        </w:trPr>
        <w:tc>
          <w:tcPr>
            <w:tcW w:w="2260" w:type="dxa"/>
            <w:vAlign w:val="bottom"/>
          </w:tcPr>
          <w:p>
            <w:pPr>
              <w:spacing w:after="0" w:line="170" w:lineRule="exact"/>
              <w:rPr>
                <w:sz w:val="20"/>
                <w:szCs w:val="20"/>
                <w:color w:val="auto"/>
              </w:rPr>
            </w:pPr>
            <w:r>
              <w:rPr>
                <w:rFonts w:ascii="Times New Roman" w:cs="Times New Roman" w:eastAsia="Times New Roman" w:hAnsi="Times New Roman"/>
                <w:sz w:val="17"/>
                <w:szCs w:val="17"/>
                <w:i w:val="1"/>
                <w:iCs w:val="1"/>
                <w:color w:val="auto"/>
              </w:rPr>
              <w:t>of the Matter</w:t>
            </w: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including interest and principal-only securities, and it recorded $123 million of net premium amortization for the year then</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ended. As explained in Note 2 to the financial statements, premiums or discounts associated with the purchase of Agency</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residential mortgage-backed securities (“Agency RMBS") and non-Agency mortgage-backed securities of high credit quality</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are amortized or accreted into interest income, respectively, over the projected lives of the securities, including contractual</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payments and estimated prepayments using the effective interest method. The effective yield on the Company’s Agency</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RMBS and non-Agency mortgage-backed securities of high credit quality is highly impacted by the Company’s estimate of</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future prepayments. The Company estimates long-term prepayment speeds of such securities using a third-party service</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provider and market data. The third-party service provider estimates long-term prepayment speeds using a prepayment model</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that incorporates the forward yield curve, current mortgage rates, mortgage rates of the outstanding loans, age and size of the</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 loans, loan-to-value ratios, interest rate volatility and other factors.</w:t>
            </w:r>
          </w:p>
        </w:tc>
        <w:tc>
          <w:tcPr>
            <w:tcW w:w="0" w:type="dxa"/>
            <w:vAlign w:val="bottom"/>
          </w:tcPr>
          <w:p>
            <w:pPr>
              <w:spacing w:after="0"/>
              <w:rPr>
                <w:sz w:val="1"/>
                <w:szCs w:val="1"/>
                <w:color w:val="auto"/>
              </w:rPr>
            </w:pPr>
          </w:p>
        </w:tc>
      </w:tr>
      <w:tr>
        <w:trPr>
          <w:trHeight w:val="356"/>
        </w:trPr>
        <w:tc>
          <w:tcPr>
            <w:tcW w:w="226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Auditing the Company's estimation of long-term prepayment speeds used for the amortization of premiums and accretion of</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discounts is subjective due to the significant judgments and estimates required by management and the third-party service</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provider, as inputs into prepayment models are prone to fluctuation based on changing macroeconomic conditions.</w:t>
            </w:r>
          </w:p>
        </w:tc>
        <w:tc>
          <w:tcPr>
            <w:tcW w:w="0" w:type="dxa"/>
            <w:vAlign w:val="bottom"/>
          </w:tcPr>
          <w:p>
            <w:pPr>
              <w:spacing w:after="0"/>
              <w:rPr>
                <w:sz w:val="1"/>
                <w:szCs w:val="1"/>
                <w:color w:val="auto"/>
              </w:rPr>
            </w:pPr>
          </w:p>
        </w:tc>
      </w:tr>
      <w:tr>
        <w:trPr>
          <w:trHeight w:val="178"/>
        </w:trPr>
        <w:tc>
          <w:tcPr>
            <w:tcW w:w="2260" w:type="dxa"/>
            <w:vAlign w:val="bottom"/>
          </w:tcPr>
          <w:p>
            <w:pPr>
              <w:spacing w:after="0" w:line="178" w:lineRule="exact"/>
              <w:rPr>
                <w:sz w:val="20"/>
                <w:szCs w:val="20"/>
                <w:color w:val="auto"/>
              </w:rPr>
            </w:pPr>
            <w:r>
              <w:rPr>
                <w:rFonts w:ascii="Times New Roman" w:cs="Times New Roman" w:eastAsia="Times New Roman" w:hAnsi="Times New Roman"/>
                <w:sz w:val="17"/>
                <w:szCs w:val="17"/>
                <w:i w:val="1"/>
                <w:iCs w:val="1"/>
                <w:color w:val="auto"/>
              </w:rPr>
              <w:t>How We Addressed the Matter</w:t>
            </w: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internal controls over the</w:t>
            </w:r>
          </w:p>
        </w:tc>
        <w:tc>
          <w:tcPr>
            <w:tcW w:w="0" w:type="dxa"/>
            <w:vAlign w:val="bottom"/>
          </w:tcPr>
          <w:p>
            <w:pPr>
              <w:spacing w:after="0"/>
              <w:rPr>
                <w:sz w:val="1"/>
                <w:szCs w:val="1"/>
                <w:color w:val="auto"/>
              </w:rPr>
            </w:pPr>
          </w:p>
        </w:tc>
      </w:tr>
      <w:tr>
        <w:trPr>
          <w:trHeight w:val="170"/>
        </w:trPr>
        <w:tc>
          <w:tcPr>
            <w:tcW w:w="2260" w:type="dxa"/>
            <w:vAlign w:val="bottom"/>
          </w:tcPr>
          <w:p>
            <w:pPr>
              <w:spacing w:after="0" w:line="170" w:lineRule="exact"/>
              <w:rPr>
                <w:sz w:val="20"/>
                <w:szCs w:val="20"/>
                <w:color w:val="auto"/>
              </w:rPr>
            </w:pPr>
            <w:r>
              <w:rPr>
                <w:rFonts w:ascii="Times New Roman" w:cs="Times New Roman" w:eastAsia="Times New Roman" w:hAnsi="Times New Roman"/>
                <w:sz w:val="17"/>
                <w:szCs w:val="17"/>
                <w:i w:val="1"/>
                <w:iCs w:val="1"/>
                <w:color w:val="auto"/>
              </w:rPr>
              <w:t>in Our Audit</w:t>
            </w: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estimation of long-term prepayment speeds, including management’s review of the estimated prepayment speeds provided by</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third-party service provider.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Our audit procedures included, among others, performing comparative analyses between the Company’s long-term</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890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prepayment speed estimates and long-term prepayment speed estimates data from independent third-party sources,</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89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reconciling the Company’s estimates of long-term prepayment speeds to source prepayment speeds data provided by</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890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management’s third-party service provider, evaluating the competency and objectivity of management’s third-party service</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provider, and identifying potential sources of contrary information, with the assistance of an internal valuation specialist.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15"/>
                <w:szCs w:val="15"/>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3"/>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$59,952 and $49,575, respectively)</w:t>
            </w: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65,367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53,673</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$590 and $678,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57"/>
        </w:trPr>
        <w:tc>
          <w:tcPr>
            <w:tcW w:w="7900" w:type="dxa"/>
            <w:vAlign w:val="bottom"/>
          </w:tcPr>
          <w:p>
            <w:pPr>
              <w:ind w:left="200"/>
              <w:spacing w:after="0" w:line="157" w:lineRule="exact"/>
              <w:rPr>
                <w:sz w:val="20"/>
                <w:szCs w:val="20"/>
                <w:color w:val="auto"/>
              </w:rPr>
            </w:pPr>
            <w:r>
              <w:rPr>
                <w:rFonts w:ascii="Times New Roman" w:cs="Times New Roman" w:eastAsia="Times New Roman" w:hAnsi="Times New Roman"/>
                <w:sz w:val="16"/>
                <w:szCs w:val="16"/>
                <w:color w:val="auto"/>
              </w:rPr>
              <w:t>Non-Agency securities, at fair value, and other mortgage credit investments (including pledged securities of $206 and</w:t>
            </w:r>
          </w:p>
        </w:tc>
        <w:tc>
          <w:tcPr>
            <w:tcW w:w="1000" w:type="dxa"/>
            <w:vAlign w:val="bottom"/>
          </w:tcPr>
          <w:p>
            <w:pPr>
              <w:spacing w:after="0"/>
              <w:rPr>
                <w:sz w:val="13"/>
                <w:szCs w:val="13"/>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$262, respectively)</w:t>
            </w:r>
          </w:p>
        </w:tc>
        <w:tc>
          <w:tcPr>
            <w:tcW w:w="10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$1,565 and $1,530, respectively)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11,618</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205"/>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10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88,015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60,798</w:t>
            </w:r>
          </w:p>
        </w:tc>
        <w:tc>
          <w:tcPr>
            <w:tcW w:w="100" w:type="dxa"/>
            <w:vAlign w:val="bottom"/>
          </w:tcPr>
          <w:p>
            <w:pPr>
              <w:spacing w:after="0"/>
              <w:rPr>
                <w:sz w:val="17"/>
                <w:szCs w:val="17"/>
                <w:color w:val="auto"/>
              </w:rPr>
            </w:pPr>
          </w:p>
        </w:tc>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50,426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05"/>
        </w:trPr>
        <w:tc>
          <w:tcPr>
            <w:tcW w:w="7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78,253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$1,688</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 $0.01 par value; 1,500 shares authorized; 897.4 and 694.3 shares issued and outstanding, respectively</w:t>
            </w:r>
          </w:p>
        </w:tc>
        <w:tc>
          <w:tcPr>
            <w:tcW w:w="10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15,281</w:t>
            </w:r>
          </w:p>
        </w:tc>
        <w:tc>
          <w:tcPr>
            <w:tcW w:w="0" w:type="dxa"/>
            <w:vAlign w:val="bottom"/>
          </w:tcPr>
          <w:p>
            <w:pPr>
              <w:spacing w:after="0"/>
              <w:rPr>
                <w:sz w:val="1"/>
                <w:szCs w:val="1"/>
                <w:color w:val="auto"/>
              </w:rPr>
            </w:pPr>
          </w:p>
        </w:tc>
      </w:tr>
      <w:tr>
        <w:trPr>
          <w:trHeight w:val="20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199"/>
        </w:trPr>
        <w:tc>
          <w:tcPr>
            <w:tcW w:w="79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88,015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864" w:right="33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r>
      <w:tr>
        <w:trPr>
          <w:trHeight w:val="204"/>
        </w:trPr>
        <w:tc>
          <w:tcPr>
            <w:tcW w:w="6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2"/>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w:t>
            </w:r>
          </w:p>
        </w:tc>
      </w:tr>
      <w:tr>
        <w:trPr>
          <w:trHeight w:val="222"/>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15"/>
        </w:trPr>
        <w:tc>
          <w:tcPr>
            <w:tcW w:w="69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interest income (expense)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r>
      <w:tr>
        <w:trPr>
          <w:trHeight w:val="20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gain (loss), net: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2"/>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sale of investment securities,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(2,916)</w:t>
            </w:r>
          </w:p>
        </w:tc>
      </w:tr>
      <w:tr>
        <w:trPr>
          <w:trHeight w:val="222"/>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 (loss) on investment securities measured at fair value through net income,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w:t>
            </w:r>
          </w:p>
        </w:tc>
      </w:tr>
      <w:tr>
        <w:trPr>
          <w:trHeight w:val="222"/>
        </w:trPr>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Gain on derivative instruments and other investments,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4,630</w:t>
            </w:r>
          </w:p>
        </w:tc>
      </w:tr>
      <w:tr>
        <w:trPr>
          <w:trHeight w:val="215"/>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other gain (loss), net: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w:t>
            </w:r>
          </w:p>
        </w:tc>
      </w:tr>
      <w:tr>
        <w:trPr>
          <w:trHeight w:val="20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2"/>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2"/>
        </w:trPr>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operating expense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5"/>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5"/>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22"/>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5"/>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available (attributable) to common stockholders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6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178"/>
        </w:trPr>
        <w:tc>
          <w:tcPr>
            <w:tcW w:w="6940" w:type="dxa"/>
            <w:vAlign w:val="bottom"/>
            <w:shd w:val="clear" w:color="auto" w:fill="CCEEFF"/>
          </w:tcPr>
          <w:p>
            <w:pPr>
              <w:ind w:left="320"/>
              <w:spacing w:after="0" w:line="178" w:lineRule="exact"/>
              <w:rPr>
                <w:sz w:val="20"/>
                <w:szCs w:val="20"/>
                <w:color w:val="auto"/>
              </w:rPr>
            </w:pPr>
            <w:r>
              <w:rPr>
                <w:rFonts w:ascii="Times New Roman" w:cs="Times New Roman" w:eastAsia="Times New Roman" w:hAnsi="Times New Roman"/>
                <w:sz w:val="17"/>
                <w:szCs w:val="17"/>
                <w:color w:val="auto"/>
              </w:rPr>
              <w:t>Unrealized gain (loss) on investment securities measured at fair value through other</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7"/>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comprehensive income (loss), net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r>
      <w:tr>
        <w:trPr>
          <w:trHeight w:val="215"/>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r>
      <w:tr>
        <w:trPr>
          <w:trHeight w:val="222"/>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5"/>
        </w:trPr>
        <w:tc>
          <w:tcPr>
            <w:tcW w:w="69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Comprehensive income (loss) available (attributable) to common stockholders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6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 - basic</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69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Net income (loss) per common share - basic</w:t>
            </w:r>
          </w:p>
        </w:tc>
        <w:tc>
          <w:tcPr>
            <w:tcW w:w="220" w:type="dxa"/>
            <w:vAlign w:val="bottom"/>
            <w:tcBorders>
              <w:bottom w:val="single" w:sz="8" w:color="auto"/>
            </w:tcBorders>
          </w:tcPr>
          <w:p>
            <w:pPr>
              <w:jc w:val="right"/>
              <w:ind w:right="1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0.93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(2.41)</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common share - diluted</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300"/>
          </w:cols>
          <w:pgMar w:left="800" w:top="864" w:right="79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9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9"/>
        </w:trPr>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221"/>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00"/>
          </w:cols>
          <w:pgMar w:left="600" w:top="864" w:right="599" w:bottom="1440" w:gutter="0" w:footer="0" w:header="0"/>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7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6"/>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12"/>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2,916</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3,795</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derivative instruments and other securities,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r>
      <w:tr>
        <w:trPr>
          <w:trHeight w:val="206"/>
        </w:trPr>
        <w:tc>
          <w:tcPr>
            <w:tcW w:w="7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r>
      <w:tr>
        <w:trPr>
          <w:trHeight w:val="20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1,013</w:t>
            </w:r>
          </w:p>
        </w:tc>
      </w:tr>
      <w:tr>
        <w:trPr>
          <w:trHeight w:val="187"/>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1"/>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(26,842)</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25,978</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1,199</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6,525</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(27,494)</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33,229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25,878</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proceeds from (payments on) reverse repurchase agreements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4,001</w:t>
            </w:r>
          </w:p>
        </w:tc>
      </w:tr>
      <w:tr>
        <w:trPr>
          <w:trHeight w:val="206"/>
        </w:trPr>
        <w:tc>
          <w:tcPr>
            <w:tcW w:w="7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Net proceeds from derivative instruments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989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2,907</w:t>
            </w:r>
          </w:p>
        </w:tc>
      </w:tr>
      <w:tr>
        <w:trPr>
          <w:trHeight w:val="20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11,188</w:t>
            </w:r>
          </w:p>
        </w:tc>
      </w:tr>
      <w:tr>
        <w:trPr>
          <w:trHeight w:val="187"/>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1"/>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5,600,336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3,282,218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2,360,328</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(5,589,964)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(3,268,054)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(2,371,447)</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proceeds from preferred stock issuances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for common stock repurchases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dividends paid</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199"/>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14,227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(11,392)</w:t>
            </w:r>
          </w:p>
        </w:tc>
      </w:tr>
      <w:tr>
        <w:trPr>
          <w:trHeight w:val="20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809</w:t>
            </w:r>
          </w:p>
        </w:tc>
      </w:tr>
      <w:tr>
        <w:trPr>
          <w:trHeight w:val="20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2,334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1,525</w:t>
            </w:r>
          </w:p>
        </w:tc>
      </w:tr>
      <w:tr>
        <w:trPr>
          <w:trHeight w:val="230"/>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7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1,018</w:t>
            </w:r>
          </w:p>
        </w:tc>
      </w:tr>
      <w:tr>
        <w:trPr>
          <w:trHeight w:val="209"/>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1,316</w:t>
            </w:r>
          </w:p>
        </w:tc>
      </w:tr>
      <w:tr>
        <w:trPr>
          <w:trHeight w:val="205"/>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2,334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5"/>
        </w:trPr>
        <w:tc>
          <w:tcPr>
            <w:tcW w:w="7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7"/>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to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2,246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86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Organization</w:t>
      </w:r>
    </w:p>
    <w:p>
      <w:pPr>
        <w:spacing w:after="0" w:line="17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10"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335"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17"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Securities</w:t>
      </w:r>
    </w:p>
    <w:p>
      <w:pPr>
        <w:spacing w:after="0" w:line="174"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10"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21"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7" w:name="page58"/>
    <w:bookmarkEnd w:id="57"/>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7"/>
          <w:szCs w:val="17"/>
          <w:i w:val="1"/>
          <w:iCs w:val="1"/>
          <w:color w:val="auto"/>
        </w:rPr>
        <w:t>Investments—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Debt and Equity Securities</w:t>
      </w:r>
      <w:r>
        <w:rPr>
          <w:rFonts w:ascii="Times New Roman" w:cs="Times New Roman" w:eastAsia="Times New Roman" w:hAnsi="Times New Roman"/>
          <w:sz w:val="17"/>
          <w:szCs w:val="17"/>
          <w:color w:val="auto"/>
        </w:rPr>
        <w:t>, requires that at the time of purchase, we designate a security as held-to-maturity, available-for-sale or trading, depending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ability and intent to hold such security to maturity. Alternatively, we may elect the fair value option of accounting for securities pursuant to ASC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Prior to fiscal year 2017, we primarily designated our investment securities as available-for-sale. On January 1, 2017, we began electing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333"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December 31, 2024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7"/>
          <w:szCs w:val="17"/>
          <w:i w:val="1"/>
          <w:iCs w:val="1"/>
          <w:color w:val="auto"/>
        </w:rPr>
        <w:t>Receivables—Nonrefundable Fees and Other Costs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25"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Repurchase Agreements</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8" w:name="page59"/>
    <w:bookmarkEnd w:id="58"/>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and we receive the related principal and interest payments. Pursuant to ASC Topic 860, </w:t>
      </w:r>
      <w:r>
        <w:rPr>
          <w:rFonts w:ascii="Times New Roman" w:cs="Times New Roman" w:eastAsia="Times New Roman" w:hAnsi="Times New Roman"/>
          <w:sz w:val="17"/>
          <w:szCs w:val="17"/>
          <w:i w:val="1"/>
          <w:iCs w:val="1"/>
          <w:color w:val="auto"/>
        </w:rPr>
        <w:t>Transfers and Servicing</w:t>
      </w:r>
      <w:r>
        <w:rPr>
          <w:rFonts w:ascii="Times New Roman" w:cs="Times New Roman" w:eastAsia="Times New Roman" w:hAnsi="Times New Roman"/>
          <w:sz w:val="17"/>
          <w:szCs w:val="17"/>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Repurchase Agreements and Obligation to Return Securities Borrowed under Reverse Repurchase Agreements</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7"/>
          <w:szCs w:val="17"/>
          <w:i w:val="1"/>
          <w:iCs w:val="1"/>
          <w:color w:val="auto"/>
        </w:rPr>
        <w:t xml:space="preserve">Derivative Instruments </w:t>
      </w:r>
      <w:r>
        <w:rPr>
          <w:rFonts w:ascii="Times New Roman" w:cs="Times New Roman" w:eastAsia="Times New Roman" w:hAnsi="Times New Roman"/>
          <w:sz w:val="17"/>
          <w:szCs w:val="17"/>
          <w:color w:val="auto"/>
        </w:rPr>
        <w:t>below). We account for these as securities borrowing transactions and recognize an obligation to return the borrowed securities at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174"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330"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7"/>
          <w:szCs w:val="17"/>
          <w:color w:val="auto"/>
        </w:rPr>
        <w:t xml:space="preserve">We account for derivative instruments in accordance with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33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72"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rate swaptions</w:t>
      </w:r>
    </w:p>
    <w:p>
      <w:pPr>
        <w:spacing w:after="0" w:line="172"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9" w:name="page60"/>
    <w:bookmarkEnd w:id="59"/>
    <w:p>
      <w:pPr>
        <w:jc w:val="both"/>
        <w:spacing w:after="0" w:line="295" w:lineRule="auto"/>
        <w:rPr>
          <w:sz w:val="20"/>
          <w:szCs w:val="20"/>
          <w:color w:val="auto"/>
        </w:rPr>
      </w:pPr>
      <w:r>
        <w:rPr>
          <w:rFonts w:ascii="Times New Roman" w:cs="Times New Roman" w:eastAsia="Times New Roman" w:hAnsi="Times New Roman"/>
          <w:sz w:val="17"/>
          <w:szCs w:val="17"/>
          <w:color w:val="auto"/>
        </w:rPr>
        <w:t>paid. If we sell or exercise a swaption, the realized gain or loss on the swaption would be equal to the difference between the cash or the fair value of the underlying interest rate swap and the premium paid.</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TBA securities</w:t>
      </w:r>
    </w:p>
    <w:p>
      <w:pPr>
        <w:spacing w:after="0" w:line="172"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2"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U.S. Treasury securities and US Treasury futures contracts</w:t>
      </w:r>
    </w:p>
    <w:p>
      <w:pPr>
        <w:spacing w:after="0" w:line="172"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74"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three levels of valuation hierarchy are defined as follows:</w:t>
      </w:r>
    </w:p>
    <w:p>
      <w:pPr>
        <w:spacing w:after="0" w:line="170" w:lineRule="exact"/>
        <w:rPr>
          <w:sz w:val="20"/>
          <w:szCs w:val="20"/>
          <w:color w:val="auto"/>
        </w:rPr>
      </w:pPr>
    </w:p>
    <w:p>
      <w:pPr>
        <w:ind w:left="640" w:hanging="322"/>
        <w:spacing w:after="0" w:line="267" w:lineRule="auto"/>
        <w:tabs>
          <w:tab w:leader="none" w:pos="6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—Quoted prices (unadjusted) for identical unrestricted assets and liabilities in active markets that are accessible at the measurement date.</w:t>
      </w:r>
    </w:p>
    <w:p>
      <w:pPr>
        <w:spacing w:after="0" w:line="357"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—Instruments with primarily unobservable market data that cannot be corroborated.</w:t>
      </w:r>
    </w:p>
    <w:p>
      <w:pPr>
        <w:spacing w:after="0" w:line="170"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would indicate and we cannot obtain an understanding from the third-party source as to the significant inputs used to determine the price.</w:t>
      </w:r>
    </w:p>
    <w:p>
      <w:pPr>
        <w:spacing w:after="0" w:line="170"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15"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Investment securities </w:t>
      </w:r>
      <w:r>
        <w:rPr>
          <w:rFonts w:ascii="Times New Roman" w:cs="Times New Roman" w:eastAsia="Times New Roman" w:hAnsi="Times New Roman"/>
          <w:sz w:val="17"/>
          <w:szCs w:val="17"/>
          <w:color w:val="auto"/>
        </w:rPr>
        <w:t>- are valued based on prices obtained from multiple third-party pricing sources. The pricing sources utilize various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TBA securities </w:t>
      </w:r>
      <w:r>
        <w:rPr>
          <w:rFonts w:ascii="Times New Roman" w:cs="Times New Roman" w:eastAsia="Times New Roman" w:hAnsi="Times New Roman"/>
          <w:sz w:val="17"/>
          <w:szCs w:val="17"/>
          <w:color w:val="auto"/>
        </w:rPr>
        <w:t>- are valued using prices obtained from third-party pricing sources based on pricing models that reference recent trading activity.</w:t>
      </w:r>
    </w:p>
    <w:p>
      <w:pPr>
        <w:spacing w:after="0" w:line="170" w:lineRule="exact"/>
        <w:rPr>
          <w:sz w:val="20"/>
          <w:szCs w:val="20"/>
          <w:color w:val="auto"/>
        </w:rPr>
      </w:pPr>
    </w:p>
    <w:p>
      <w:pPr>
        <w:jc w:val="both"/>
        <w:ind w:firstLine="431"/>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Interest rate swaps </w:t>
      </w:r>
      <w:r>
        <w:rPr>
          <w:rFonts w:ascii="Times New Roman" w:cs="Times New Roman" w:eastAsia="Times New Roman" w:hAnsi="Times New Roman"/>
          <w:sz w:val="17"/>
          <w:szCs w:val="17"/>
          <w:color w:val="auto"/>
        </w:rPr>
        <w:t>- are valued using the daily settlement price, or fair value, determined by the clearing exchange based on a pricing model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references observable market inputs, including current benchmark rates and the forward yield curve.</w:t>
      </w:r>
    </w:p>
    <w:p>
      <w:pPr>
        <w:spacing w:after="0" w:line="90" w:lineRule="exact"/>
        <w:rPr>
          <w:sz w:val="20"/>
          <w:szCs w:val="20"/>
          <w:color w:val="auto"/>
        </w:rPr>
      </w:pPr>
    </w:p>
    <w:p>
      <w:pPr>
        <w:jc w:val="both"/>
        <w:ind w:firstLine="43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Interest rate swaptions </w:t>
      </w:r>
      <w:r>
        <w:rPr>
          <w:rFonts w:ascii="Times New Roman" w:cs="Times New Roman" w:eastAsia="Times New Roman" w:hAnsi="Times New Roman"/>
          <w:sz w:val="17"/>
          <w:szCs w:val="17"/>
          <w:color w:val="auto"/>
        </w:rPr>
        <w:t>- are valued using prices obtained from the counterparty and other third-party pricing models. The pricing models are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future interest rate swap that we have the option to enter into as well as the remaining length of time that we have to exercise the option based on observable market inputs, adjusted for non-performance risk, if any.</w:t>
      </w:r>
    </w:p>
    <w:p>
      <w:pPr>
        <w:spacing w:after="0" w:line="109"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U.S. Treasury securities and futures are valued based on quoted prices for identical instruments in active markets and are classified as Level 1 assets. None of our financial instruments are classified as Level 3 inputs.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Variable Interest Entities</w:t>
      </w:r>
    </w:p>
    <w:p>
      <w:pPr>
        <w:spacing w:after="0" w:line="172"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 xml:space="preserve">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xml:space="preserve"> ("ASC 810"), requires an enterprise to consolidate a variable interest entity ("VIE") if it is deemed the primary beneficiary of the VIE. As of December 31, 2024 and 2023,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Cash and cash equivalents include cash held in bank accounts and cash held in money market funds on an overnight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74"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Restricted cash includes cash pledged as collateral for clearing and executing trades, repurchase agreements, and interest rate swaps and other derivative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Goodwill is the cost of an acquisition in excess of the fair value of identified assets acquired and liabilities assumed and is recognized as an asset on our consolidated balance sheets. As of December 31, 2024 and 2023,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 impairment, a quantitative analysis is performed. The quantitative analysis requires that we compare the carrying value of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1" w:name="page62"/>
    <w:bookmarkEnd w:id="61"/>
    <w:p>
      <w:pPr>
        <w:jc w:val="both"/>
        <w:spacing w:after="0" w:line="276" w:lineRule="auto"/>
        <w:rPr>
          <w:sz w:val="20"/>
          <w:szCs w:val="20"/>
          <w:color w:val="auto"/>
        </w:rPr>
      </w:pPr>
      <w:r>
        <w:rPr>
          <w:rFonts w:ascii="Times New Roman" w:cs="Times New Roman" w:eastAsia="Times New Roman" w:hAnsi="Times New Roman"/>
          <w:sz w:val="17"/>
          <w:szCs w:val="17"/>
          <w:color w:val="auto"/>
        </w:rPr>
        <w:t>identified reporting unit comprising the goodwill to the reporting unit's fair value. If the reporting unit's carrying value is greater than its fair value, an impairment charge is recognized to the extent the carrying amount of the reporting unit exceeds its fair value. During the three fiscal years ended December 31, 2024, we did not recognize a goodwill impairment charge.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7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21"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For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19"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Shares underlying RSU and PSU awards are issued when the awards vest, or later if distribution of such shares has been deferred beyond the vest date. Shares issued are net of shares withheld to cover minimum statutory tax withholding obligations. The fair value of shares withheld for tax withholdings is recorded as a reduction to additional paid-in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Investment Securities</w:t>
      </w:r>
    </w:p>
    <w:p>
      <w:pPr>
        <w:spacing w:after="0" w:line="172" w:lineRule="exact"/>
        <w:rPr>
          <w:sz w:val="20"/>
          <w:szCs w:val="20"/>
          <w:color w:val="auto"/>
        </w:rPr>
      </w:pPr>
    </w:p>
    <w:p>
      <w:pPr>
        <w:jc w:val="both"/>
        <w:ind w:firstLine="431"/>
        <w:spacing w:after="0" w:line="265" w:lineRule="auto"/>
        <w:rPr>
          <w:sz w:val="20"/>
          <w:szCs w:val="20"/>
          <w:color w:val="auto"/>
        </w:rPr>
      </w:pPr>
      <w:r>
        <w:rPr>
          <w:rFonts w:ascii="Times New Roman" w:cs="Times New Roman" w:eastAsia="Times New Roman" w:hAnsi="Times New Roman"/>
          <w:sz w:val="17"/>
          <w:szCs w:val="17"/>
          <w:color w:val="auto"/>
        </w:rPr>
        <w:t>As of December 31, 2024 and 2023, our investment portfolio consisted of $66.3 billion and $54.8 billion investment securities, at fair value, respectively, $6.9 billion and $5.4 billion net TBA securities, at fair value, respectively, and other mortgage credit investments of $64 million and $44 million, respectively, which we account for under the equity method of accounting. Our TBA position is reported at its net carrying value totaling $(26) million and $66 million as of December 31, 2024 and 2023,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2024 and 2023, our investment securities had a net unamortized premium balance of $1.0 billion and $1.2 billion,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2" w:name="page63"/>
    <w:bookmarkEnd w:id="62"/>
    <w:p>
      <w:pPr>
        <w:ind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tables summarize our investment securities as of December 31, 2024 and 2023, excluding TBA securities and other mortgage credit investments (dollars in millions). Details of our TBA securities are included in Note 5.</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248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220" w:type="dxa"/>
            <w:vAlign w:val="bottom"/>
          </w:tcPr>
          <w:p>
            <w:pPr>
              <w:spacing w:after="0"/>
              <w:rPr>
                <w:sz w:val="10"/>
                <w:szCs w:val="10"/>
                <w:color w:val="auto"/>
              </w:rPr>
            </w:pPr>
          </w:p>
        </w:tc>
        <w:tc>
          <w:tcPr>
            <w:tcW w:w="11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0"/>
                <w:szCs w:val="10"/>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20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67,139</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64,049</w:t>
            </w:r>
          </w:p>
        </w:tc>
        <w:tc>
          <w:tcPr>
            <w:tcW w:w="28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55,289</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53,161</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6"/>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0" w:type="dxa"/>
            <w:vAlign w:val="bottom"/>
          </w:tcPr>
          <w:p>
            <w:pPr>
              <w:spacing w:after="0"/>
              <w:rPr>
                <w:sz w:val="1"/>
                <w:szCs w:val="1"/>
                <w:color w:val="auto"/>
              </w:rPr>
            </w:pPr>
          </w:p>
        </w:tc>
      </w:tr>
      <w:tr>
        <w:trPr>
          <w:trHeight w:val="196"/>
        </w:trPr>
        <w:tc>
          <w:tcPr>
            <w:tcW w:w="55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221"/>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66,348</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18"/>
              <w:spacing w:after="0" w:line="192"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38"/>
              <w:spacing w:after="0" w:line="192"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9"/>
                <w:szCs w:val="9"/>
                <w:color w:val="auto"/>
              </w:rPr>
            </w:pPr>
          </w:p>
        </w:tc>
        <w:tc>
          <w:tcPr>
            <w:tcW w:w="7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rPr>
              <w:t>Agency</w:t>
            </w:r>
          </w:p>
        </w:tc>
        <w:tc>
          <w:tcPr>
            <w:tcW w:w="1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40" w:type="dxa"/>
            <w:vAlign w:val="bottom"/>
          </w:tcPr>
          <w:p>
            <w:pPr>
              <w:spacing w:after="0"/>
              <w:rPr>
                <w:sz w:val="9"/>
                <w:szCs w:val="9"/>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CRT</w:t>
            </w:r>
          </w:p>
        </w:tc>
        <w:tc>
          <w:tcPr>
            <w:tcW w:w="140" w:type="dxa"/>
            <w:vAlign w:val="bottom"/>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9"/>
                <w:szCs w:val="9"/>
                <w:color w:val="auto"/>
              </w:rPr>
            </w:pPr>
          </w:p>
        </w:tc>
        <w:tc>
          <w:tcPr>
            <w:tcW w:w="7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Agency</w:t>
            </w:r>
          </w:p>
        </w:tc>
        <w:tc>
          <w:tcPr>
            <w:tcW w:w="1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40" w:type="dxa"/>
            <w:vAlign w:val="bottom"/>
          </w:tcPr>
          <w:p>
            <w:pPr>
              <w:spacing w:after="0"/>
              <w:rPr>
                <w:sz w:val="9"/>
                <w:szCs w:val="9"/>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CMBS</w:t>
            </w:r>
          </w:p>
        </w:tc>
        <w:tc>
          <w:tcPr>
            <w:tcW w:w="160" w:type="dxa"/>
            <w:vAlign w:val="bottom"/>
          </w:tcPr>
          <w:p>
            <w:pPr>
              <w:spacing w:after="0"/>
              <w:rPr>
                <w:sz w:val="9"/>
                <w:szCs w:val="9"/>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CRT</w:t>
            </w:r>
          </w:p>
        </w:tc>
        <w:tc>
          <w:tcPr>
            <w:tcW w:w="160" w:type="dxa"/>
            <w:vAlign w:val="bottom"/>
          </w:tcPr>
          <w:p>
            <w:pPr>
              <w:spacing w:after="0"/>
              <w:rPr>
                <w:sz w:val="9"/>
                <w:szCs w:val="9"/>
                <w:color w:val="auto"/>
              </w:rPr>
            </w:pPr>
          </w:p>
        </w:tc>
        <w:tc>
          <w:tcPr>
            <w:tcW w:w="60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xml:space="preserve">Par value </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w:t>
            </w:r>
          </w:p>
        </w:tc>
        <w:tc>
          <w:tcPr>
            <w:tcW w:w="0" w:type="dxa"/>
            <w:vAlign w:val="bottom"/>
          </w:tcPr>
          <w:p>
            <w:pPr>
              <w:spacing w:after="0"/>
              <w:rPr>
                <w:sz w:val="1"/>
                <w:szCs w:val="1"/>
                <w:color w:val="auto"/>
              </w:rPr>
            </w:pPr>
          </w:p>
        </w:tc>
      </w:tr>
      <w:tr>
        <w:trPr>
          <w:trHeight w:val="16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Unamortized discount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Unamortized premium</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57"/>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4,711</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5,333</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Gross unrealized losses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0" w:type="dxa"/>
            <w:vAlign w:val="bottom"/>
          </w:tcPr>
          <w:p>
            <w:pPr>
              <w:spacing w:after="0"/>
              <w:rPr>
                <w:sz w:val="1"/>
                <w:szCs w:val="1"/>
                <w:color w:val="auto"/>
              </w:rPr>
            </w:pPr>
          </w:p>
        </w:tc>
      </w:tr>
      <w:tr>
        <w:trPr>
          <w:trHeight w:val="169"/>
        </w:trPr>
        <w:tc>
          <w:tcPr>
            <w:tcW w:w="2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w:t>
            </w: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4,816</w:t>
            </w:r>
          </w:p>
        </w:tc>
        <w:tc>
          <w:tcPr>
            <w:tcW w:w="0" w:type="dxa"/>
            <w:vAlign w:val="bottom"/>
          </w:tcPr>
          <w:p>
            <w:pPr>
              <w:spacing w:after="0"/>
              <w:rPr>
                <w:sz w:val="1"/>
                <w:szCs w:val="1"/>
                <w:color w:val="auto"/>
              </w:rPr>
            </w:pPr>
          </w:p>
        </w:tc>
      </w:tr>
      <w:tr>
        <w:trPr>
          <w:trHeight w:val="98"/>
        </w:trPr>
        <w:tc>
          <w:tcPr>
            <w:tcW w:w="2680" w:type="dxa"/>
            <w:vAlign w:val="bottom"/>
            <w:gridSpan w:val="2"/>
          </w:tcPr>
          <w:p>
            <w:pPr>
              <w:ind w:left="20"/>
              <w:spacing w:after="0" w:line="98" w:lineRule="exact"/>
              <w:rPr>
                <w:sz w:val="20"/>
                <w:szCs w:val="20"/>
                <w:color w:val="auto"/>
              </w:rPr>
            </w:pPr>
            <w:r>
              <w:rPr>
                <w:rFonts w:ascii="Times New Roman" w:cs="Times New Roman" w:eastAsia="Times New Roman" w:hAnsi="Times New Roman"/>
                <w:sz w:val="11"/>
                <w:szCs w:val="11"/>
                <w:color w:val="auto"/>
              </w:rPr>
              <w:t>Securities remeasured at fair value through</w:t>
            </w: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680" w:type="dxa"/>
            <w:vAlign w:val="bottom"/>
            <w:gridSpan w:val="2"/>
            <w:shd w:val="clear" w:color="auto" w:fill="CCEEFF"/>
          </w:tcPr>
          <w:p>
            <w:pPr>
              <w:ind w:left="180"/>
              <w:spacing w:after="0" w:line="170" w:lineRule="exact"/>
              <w:rPr>
                <w:sz w:val="20"/>
                <w:szCs w:val="20"/>
                <w:color w:val="auto"/>
              </w:rPr>
            </w:pPr>
            <w:r>
              <w:rPr>
                <w:rFonts w:ascii="Times New Roman" w:cs="Times New Roman" w:eastAsia="Times New Roman" w:hAnsi="Times New Roman"/>
                <w:sz w:val="12"/>
                <w:szCs w:val="12"/>
                <w:color w:val="auto"/>
              </w:rPr>
              <w:t xml:space="preserve">Par value </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63,984</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50,726</w:t>
            </w:r>
          </w:p>
        </w:tc>
        <w:tc>
          <w:tcPr>
            <w:tcW w:w="0" w:type="dxa"/>
            <w:vAlign w:val="bottom"/>
          </w:tcPr>
          <w:p>
            <w:pPr>
              <w:spacing w:after="0"/>
              <w:rPr>
                <w:sz w:val="1"/>
                <w:szCs w:val="1"/>
                <w:color w:val="auto"/>
              </w:rPr>
            </w:pPr>
          </w:p>
        </w:tc>
      </w:tr>
      <w:tr>
        <w:trPr>
          <w:trHeight w:val="16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Unamortized discount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Unamortized premium</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w:t>
            </w:r>
          </w:p>
        </w:tc>
        <w:tc>
          <w:tcPr>
            <w:tcW w:w="0" w:type="dxa"/>
            <w:vAlign w:val="bottom"/>
          </w:tcPr>
          <w:p>
            <w:pPr>
              <w:spacing w:after="0"/>
              <w:rPr>
                <w:sz w:val="1"/>
                <w:szCs w:val="1"/>
                <w:color w:val="auto"/>
              </w:rPr>
            </w:pPr>
          </w:p>
        </w:tc>
      </w:tr>
      <w:tr>
        <w:trPr>
          <w:trHeight w:val="157"/>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Amortized cost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64,735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51,632</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0" w:type="dxa"/>
            <w:vAlign w:val="bottom"/>
          </w:tcPr>
          <w:p>
            <w:pPr>
              <w:spacing w:after="0"/>
              <w:rPr>
                <w:sz w:val="1"/>
                <w:szCs w:val="1"/>
                <w:color w:val="auto"/>
              </w:rPr>
            </w:pPr>
          </w:p>
        </w:tc>
      </w:tr>
      <w:tr>
        <w:trPr>
          <w:trHeight w:val="16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Gross unrealized losses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w:t>
            </w:r>
          </w:p>
        </w:tc>
        <w:tc>
          <w:tcPr>
            <w:tcW w:w="0" w:type="dxa"/>
            <w:vAlign w:val="bottom"/>
          </w:tcPr>
          <w:p>
            <w:pPr>
              <w:spacing w:after="0"/>
              <w:rPr>
                <w:sz w:val="1"/>
                <w:szCs w:val="1"/>
                <w:color w:val="auto"/>
              </w:rPr>
            </w:pPr>
          </w:p>
        </w:tc>
      </w:tr>
      <w:tr>
        <w:trPr>
          <w:trHeight w:val="103"/>
        </w:trPr>
        <w:tc>
          <w:tcPr>
            <w:tcW w:w="2680" w:type="dxa"/>
            <w:vAlign w:val="bottom"/>
            <w:tcBorders>
              <w:top w:val="single" w:sz="8" w:color="CCEEFF"/>
            </w:tcBorders>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securities remeasured at fair value through</w:t>
            </w: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61,344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62,228</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48,978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50,008</w:t>
            </w:r>
          </w:p>
        </w:tc>
        <w:tc>
          <w:tcPr>
            <w:tcW w:w="0" w:type="dxa"/>
            <w:vAlign w:val="bottom"/>
          </w:tcPr>
          <w:p>
            <w:pPr>
              <w:spacing w:after="0"/>
              <w:rPr>
                <w:sz w:val="1"/>
                <w:szCs w:val="1"/>
                <w:color w:val="auto"/>
              </w:rPr>
            </w:pPr>
          </w:p>
        </w:tc>
      </w:tr>
      <w:tr>
        <w:trPr>
          <w:trHeight w:val="17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65,464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66,348</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53,794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54,824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$64 million and $44 million as of December 31, 2024 and 2023, respectively.</w:t>
      </w:r>
    </w:p>
    <w:p>
      <w:pPr>
        <w:spacing w:after="0" w:line="5" w:lineRule="exact"/>
        <w:rPr>
          <w:rFonts w:ascii="Times New Roman" w:cs="Times New Roman" w:eastAsia="Times New Roman" w:hAnsi="Times New Roman"/>
          <w:sz w:val="14"/>
          <w:szCs w:val="14"/>
          <w:color w:val="auto"/>
        </w:rPr>
      </w:pPr>
    </w:p>
    <w:p>
      <w:pPr>
        <w:ind w:left="640" w:hanging="322"/>
        <w:spacing w:after="0" w:line="266"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excludes interest-only securities. As of December 31, 2024 and 2023, Agency RMBS interest-only securities had a par value of $307 million and $336 million, respectively, and non-Agency interest-only securities had a par value of $93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3" w:name="page64"/>
    <w:bookmarkEnd w:id="63"/>
    <w:p>
      <w:pPr>
        <w:ind w:firstLine="431"/>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Company's Agency RMBS portfolio by issuing GSE or U.S. Government agency at fair value as of December 31, 2024 and 2023 (in millions):</w:t>
      </w:r>
    </w:p>
    <w:p>
      <w:pPr>
        <w:spacing w:after="0" w:line="128" w:lineRule="exact"/>
        <w:rPr>
          <w:sz w:val="20"/>
          <w:szCs w:val="20"/>
          <w:color w:val="auto"/>
        </w:rPr>
      </w:pPr>
    </w:p>
    <w:tbl>
      <w:tblPr>
        <w:tblLayout w:type="fixed"/>
        <w:tblInd w:w="318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6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35,220</w:t>
            </w: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33,119</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30,216</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20,393</w:t>
            </w:r>
          </w:p>
        </w:tc>
        <w:tc>
          <w:tcPr>
            <w:tcW w:w="0" w:type="dxa"/>
            <w:vAlign w:val="bottom"/>
          </w:tcPr>
          <w:p>
            <w:pPr>
              <w:spacing w:after="0"/>
              <w:rPr>
                <w:sz w:val="1"/>
                <w:szCs w:val="1"/>
                <w:color w:val="auto"/>
              </w:rPr>
            </w:pPr>
          </w:p>
        </w:tc>
      </w:tr>
      <w:tr>
        <w:trPr>
          <w:trHeight w:val="196"/>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Ginnie Mae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65,464</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53,794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our investments in CRT and non-Agency securities had the following credit ratings (in millions):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RMBS </w:t>
            </w:r>
            <w:r>
              <w:rPr>
                <w:rFonts w:ascii="Times New Roman" w:cs="Times New Roman" w:eastAsia="Times New Roman" w:hAnsi="Times New Roman"/>
                <w:sz w:val="18"/>
                <w:szCs w:val="18"/>
                <w:b w:val="1"/>
                <w:bCs w:val="1"/>
                <w:color w:val="auto"/>
                <w:w w:val="96"/>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CMBS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CRT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220" w:type="dxa"/>
            <w:vAlign w:val="bottom"/>
          </w:tcPr>
          <w:p>
            <w:pPr>
              <w:spacing w:after="0"/>
              <w:rPr>
                <w:sz w:val="16"/>
                <w:szCs w:val="16"/>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line="250"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40" w:hanging="322"/>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$64 million and $44 million as of December 31, 2024 and 2023, respectively.</w:t>
      </w:r>
    </w:p>
    <w:p>
      <w:pPr>
        <w:spacing w:after="0" w:line="158" w:lineRule="exact"/>
        <w:rPr>
          <w:sz w:val="20"/>
          <w:szCs w:val="20"/>
          <w:color w:val="auto"/>
        </w:rPr>
      </w:pPr>
    </w:p>
    <w:p>
      <w:pPr>
        <w:jc w:val="both"/>
        <w:ind w:firstLine="431"/>
        <w:spacing w:after="0" w:line="295" w:lineRule="auto"/>
        <w:rPr>
          <w:sz w:val="20"/>
          <w:szCs w:val="20"/>
          <w:color w:val="auto"/>
        </w:rPr>
      </w:pPr>
      <w:r>
        <w:rPr>
          <w:rFonts w:ascii="Times New Roman" w:cs="Times New Roman" w:eastAsia="Times New Roman" w:hAnsi="Times New Roman"/>
          <w:sz w:val="17"/>
          <w:szCs w:val="17"/>
          <w:color w:val="auto"/>
        </w:rPr>
        <w:t>Our CRT securities reference the performance of loans underlying Agency RMBS issued by Fannie Mae or Freddie Mac, which were subject to their underwriting standards.</w:t>
      </w:r>
    </w:p>
    <w:p>
      <w:pPr>
        <w:spacing w:after="0" w:line="94"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2024 and 2023, the weighted average expected constant prepayment rate ("CPR") over the remaining life of our Agency and high credit quality non-Agency RMBS investment portfolio was 7.7% and 11.4%, respectively. Our estimates can differ materially for different securities and thus our individual holdings have a wide range of projected CPRs. The following table summarizes our investments as of December 31, 2024 and 2023 according to their estimated weighted average life classification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4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2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Yield</w:t>
            </w: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7.37%</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8.06%</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6.57%</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5.93%</w:t>
            </w:r>
          </w:p>
        </w:tc>
        <w:tc>
          <w:tcPr>
            <w:tcW w:w="0" w:type="dxa"/>
            <w:vAlign w:val="bottom"/>
          </w:tcPr>
          <w:p>
            <w:pPr>
              <w:spacing w:after="0"/>
              <w:rPr>
                <w:sz w:val="1"/>
                <w:szCs w:val="1"/>
                <w:color w:val="auto"/>
              </w:rPr>
            </w:pPr>
          </w:p>
        </w:tc>
      </w:tr>
      <w:tr>
        <w:trPr>
          <w:trHeight w:val="18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5.96%</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5.94%</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5.52%</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56,551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4.10%</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7,232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5.14%</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5.24%</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4.77%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4.63%</w:t>
            </w:r>
          </w:p>
        </w:tc>
        <w:tc>
          <w:tcPr>
            <w:tcW w:w="0" w:type="dxa"/>
            <w:vAlign w:val="bottom"/>
          </w:tcPr>
          <w:p>
            <w:pPr>
              <w:spacing w:after="0"/>
              <w:rPr>
                <w:sz w:val="1"/>
                <w:szCs w:val="1"/>
                <w:color w:val="auto"/>
              </w:rPr>
            </w:pPr>
          </w:p>
        </w:tc>
      </w:tr>
      <w:tr>
        <w:trPr>
          <w:trHeight w:val="22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66,348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5.03%</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59" w:lineRule="exact"/>
        <w:rPr>
          <w:sz w:val="20"/>
          <w:szCs w:val="20"/>
          <w:color w:val="auto"/>
        </w:rPr>
      </w:pPr>
    </w:p>
    <w:p>
      <w:pPr>
        <w:ind w:left="640" w:hanging="322"/>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$64 million and $44 million as of December 31, 2024 and 2023, respectively.</w:t>
      </w:r>
    </w:p>
    <w:p>
      <w:pPr>
        <w:spacing w:after="0" w:line="17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gross unrealized loss and fair values of securities classified as available-for-sale by length of time that such securities have been in a continuous unrealized loss position as of December 31, 2024 and 2023 (in millions):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Unrealized Loss Position For</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00" w:type="dxa"/>
            <w:vAlign w:val="bottom"/>
            <w:vMerge w:val="restart"/>
          </w:tcPr>
          <w:p>
            <w:pPr>
              <w:spacing w:after="0"/>
              <w:rPr>
                <w:sz w:val="11"/>
                <w:szCs w:val="11"/>
                <w:color w:val="auto"/>
              </w:rPr>
            </w:pPr>
          </w:p>
        </w:tc>
        <w:tc>
          <w:tcPr>
            <w:tcW w:w="820" w:type="dxa"/>
            <w:vAlign w:val="bottom"/>
            <w:tcBorders>
              <w:top w:val="single" w:sz="8" w:color="auto"/>
            </w:tcBorders>
          </w:tcPr>
          <w:p>
            <w:pPr>
              <w:jc w:val="right"/>
              <w:ind w:right="7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31"/>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8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3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8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Gains and Losses on Sale of Investment Securities</w:t>
      </w:r>
    </w:p>
    <w:p>
      <w:pPr>
        <w:spacing w:after="0" w:line="174"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is a summary of our net gain (loss) from the sale of investment securities for fiscal years 2024, 2023 and 2022 by investment classification of accounting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11"/>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w w:val="99"/>
              </w:rPr>
              <w:t>Available-for-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9"/>
              </w:rPr>
              <w:t>Available-for-</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7"/>
              </w:rPr>
              <w:t>Available-for-</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8"/>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3"/>
              </w:rPr>
              <w:t>Sale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8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Investment Securities</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xml:space="preserve">Securities </w:t>
            </w:r>
            <w:r>
              <w:rPr>
                <w:rFonts w:ascii="Times New Roman" w:cs="Times New Roman" w:eastAsia="Times New Roman" w:hAnsi="Times New Roman"/>
                <w:sz w:val="15"/>
                <w:szCs w:val="15"/>
                <w:b w:val="1"/>
                <w:bCs w:val="1"/>
                <w:color w:val="auto"/>
                <w:w w:val="97"/>
                <w:vertAlign w:val="superscript"/>
              </w:rPr>
              <w:t>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6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 xml:space="preserve">Securities </w:t>
            </w:r>
            <w:r>
              <w:rPr>
                <w:rFonts w:ascii="Times New Roman" w:cs="Times New Roman" w:eastAsia="Times New Roman" w:hAnsi="Times New Roman"/>
                <w:sz w:val="15"/>
                <w:szCs w:val="15"/>
                <w:b w:val="1"/>
                <w:bCs w:val="1"/>
                <w:color w:val="auto"/>
                <w:w w:val="97"/>
                <w:vertAlign w:val="superscript"/>
              </w:rPr>
              <w:t>2,3</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8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 xml:space="preserve">Securities </w:t>
            </w:r>
            <w:r>
              <w:rPr>
                <w:rFonts w:ascii="Times New Roman" w:cs="Times New Roman" w:eastAsia="Times New Roman" w:hAnsi="Times New Roman"/>
                <w:sz w:val="15"/>
                <w:szCs w:val="15"/>
                <w:b w:val="1"/>
                <w:bCs w:val="1"/>
                <w:color w:val="auto"/>
                <w:w w:val="94"/>
                <w:vertAlign w:val="superscript"/>
              </w:rPr>
              <w:t>2,3</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8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2"/>
        </w:trPr>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(30,213)</w:t>
            </w:r>
          </w:p>
        </w:tc>
      </w:tr>
      <w:tr>
        <w:trPr>
          <w:trHeight w:val="203"/>
        </w:trPr>
        <w:tc>
          <w:tcPr>
            <w:tcW w:w="27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27,297</w:t>
            </w:r>
          </w:p>
        </w:tc>
      </w:tr>
      <w:tr>
        <w:trPr>
          <w:trHeight w:val="18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(2,916)</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8"/>
        </w:trPr>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18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r>
      <w:tr>
        <w:trPr>
          <w:trHeight w:val="18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(2,916)</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59" w:lineRule="exact"/>
        <w:rPr>
          <w:sz w:val="20"/>
          <w:szCs w:val="20"/>
          <w:color w:val="auto"/>
        </w:rPr>
      </w:pPr>
    </w:p>
    <w:p>
      <w:pPr>
        <w:ind w:left="640" w:hanging="322"/>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1"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8"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fiscal years 2024, 2023 and 2022, we received principal repayments on available-for-sale securities of $0.6 billion, $0.7 billion and $1.5 billion,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Repurchase Agreements and Reverse Repurchase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Repurchase Agreements</w:t>
      </w:r>
    </w:p>
    <w:p>
      <w:pPr>
        <w:spacing w:after="0" w:line="174"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2024, we had met all margin call requirements. For additional information regarding our pledged assets, please refer to Note 6.</w:t>
      </w:r>
    </w:p>
    <w:p>
      <w:pPr>
        <w:spacing w:after="0" w:line="121"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As of December 31, 2024 and 2023, we had $60.8 billion and $50.4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December 31, 2024 and 2023 (dollars in millions):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65" w:name="page66"/>
    <w:bookmarkEnd w:id="65"/>
    <w:tbl>
      <w:tblPr>
        <w:tblLayout w:type="fixed"/>
        <w:tblInd w:w="6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0" w:type="dxa"/>
            <w:vAlign w:val="bottom"/>
          </w:tcPr>
          <w:p>
            <w:pPr>
              <w:spacing w:after="0"/>
              <w:rPr>
                <w:sz w:val="1"/>
                <w:szCs w:val="1"/>
                <w:color w:val="auto"/>
              </w:rPr>
            </w:pPr>
          </w:p>
        </w:tc>
      </w:tr>
      <w:tr>
        <w:trPr>
          <w:trHeight w:val="191"/>
        </w:trPr>
        <w:tc>
          <w:tcPr>
            <w:tcW w:w="2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07"/>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1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40,946</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1 to ≤ 3 months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99"/>
        </w:trPr>
        <w:tc>
          <w:tcPr>
            <w:tcW w:w="2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59,362</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4.76 %</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2"/>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Repo:</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60,798</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4.76 %</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As of December 31, 2024 and 2023, $25.4 billion and $16.7 billion, respectively, of our investment securities repurchase agreements and all of our U.S. Treasury repurchase agreements had an overnight maturity of one business day and none of our repurchase agreements were due on demand. As of December 31, 2024, we had $17.3 billion of forward commitments to enter into repurchase agreements with a weighted average forward start date of 2 days and a weighted average interest rate of 4.61%. As of December 31, 2023, we had $8.8 billion of forward commitments to enter into repurchase agreements, with a weighted average forward start date of 4 days and a weighted average interest rate of 5.54%. As of December 31, 2024 and 2023, 50% and 48%,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47% and 43% of our repurchase agreement funding outstanding as of December 31,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Repurchase Agreements</w:t>
      </w:r>
    </w:p>
    <w:p>
      <w:pPr>
        <w:spacing w:after="0" w:line="17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As of December 31, 2024 and 2023, we had $17.1 billion and $11.6 billion, respectively, of reverse repurchase agreements outstanding used primarily to borrow securities to cover short sales of U.S. Treasury securities, for which we had associated obligations to return borrowed securities at fair value of $16.7 billion and $10.9 billion, respectively. As of December 31, 2024 and 2023, $3.9 billion and $3.1 billion, respectively, of our reverse repurchase agreements were with the FICC sourced through BES.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Derivative and Other Hedging Instruments</w:t>
      </w:r>
    </w:p>
    <w:p>
      <w:pPr>
        <w:spacing w:after="0" w:line="172" w:lineRule="exact"/>
        <w:rPr>
          <w:sz w:val="20"/>
          <w:szCs w:val="20"/>
          <w:color w:val="auto"/>
        </w:rPr>
      </w:pPr>
    </w:p>
    <w:p>
      <w:pPr>
        <w:jc w:val="both"/>
        <w:ind w:firstLine="431"/>
        <w:spacing w:after="0" w:line="269" w:lineRule="auto"/>
        <w:rPr>
          <w:sz w:val="20"/>
          <w:szCs w:val="20"/>
          <w:color w:val="auto"/>
        </w:rPr>
      </w:pPr>
      <w:r>
        <w:rPr>
          <w:rFonts w:ascii="Times New Roman" w:cs="Times New Roman" w:eastAsia="Times New Roman" w:hAnsi="Times New Roman"/>
          <w:sz w:val="17"/>
          <w:szCs w:val="17"/>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and Other Hedging Instrument Assets (Liabilities), at Fair Value</w:t>
      </w:r>
    </w:p>
    <w:p>
      <w:pPr>
        <w:spacing w:after="0" w:line="174"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table below summarizes fair value information about our derivative and other hedging instrument assets/(liabilities) as of December 31, 2024 and 2023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3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80" w:type="dxa"/>
            <w:vAlign w:val="bottom"/>
          </w:tcPr>
          <w:p>
            <w:pPr>
              <w:spacing w:after="0"/>
              <w:rPr>
                <w:sz w:val="16"/>
                <w:szCs w:val="16"/>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2"/>
        </w:trPr>
        <w:tc>
          <w:tcPr>
            <w:tcW w:w="4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2"/>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4"/>
        </w:trPr>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444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2"/>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444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0"/>
                <w:szCs w:val="20"/>
                <w:color w:val="auto"/>
                <w:vertAlign w:val="superscript"/>
              </w:rPr>
              <w:t>1</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9"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Total U.S. Treasury securities, net at fair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63"/>
        </w:trPr>
        <w:tc>
          <w:tcPr>
            <w:tcW w:w="428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Obligation to return securities borrowed under reverse repurchase</w:t>
            </w: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(16,676)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0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agreements, at fair value</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-538480</wp:posOffset>
            </wp:positionV>
            <wp:extent cx="7136765" cy="132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-173355</wp:posOffset>
            </wp:positionV>
            <wp:extent cx="7136765" cy="157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3740" w:space="720"/>
            <w:col w:w="6780"/>
          </w:cols>
          <w:pgMar w:left="320" w:top="1019" w:right="339" w:bottom="1440" w:gutter="0" w:footer="0" w:header="0"/>
          <w:type w:val="continuous"/>
        </w:sectPr>
      </w:pPr>
    </w:p>
    <w:p>
      <w:pPr>
        <w:jc w:val="both"/>
        <w:ind w:left="640" w:hanging="322"/>
        <w:spacing w:after="0" w:line="268"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and 2023, the net fair value of our interest rate swaps excluding the recognition of variation margin settlements as a direct reduction of carrying value (see Note 2) was a net asset (liability) of $2.3 billion and $2.9 billion, respectively. As of December 31, 2023, the net fair value of our credit default swaps excluding the recognition of variation margin settlements was a net asset (liability) of $(6) million.</w:t>
      </w:r>
    </w:p>
    <w:p>
      <w:pPr>
        <w:spacing w:after="0" w:line="13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tables summarize certain characteristics of our derivative and other hedging instruments outstanding as of December 31, 2024 and 2023 (dollars in millions):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10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6"/>
        </w:trPr>
        <w:tc>
          <w:tcPr>
            <w:tcW w:w="2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0.14%</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4.42%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13,750</w:t>
            </w: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0.14%</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5.37%</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0.22%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4.45%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15,800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0.17%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5.36%</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12"/>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4,150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2.14%</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4.46%</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3,900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0.92%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5.37%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212"/>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12,646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4.49%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5,226</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3.06%</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5.38%</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02"/>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39,646</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1.46%</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4.46%</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44,476</w:t>
            </w:r>
          </w:p>
        </w:tc>
        <w:tc>
          <w:tcPr>
            <w:tcW w:w="14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0.57%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5.37%</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64"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82% and 18% of notional amount receive index references SOFR and OIS, respectively. As of December 31, 2023, 80% and 20% of notional amount receive index references SOFR and OIS,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67" w:name="page68"/>
    <w:bookmarkEnd w:id="67"/>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Receive Fixed / Pay Variable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6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2"/>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Variable Pay</w:t>
            </w:r>
          </w:p>
        </w:tc>
        <w:tc>
          <w:tcPr>
            <w:tcW w:w="10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Fixed Receive</w:t>
            </w:r>
          </w:p>
        </w:tc>
        <w:tc>
          <w:tcPr>
            <w:tcW w:w="11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Variable Pay</w:t>
            </w:r>
          </w:p>
        </w:tc>
        <w:tc>
          <w:tcPr>
            <w:tcW w:w="10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Fixed Receive</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6"/>
        </w:trPr>
        <w:tc>
          <w:tcPr>
            <w:tcW w:w="2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5.38%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4.65%</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85" w:lineRule="exact"/>
        <w:rPr>
          <w:sz w:val="20"/>
          <w:szCs w:val="20"/>
          <w:color w:val="auto"/>
        </w:rPr>
      </w:pPr>
    </w:p>
    <w:p>
      <w:pPr>
        <w:ind w:left="640" w:hanging="322"/>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index references SOFR.</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center"/>
              <w:ind w:left="627"/>
              <w:spacing w:after="0"/>
              <w:rPr>
                <w:sz w:val="20"/>
                <w:szCs w:val="20"/>
                <w:color w:val="auto"/>
              </w:rPr>
            </w:pPr>
            <w:r>
              <w:rPr>
                <w:rFonts w:ascii="Times New Roman" w:cs="Times New Roman" w:eastAsia="Times New Roman" w:hAnsi="Times New Roman"/>
                <w:sz w:val="14"/>
                <w:szCs w:val="14"/>
                <w:b w:val="1"/>
                <w:bCs w:val="1"/>
                <w:color w:val="auto"/>
                <w:w w:val="98"/>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60" w:type="dxa"/>
            <w:vAlign w:val="bottom"/>
            <w:gridSpan w:val="3"/>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Average Fixed</w:t>
            </w:r>
          </w:p>
        </w:tc>
        <w:tc>
          <w:tcPr>
            <w:tcW w:w="900" w:type="dxa"/>
            <w:vAlign w:val="bottom"/>
          </w:tcPr>
          <w:p>
            <w:pPr>
              <w:jc w:val="center"/>
              <w:ind w:right="107"/>
              <w:spacing w:after="0" w:line="12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Months to Option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60" w:type="dxa"/>
            <w:vAlign w:val="bottom"/>
            <w:gridSpan w:val="3"/>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900" w:type="dxa"/>
            <w:vAlign w:val="bottom"/>
          </w:tcPr>
          <w:p>
            <w:pPr>
              <w:jc w:val="center"/>
              <w:ind w:right="107"/>
              <w:spacing w:after="0" w:line="144"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Expiration Date</w:t>
            </w: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tcPr>
          <w:p>
            <w:pPr>
              <w:jc w:val="center"/>
              <w:ind w:right="32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90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2"/>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1 year</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right="107"/>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0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07"/>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index references SOFR.</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Receiver Swaptions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Underlying Receiver Swap</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vMerge w:val="restart"/>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184"/>
              <w:spacing w:after="0" w:line="12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Average Fixed</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25"/>
              <w:spacing w:after="0" w:line="12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2"/>
                <w:szCs w:val="12"/>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6"/>
          </w:tcPr>
          <w:p>
            <w:pPr>
              <w:jc w:val="center"/>
              <w:ind w:right="2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Months to Option</w:t>
            </w: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Receive</w:t>
            </w:r>
          </w:p>
        </w:tc>
        <w:tc>
          <w:tcPr>
            <w:tcW w:w="200" w:type="dxa"/>
            <w:vAlign w:val="bottom"/>
          </w:tcPr>
          <w:p>
            <w:pPr>
              <w:spacing w:after="0"/>
              <w:rPr>
                <w:sz w:val="12"/>
                <w:szCs w:val="12"/>
                <w:color w:val="auto"/>
              </w:rPr>
            </w:pPr>
          </w:p>
        </w:tc>
        <w:tc>
          <w:tcPr>
            <w:tcW w:w="9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140"/>
              <w:spacing w:after="0" w:line="196"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2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3"/>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5"/>
              </w:rPr>
              <w:t>≤ 1 year</w:t>
            </w: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2.98%</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right="125"/>
              <w:spacing w:after="0"/>
              <w:rPr>
                <w:sz w:val="20"/>
                <w:szCs w:val="20"/>
                <w:color w:val="auto"/>
              </w:rPr>
            </w:pPr>
            <w:r>
              <w:rPr>
                <w:rFonts w:ascii="Times New Roman" w:cs="Times New Roman" w:eastAsia="Times New Roman" w:hAnsi="Times New Roman"/>
                <w:sz w:val="16"/>
                <w:szCs w:val="16"/>
                <w:color w:val="auto"/>
                <w:w w:val="99"/>
              </w:rPr>
              <w:t>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gridSpan w:val="3"/>
          </w:tcPr>
          <w:p>
            <w:pPr>
              <w:jc w:val="right"/>
              <w:ind w:right="906"/>
              <w:spacing w:after="0"/>
              <w:rPr>
                <w:sz w:val="20"/>
                <w:szCs w:val="20"/>
                <w:color w:val="auto"/>
              </w:rPr>
            </w:pPr>
            <w:r>
              <w:rPr>
                <w:rFonts w:ascii="Times New Roman" w:cs="Times New Roman" w:eastAsia="Times New Roman" w:hAnsi="Times New Roman"/>
                <w:sz w:val="16"/>
                <w:szCs w:val="16"/>
                <w:color w:val="auto"/>
                <w:w w:val="95"/>
              </w:rPr>
              <w:t>≤ 1 year</w:t>
            </w:r>
          </w:p>
        </w:tc>
        <w:tc>
          <w:tcPr>
            <w:tcW w:w="740" w:type="dxa"/>
            <w:vAlign w:val="bottom"/>
            <w:gridSpan w:val="3"/>
          </w:tcPr>
          <w:p>
            <w:pPr>
              <w:jc w:val="right"/>
              <w:ind w:right="226"/>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gridSpan w:val="2"/>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2.98%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25"/>
              <w:spacing w:after="0"/>
              <w:rPr>
                <w:sz w:val="20"/>
                <w:szCs w:val="20"/>
                <w:color w:val="auto"/>
              </w:rPr>
            </w:pPr>
            <w:r>
              <w:rPr>
                <w:rFonts w:ascii="Times New Roman" w:cs="Times New Roman" w:eastAsia="Times New Roman" w:hAnsi="Times New Roman"/>
                <w:sz w:val="16"/>
                <w:szCs w:val="16"/>
                <w:color w:val="auto"/>
                <w:w w:val="99"/>
              </w:rPr>
              <w:t>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________________________________</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2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   Pay index references SOFR.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18"/>
                <w:szCs w:val="18"/>
                <w:b w:val="1"/>
                <w:bCs w:val="1"/>
                <w:color w:val="auto"/>
                <w:vertAlign w:val="superscript"/>
              </w:rPr>
              <w:t>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3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0"/>
                <w:szCs w:val="10"/>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80" w:type="dxa"/>
            <w:vAlign w:val="bottom"/>
            <w:gridSpan w:val="5"/>
          </w:tcPr>
          <w:p>
            <w:pPr>
              <w:jc w:val="right"/>
              <w:ind w:right="290"/>
              <w:spacing w:after="0" w:line="125" w:lineRule="exact"/>
              <w:rPr>
                <w:sz w:val="20"/>
                <w:szCs w:val="20"/>
                <w:color w:val="auto"/>
              </w:rPr>
            </w:pPr>
            <w:r>
              <w:rPr>
                <w:rFonts w:ascii="Times New Roman" w:cs="Times New Roman" w:eastAsia="Times New Roman" w:hAnsi="Times New Roman"/>
                <w:sz w:val="14"/>
                <w:szCs w:val="14"/>
                <w:b w:val="1"/>
                <w:bCs w:val="1"/>
                <w:color w:val="auto"/>
                <w:w w:val="99"/>
              </w:rPr>
              <w:t>Face Amount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228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3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 years</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956</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1,419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0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&gt; 5 year ≤ 7 years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2"/>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year ≤ 10 years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(8,187)</w:t>
            </w:r>
          </w:p>
        </w:tc>
        <w:tc>
          <w:tcPr>
            <w:tcW w:w="0" w:type="dxa"/>
            <w:vAlign w:val="bottom"/>
          </w:tcPr>
          <w:p>
            <w:pPr>
              <w:spacing w:after="0"/>
              <w:rPr>
                <w:sz w:val="1"/>
                <w:szCs w:val="1"/>
                <w:color w:val="auto"/>
              </w:rPr>
            </w:pPr>
          </w:p>
        </w:tc>
      </w:tr>
      <w:tr>
        <w:trPr>
          <w:trHeight w:val="206"/>
        </w:trPr>
        <w:tc>
          <w:tcPr>
            <w:tcW w:w="2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(16,207)</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jc w:val="both"/>
        <w:ind w:left="640" w:hanging="322"/>
        <w:spacing w:after="0" w:line="249"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and 2023, short U.S. Treasury securities totaling $(16.7) billion and $(10.9) billion, at fair value, respectively, had a weighted average yield of 3.85% and 3.64%, respectively. As of December 31, 2024 and 2023, long U.S. Treasury securities totaling $1.6 billion and $1.5 billion, at fair value, respectively, had a weighted average yield of 4.27% and 4.39%, respectively.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320"/>
              <w:spacing w:after="0" w:line="111" w:lineRule="exact"/>
              <w:rPr>
                <w:sz w:val="20"/>
                <w:szCs w:val="20"/>
                <w:color w:val="auto"/>
              </w:rPr>
            </w:pPr>
            <w:r>
              <w:rPr>
                <w:rFonts w:ascii="Times New Roman" w:cs="Times New Roman" w:eastAsia="Times New Roman" w:hAnsi="Times New Roman"/>
                <w:sz w:val="12"/>
                <w:szCs w:val="12"/>
                <w:b w:val="1"/>
                <w:bCs w:val="1"/>
                <w:color w:val="auto"/>
                <w:w w:val="99"/>
              </w:rPr>
              <w:t>Notional</w:t>
            </w:r>
          </w:p>
        </w:tc>
        <w:tc>
          <w:tcPr>
            <w:tcW w:w="18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w w:val="99"/>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Years to Maturity</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8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 xml:space="preserve">Value </w:t>
            </w:r>
            <w:r>
              <w:rPr>
                <w:rFonts w:ascii="Times New Roman" w:cs="Times New Roman" w:eastAsia="Times New Roman" w:hAnsi="Times New Roman"/>
                <w:sz w:val="15"/>
                <w:szCs w:val="15"/>
                <w:b w:val="1"/>
                <w:bCs w:val="1"/>
                <w:color w:val="auto"/>
                <w:w w:val="94"/>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89"/>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 ≤ 7 years</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7 year ≤ 10 years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5"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2"/>
                <w:szCs w:val="12"/>
                <w:b w:val="1"/>
                <w:bCs w:val="1"/>
                <w:color w:val="auto"/>
                <w:w w:val="99"/>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w w:val="99"/>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TBA Securities by Coupon</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 xml:space="preserve">Value </w:t>
            </w:r>
            <w:r>
              <w:rPr>
                <w:rFonts w:ascii="Times New Roman" w:cs="Times New Roman" w:eastAsia="Times New Roman" w:hAnsi="Times New Roman"/>
                <w:sz w:val="15"/>
                <w:szCs w:val="15"/>
                <w:b w:val="1"/>
                <w:bCs w:val="1"/>
                <w:color w:val="auto"/>
                <w:w w:val="99"/>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89"/>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5"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59"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As of December 31, 2024 and 2023, we held SOFR futures contracts with a long notional position of $1.2 billion and $0.9 billion, respectively, measured on a two-year swap equivalent basis, with a net carrying value of $(7) million and $(10) million, respectively.</w:t>
      </w:r>
    </w:p>
    <w:p>
      <w:pPr>
        <w:spacing w:after="0" w:line="134" w:lineRule="exact"/>
        <w:rPr>
          <w:sz w:val="20"/>
          <w:szCs w:val="20"/>
          <w:color w:val="auto"/>
        </w:rPr>
      </w:pPr>
    </w:p>
    <w:p>
      <w:pPr>
        <w:jc w:val="both"/>
        <w:ind w:firstLine="392"/>
        <w:spacing w:after="0" w:line="246" w:lineRule="auto"/>
        <w:rPr>
          <w:sz w:val="20"/>
          <w:szCs w:val="20"/>
          <w:color w:val="auto"/>
        </w:rPr>
      </w:pPr>
      <w:r>
        <w:rPr>
          <w:rFonts w:ascii="Times New Roman" w:cs="Times New Roman" w:eastAsia="Times New Roman" w:hAnsi="Times New Roman"/>
          <w:sz w:val="17"/>
          <w:szCs w:val="17"/>
          <w:color w:val="auto"/>
        </w:rPr>
        <w:t>As of December 31, 2023, we held centrally cleared credit default swaps ("CDS") with a notional value of $95 million that referenced the Markit CDX Investment Grade or High Yield Grade Index, maturing in December 2028. Under the terms of these contracts, we made fixed periodic payments equal to 1% per annum of the notional value and we were entitled to receive payments in the event of qualifying credit events. As of December 31, 2023, the credit default swaps had a market value of $(6) million and a carrying value of zero dollars, net of variation margin settlements. Pursuant to rules governing central clearing activities, we recognized variation margin settlements as a direct reduction of the carrying value of the CDS asset or liability.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From Derivative Instruments and Other Securities, Net</w:t>
      </w:r>
    </w:p>
    <w:p>
      <w:pPr>
        <w:spacing w:after="0" w:line="174"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summarizes changes in our derivative and other hedge portfolio and their effect on our consolidated statements of comprehensive income for fiscal years 2024, 2023 and 2022 (in millions):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Gain/(Loss)</w:t>
            </w:r>
          </w:p>
        </w:tc>
        <w:tc>
          <w:tcPr>
            <w:tcW w:w="0" w:type="dxa"/>
            <w:vAlign w:val="bottom"/>
          </w:tcPr>
          <w:p>
            <w:pPr>
              <w:spacing w:after="0"/>
              <w:rPr>
                <w:sz w:val="1"/>
                <w:szCs w:val="1"/>
                <w:color w:val="auto"/>
              </w:rPr>
            </w:pPr>
          </w:p>
        </w:tc>
      </w:tr>
      <w:tr>
        <w:trPr>
          <w:trHeight w:val="9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63"/>
              <w:spacing w:after="0" w:line="142" w:lineRule="exact"/>
              <w:rPr>
                <w:sz w:val="20"/>
                <w:szCs w:val="20"/>
                <w:color w:val="auto"/>
              </w:rPr>
            </w:pPr>
            <w:r>
              <w:rPr>
                <w:rFonts w:ascii="Times New Roman" w:cs="Times New Roman" w:eastAsia="Times New Roman" w:hAnsi="Times New Roman"/>
                <w:sz w:val="14"/>
                <w:szCs w:val="14"/>
                <w:b w:val="1"/>
                <w:bCs w:val="1"/>
                <w:color w:val="auto"/>
                <w:w w:val="99"/>
              </w:rPr>
              <w:t>on Derivative</w:t>
            </w:r>
          </w:p>
        </w:tc>
        <w:tc>
          <w:tcPr>
            <w:tcW w:w="0" w:type="dxa"/>
            <w:vAlign w:val="bottom"/>
          </w:tcPr>
          <w:p>
            <w:pPr>
              <w:spacing w:after="0"/>
              <w:rPr>
                <w:sz w:val="1"/>
                <w:szCs w:val="1"/>
                <w:color w:val="auto"/>
              </w:rPr>
            </w:pPr>
          </w:p>
        </w:tc>
      </w:tr>
      <w:tr>
        <w:trPr>
          <w:trHeight w:val="51"/>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Termination,</w:t>
            </w: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Ending</w:t>
            </w:r>
          </w:p>
        </w:tc>
        <w:tc>
          <w:tcPr>
            <w:tcW w:w="140" w:type="dxa"/>
            <w:vAlign w:val="bottom"/>
          </w:tcPr>
          <w:p>
            <w:pPr>
              <w:spacing w:after="0"/>
              <w:rPr>
                <w:sz w:val="11"/>
                <w:szCs w:val="11"/>
                <w:color w:val="auto"/>
              </w:rPr>
            </w:pPr>
          </w:p>
        </w:tc>
        <w:tc>
          <w:tcPr>
            <w:tcW w:w="1180" w:type="dxa"/>
            <w:vAlign w:val="bottom"/>
          </w:tcPr>
          <w:p>
            <w:pPr>
              <w:jc w:val="center"/>
              <w:ind w:right="43"/>
              <w:spacing w:after="0" w:line="131" w:lineRule="exact"/>
              <w:rPr>
                <w:sz w:val="20"/>
                <w:szCs w:val="20"/>
                <w:color w:val="auto"/>
              </w:rPr>
            </w:pPr>
            <w:r>
              <w:rPr>
                <w:rFonts w:ascii="Times New Roman" w:cs="Times New Roman" w:eastAsia="Times New Roman" w:hAnsi="Times New Roman"/>
                <w:sz w:val="14"/>
                <w:szCs w:val="14"/>
                <w:b w:val="1"/>
                <w:bCs w:val="1"/>
                <w:color w:val="auto"/>
                <w:w w:val="98"/>
              </w:rPr>
              <w:t>Instruments and</w:t>
            </w:r>
          </w:p>
        </w:tc>
        <w:tc>
          <w:tcPr>
            <w:tcW w:w="0" w:type="dxa"/>
            <w:vAlign w:val="bottom"/>
          </w:tcPr>
          <w:p>
            <w:pPr>
              <w:spacing w:after="0"/>
              <w:rPr>
                <w:sz w:val="1"/>
                <w:szCs w:val="1"/>
                <w:color w:val="auto"/>
              </w:rPr>
            </w:pPr>
          </w:p>
        </w:tc>
      </w:tr>
      <w:tr>
        <w:trPr>
          <w:trHeight w:val="144"/>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Expiration or</w:t>
            </w: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Other Securities, Net</w:t>
            </w:r>
          </w:p>
        </w:tc>
        <w:tc>
          <w:tcPr>
            <w:tcW w:w="0" w:type="dxa"/>
            <w:vAlign w:val="bottom"/>
          </w:tcPr>
          <w:p>
            <w:pPr>
              <w:spacing w:after="0"/>
              <w:rPr>
                <w:sz w:val="1"/>
                <w:szCs w:val="1"/>
                <w:color w:val="auto"/>
              </w:rPr>
            </w:pPr>
          </w:p>
        </w:tc>
      </w:tr>
      <w:tr>
        <w:trPr>
          <w:trHeight w:val="52"/>
        </w:trPr>
        <w:tc>
          <w:tcPr>
            <w:tcW w:w="4640" w:type="dxa"/>
            <w:vAlign w:val="bottom"/>
            <w:gridSpan w:val="2"/>
            <w:vMerge w:val="continue"/>
          </w:tcPr>
          <w:p>
            <w:pPr>
              <w:spacing w:after="0"/>
              <w:rPr>
                <w:sz w:val="4"/>
                <w:szCs w:val="4"/>
                <w:color w:val="auto"/>
              </w:rPr>
            </w:pPr>
          </w:p>
        </w:tc>
        <w:tc>
          <w:tcPr>
            <w:tcW w:w="1280" w:type="dxa"/>
            <w:vAlign w:val="bottom"/>
            <w:gridSpan w:val="3"/>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280" w:type="dxa"/>
            <w:vAlign w:val="bottom"/>
            <w:gridSpan w:val="2"/>
            <w:vMerge w:val="continue"/>
          </w:tcPr>
          <w:p>
            <w:pPr>
              <w:spacing w:after="0"/>
              <w:rPr>
                <w:sz w:val="4"/>
                <w:szCs w:val="4"/>
                <w:color w:val="auto"/>
              </w:rPr>
            </w:pPr>
          </w:p>
        </w:tc>
        <w:tc>
          <w:tcPr>
            <w:tcW w:w="1300" w:type="dxa"/>
            <w:vAlign w:val="bottom"/>
            <w:gridSpan w:val="2"/>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Exercise</w:t>
            </w:r>
          </w:p>
        </w:tc>
        <w:tc>
          <w:tcPr>
            <w:tcW w:w="1380" w:type="dxa"/>
            <w:vAlign w:val="bottom"/>
            <w:gridSpan w:val="4"/>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40" w:type="dxa"/>
            <w:vAlign w:val="bottom"/>
          </w:tcPr>
          <w:p>
            <w:pPr>
              <w:spacing w:after="0"/>
              <w:rPr>
                <w:sz w:val="4"/>
                <w:szCs w:val="4"/>
                <w:color w:val="auto"/>
              </w:rPr>
            </w:pPr>
          </w:p>
        </w:tc>
        <w:tc>
          <w:tcPr>
            <w:tcW w:w="1180" w:type="dxa"/>
            <w:vAlign w:val="bottom"/>
            <w:vMerge w:val="restart"/>
          </w:tcPr>
          <w:p>
            <w:pPr>
              <w:jc w:val="center"/>
              <w:ind w:right="63"/>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0" w:type="dxa"/>
            <w:vAlign w:val="bottom"/>
          </w:tcPr>
          <w:p>
            <w:pPr>
              <w:spacing w:after="0"/>
              <w:rPr>
                <w:sz w:val="1"/>
                <w:szCs w:val="1"/>
                <w:color w:val="auto"/>
              </w:rPr>
            </w:pPr>
          </w:p>
        </w:tc>
      </w:tr>
      <w:tr>
        <w:trPr>
          <w:trHeight w:val="66"/>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4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settling non-Agency securities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39,646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receiver</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10,503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2023: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164,465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5,332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44,476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receive, net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16,169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2022: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312,307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19,050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Forward settling non-Agency securities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3,050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17,765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29,780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line="245"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24"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Additionally, as of December 31, 2024 and 2023, we held SOFR futures contracts with a long notional position of $1.2 billion and $0.9 billion, respectively, measured on a two-year swap equivalent basis. For fiscal years December 31, 2024 and 2023, we recognized a gain (loss) of $13 million and $(10) million, respectively, on our SOFR futures contracts in gain (loss) on derivative instruments and other securities, net in our consolidated statements of comprehensive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Pledged Assets</w:t>
      </w:r>
    </w:p>
    <w:p>
      <w:pPr>
        <w:spacing w:after="0" w:line="17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0" w:name="page71"/>
    <w:bookmarkEnd w:id="70"/>
    <w:p>
      <w:pPr>
        <w:jc w:val="both"/>
        <w:spacing w:after="0" w:line="263" w:lineRule="auto"/>
        <w:rPr>
          <w:sz w:val="20"/>
          <w:szCs w:val="20"/>
          <w:color w:val="auto"/>
        </w:rPr>
      </w:pPr>
      <w:r>
        <w:rPr>
          <w:rFonts w:ascii="Times New Roman" w:cs="Times New Roman" w:eastAsia="Times New Roman" w:hAnsi="Times New Roman"/>
          <w:sz w:val="17"/>
          <w:szCs w:val="17"/>
          <w:color w:val="auto"/>
        </w:rPr>
        <w:t>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1"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As of December 31, 2024,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December 31, 2024, 9% of our tangible stockholder's equity was at risk with the Fixed Income Clearing Corporation.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Pledged to Counterparties</w:t>
      </w:r>
    </w:p>
    <w:p>
      <w:pPr>
        <w:spacing w:after="0" w:line="174" w:lineRule="exact"/>
        <w:rPr>
          <w:sz w:val="20"/>
          <w:szCs w:val="20"/>
          <w:color w:val="auto"/>
        </w:rPr>
      </w:pPr>
    </w:p>
    <w:p>
      <w:pPr>
        <w:jc w:val="both"/>
        <w:ind w:firstLine="431"/>
        <w:spacing w:after="0" w:line="277" w:lineRule="auto"/>
        <w:rPr>
          <w:sz w:val="20"/>
          <w:szCs w:val="20"/>
          <w:color w:val="auto"/>
        </w:rPr>
      </w:pPr>
      <w:r>
        <w:rPr>
          <w:rFonts w:ascii="Times New Roman" w:cs="Times New Roman" w:eastAsia="Times New Roman" w:hAnsi="Times New Roman"/>
          <w:sz w:val="17"/>
          <w:szCs w:val="17"/>
          <w:color w:val="auto"/>
        </w:rPr>
        <w:t>The following tables summarize our assets pledged as collateral under our funding, derivative and brokerage and clearing agreements by type, including securities pledged related to securities sold but not yet settled, as of December 31, 2024 and 2023 (in millions):</w:t>
      </w: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30"/>
              <w:spacing w:after="0" w:line="125"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Repurchase Agreements </w:t>
            </w:r>
            <w:r>
              <w:rPr>
                <w:rFonts w:ascii="Times New Roman" w:cs="Times New Roman" w:eastAsia="Times New Roman" w:hAnsi="Times New Roman"/>
                <w:sz w:val="18"/>
                <w:szCs w:val="18"/>
                <w:b w:val="1"/>
                <w:bCs w:val="1"/>
                <w:color w:val="auto"/>
                <w:vertAlign w:val="superscript"/>
              </w:rPr>
              <w:t>2</w:t>
            </w:r>
          </w:p>
        </w:tc>
        <w:tc>
          <w:tcPr>
            <w:tcW w:w="1260" w:type="dxa"/>
            <w:vAlign w:val="bottom"/>
          </w:tcPr>
          <w:p>
            <w:pPr>
              <w:jc w:val="center"/>
              <w:ind w:left="2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59,958</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30"/>
              <w:spacing w:after="0" w:line="125"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Repurchase Agreements </w:t>
            </w:r>
            <w:r>
              <w:rPr>
                <w:rFonts w:ascii="Times New Roman" w:cs="Times New Roman" w:eastAsia="Times New Roman" w:hAnsi="Times New Roman"/>
                <w:sz w:val="18"/>
                <w:szCs w:val="18"/>
                <w:b w:val="1"/>
                <w:bCs w:val="1"/>
                <w:color w:val="auto"/>
                <w:vertAlign w:val="superscript"/>
              </w:rPr>
              <w:t>2</w:t>
            </w:r>
          </w:p>
        </w:tc>
        <w:tc>
          <w:tcPr>
            <w:tcW w:w="1260" w:type="dxa"/>
            <w:vAlign w:val="bottom"/>
          </w:tcPr>
          <w:p>
            <w:pPr>
              <w:jc w:val="center"/>
              <w:ind w:left="2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49,602</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9" w:lineRule="exact"/>
        <w:rPr>
          <w:sz w:val="20"/>
          <w:szCs w:val="20"/>
          <w:color w:val="auto"/>
        </w:rPr>
      </w:pPr>
    </w:p>
    <w:p>
      <w:pPr>
        <w:ind w:left="640" w:hanging="322"/>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ind w:left="640" w:hanging="322"/>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 million and $42 million of retained interests in our consolidated VIEs pledged as collateral under repurchase agreements as of December 31, 2024 and 2023, respectively.</w:t>
      </w:r>
    </w:p>
    <w:p>
      <w:pPr>
        <w:spacing w:after="0" w:line="154"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following table summarizes our securities pledged as collateral under our repurchase agreements by the remaining maturity of our borrowings, including securities pledged related to sold but not yet settled securities, as of December 31, 2024 and 2023 (in millions). For the corresponding borrowings associated with the following amounts and the interest rates thereon, refer to Note 4</w:t>
      </w:r>
      <w:r>
        <w:rPr>
          <w:rFonts w:ascii="Times New Roman" w:cs="Times New Roman" w:eastAsia="Times New Roman" w:hAnsi="Times New Roman"/>
          <w:sz w:val="17"/>
          <w:szCs w:val="17"/>
          <w:i w:val="1"/>
          <w:iCs w:val="1"/>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0" w:type="dxa"/>
            <w:vAlign w:val="bottom"/>
          </w:tcPr>
          <w:p>
            <w:pPr>
              <w:spacing w:after="0"/>
              <w:rPr>
                <w:sz w:val="1"/>
                <w:szCs w:val="1"/>
                <w:color w:val="auto"/>
              </w:rPr>
            </w:pPr>
          </w:p>
        </w:tc>
      </w:tr>
      <w:tr>
        <w:trPr>
          <w:trHeight w:val="142"/>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2"/>
                <w:szCs w:val="12"/>
                <w:color w:val="auto"/>
              </w:rPr>
            </w:pP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 on</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Pledged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2"/>
                <w:szCs w:val="12"/>
                <w:color w:val="auto"/>
              </w:rPr>
            </w:pPr>
          </w:p>
        </w:tc>
        <w:tc>
          <w:tcPr>
            <w:tcW w:w="900" w:type="dxa"/>
            <w:vAlign w:val="bottom"/>
          </w:tcPr>
          <w:p>
            <w:pPr>
              <w:jc w:val="center"/>
              <w:ind w:right="70"/>
              <w:spacing w:after="0" w:line="144" w:lineRule="exact"/>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r>
        <w:trPr>
          <w:trHeight w:val="196"/>
        </w:trPr>
        <w:tc>
          <w:tcPr>
            <w:tcW w:w="39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18"/>
                <w:szCs w:val="18"/>
                <w:b w:val="1"/>
                <w:bCs w:val="1"/>
                <w:color w:val="auto"/>
                <w:vertAlign w:val="superscript"/>
              </w:rPr>
              <w:t>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40" w:type="dxa"/>
            <w:vAlign w:val="bottom"/>
          </w:tcPr>
          <w:p>
            <w:pPr>
              <w:spacing w:after="0"/>
              <w:rPr>
                <w:sz w:val="17"/>
                <w:szCs w:val="17"/>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89"/>
        </w:trPr>
        <w:tc>
          <w:tcPr>
            <w:tcW w:w="3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43,701</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89"/>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64,882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 million and $42 million of retained interests in our consolidated VIEs pledged as collateral under repurchase agreements as of December 31, 2024 and 2023, respectively.</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$397 million of repledged U.S. Treasury securities received as collateral from counterparties as of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Pledged from Counterparties</w:t>
      </w:r>
    </w:p>
    <w:p>
      <w:pPr>
        <w:spacing w:after="0" w:line="174" w:lineRule="exact"/>
        <w:rPr>
          <w:sz w:val="20"/>
          <w:szCs w:val="20"/>
          <w:color w:val="auto"/>
        </w:rPr>
      </w:pPr>
    </w:p>
    <w:p>
      <w:pPr>
        <w:jc w:val="both"/>
        <w:ind w:firstLine="392"/>
        <w:spacing w:after="0" w:line="277" w:lineRule="auto"/>
        <w:rPr>
          <w:sz w:val="20"/>
          <w:szCs w:val="20"/>
          <w:color w:val="auto"/>
        </w:rPr>
      </w:pPr>
      <w:r>
        <w:rPr>
          <w:rFonts w:ascii="Times New Roman" w:cs="Times New Roman" w:eastAsia="Times New Roman" w:hAnsi="Times New Roman"/>
          <w:sz w:val="17"/>
          <w:szCs w:val="17"/>
          <w:color w:val="auto"/>
        </w:rPr>
        <w:t>As of December 31, 2024 and 2023,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0"/>
                <w:szCs w:val="10"/>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0"/>
                <w:szCs w:val="10"/>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 -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6"/>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Offsetting Assets and Liabilities</w:t>
      </w:r>
    </w:p>
    <w:p>
      <w:pPr>
        <w:spacing w:after="0" w:line="174"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2024 and 2023 (in millions):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Gross Amounts Not Offset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50"/>
              <w:spacing w:after="0" w:line="142"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40" w:type="dxa"/>
            <w:vAlign w:val="bottom"/>
          </w:tcPr>
          <w:p>
            <w:pPr>
              <w:spacing w:after="0"/>
              <w:rPr>
                <w:sz w:val="13"/>
                <w:szCs w:val="13"/>
                <w:color w:val="auto"/>
              </w:rPr>
            </w:pPr>
          </w:p>
        </w:tc>
        <w:tc>
          <w:tcPr>
            <w:tcW w:w="2340" w:type="dxa"/>
            <w:vAlign w:val="bottom"/>
            <w:gridSpan w:val="5"/>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Consolidated Balance Sheets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of Recognized</w:t>
            </w:r>
          </w:p>
        </w:tc>
        <w:tc>
          <w:tcPr>
            <w:tcW w:w="8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Sheets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06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4538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38980" cy="8255"/>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 xml:space="preserve">TBA securities, at fair value </w:t>
      </w:r>
      <w:r>
        <w:rPr>
          <w:rFonts w:ascii="Times New Roman" w:cs="Times New Roman" w:eastAsia="Times New Roman" w:hAnsi="Times New Roman"/>
          <w:sz w:val="17"/>
          <w:szCs w:val="17"/>
          <w:color w:val="auto"/>
          <w:vertAlign w:val="superscript"/>
        </w:rPr>
        <w:t>1</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 xml:space="preserve">TBA securities, at fair value </w:t>
      </w:r>
      <w:r>
        <w:rPr>
          <w:rFonts w:ascii="Times New Roman" w:cs="Times New Roman" w:eastAsia="Times New Roman" w:hAnsi="Times New Roman"/>
          <w:sz w:val="17"/>
          <w:szCs w:val="17"/>
          <w:color w:val="auto"/>
          <w:vertAlign w:val="superscript"/>
        </w:rPr>
        <w:t>1</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Gross Amounts Not Offset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594"/>
              <w:spacing w:after="0" w:line="142" w:lineRule="exact"/>
              <w:rPr>
                <w:sz w:val="20"/>
                <w:szCs w:val="20"/>
                <w:color w:val="auto"/>
              </w:rPr>
            </w:pPr>
            <w:r>
              <w:rPr>
                <w:rFonts w:ascii="Times New Roman" w:cs="Times New Roman" w:eastAsia="Times New Roman" w:hAnsi="Times New Roman"/>
                <w:sz w:val="14"/>
                <w:szCs w:val="14"/>
                <w:b w:val="1"/>
                <w:bCs w:val="1"/>
                <w:color w:val="auto"/>
              </w:rPr>
              <w:t>in the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13"/>
                <w:szCs w:val="13"/>
                <w:color w:val="auto"/>
              </w:rPr>
            </w:pPr>
          </w:p>
        </w:tc>
        <w:tc>
          <w:tcPr>
            <w:tcW w:w="11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20" w:type="dxa"/>
            <w:vAlign w:val="bottom"/>
          </w:tcPr>
          <w:p>
            <w:pPr>
              <w:spacing w:after="0"/>
              <w:rPr>
                <w:sz w:val="13"/>
                <w:szCs w:val="13"/>
                <w:color w:val="auto"/>
              </w:rPr>
            </w:pPr>
          </w:p>
        </w:tc>
        <w:tc>
          <w:tcPr>
            <w:tcW w:w="2300" w:type="dxa"/>
            <w:vAlign w:val="bottom"/>
            <w:gridSpan w:val="5"/>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Consolidated Balance Sheets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of Recognized</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120" w:type="dxa"/>
            <w:vAlign w:val="bottom"/>
          </w:tcPr>
          <w:p>
            <w:pPr>
              <w:spacing w:after="0"/>
              <w:rPr>
                <w:sz w:val="15"/>
                <w:szCs w:val="15"/>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1020" w:type="dxa"/>
            <w:vAlign w:val="bottom"/>
            <w:gridSpan w:val="2"/>
          </w:tcPr>
          <w:p>
            <w:pPr>
              <w:jc w:val="center"/>
              <w:ind w:right="180"/>
              <w:spacing w:after="0" w:line="53" w:lineRule="exact"/>
              <w:rPr>
                <w:sz w:val="20"/>
                <w:szCs w:val="20"/>
                <w:color w:val="auto"/>
              </w:rPr>
            </w:pPr>
            <w:r>
              <w:rPr>
                <w:rFonts w:ascii="Times New Roman" w:cs="Times New Roman" w:eastAsia="Times New Roman" w:hAnsi="Times New Roman"/>
                <w:sz w:val="6"/>
                <w:szCs w:val="6"/>
                <w:b w:val="1"/>
                <w:bCs w:val="1"/>
                <w:color w:val="auto"/>
              </w:rPr>
              <w:t>Liabilities</w:t>
            </w:r>
          </w:p>
        </w:tc>
        <w:tc>
          <w:tcPr>
            <w:tcW w:w="120" w:type="dxa"/>
            <w:vAlign w:val="bottom"/>
          </w:tcPr>
          <w:p>
            <w:pPr>
              <w:spacing w:after="0"/>
              <w:rPr>
                <w:sz w:val="4"/>
                <w:szCs w:val="4"/>
                <w:color w:val="auto"/>
              </w:rPr>
            </w:pPr>
          </w:p>
        </w:tc>
        <w:tc>
          <w:tcPr>
            <w:tcW w:w="1200" w:type="dxa"/>
            <w:vAlign w:val="bottom"/>
            <w:gridSpan w:val="2"/>
          </w:tcPr>
          <w:p>
            <w:pPr>
              <w:jc w:val="center"/>
              <w:ind w:right="24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80" w:type="dxa"/>
            <w:vAlign w:val="bottom"/>
          </w:tcPr>
          <w:p>
            <w:pPr>
              <w:spacing w:after="0"/>
              <w:rPr>
                <w:sz w:val="4"/>
                <w:szCs w:val="4"/>
                <w:color w:val="auto"/>
              </w:rPr>
            </w:pPr>
          </w:p>
        </w:tc>
        <w:tc>
          <w:tcPr>
            <w:tcW w:w="116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120" w:type="dxa"/>
            <w:vAlign w:val="bottom"/>
          </w:tcPr>
          <w:p>
            <w:pPr>
              <w:spacing w:after="0"/>
              <w:rPr>
                <w:sz w:val="4"/>
                <w:szCs w:val="4"/>
                <w:color w:val="auto"/>
              </w:rPr>
            </w:pPr>
          </w:p>
        </w:tc>
        <w:tc>
          <w:tcPr>
            <w:tcW w:w="106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Instruments</w:t>
            </w:r>
          </w:p>
        </w:tc>
        <w:tc>
          <w:tcPr>
            <w:tcW w:w="340" w:type="dxa"/>
            <w:vAlign w:val="bottom"/>
          </w:tcPr>
          <w:p>
            <w:pPr>
              <w:spacing w:after="0"/>
              <w:rPr>
                <w:sz w:val="4"/>
                <w:szCs w:val="4"/>
                <w:color w:val="auto"/>
              </w:rPr>
            </w:pPr>
          </w:p>
        </w:tc>
        <w:tc>
          <w:tcPr>
            <w:tcW w:w="800" w:type="dxa"/>
            <w:vAlign w:val="bottom"/>
            <w:vMerge w:val="restart"/>
          </w:tcPr>
          <w:p>
            <w:pPr>
              <w:jc w:val="right"/>
              <w:ind w:right="494"/>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60,798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60,885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(11,741)</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(49,144)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5"/>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-945515</wp:posOffset>
            </wp:positionV>
            <wp:extent cx="7078345" cy="124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-671830</wp:posOffset>
            </wp:positionV>
            <wp:extent cx="7078345" cy="132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78345" cy="13271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-414020</wp:posOffset>
            </wp:positionV>
            <wp:extent cx="7078345" cy="124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-165100</wp:posOffset>
            </wp:positionV>
            <wp:extent cx="7078345" cy="149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8345" cy="14922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-1202690</wp:posOffset>
            </wp:positionV>
            <wp:extent cx="7078345" cy="132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78345" cy="13271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340" w:space="720"/>
            <w:col w:w="7180"/>
          </w:cols>
          <w:pgMar w:left="320" w:top="1056" w:right="339" w:bottom="1440" w:gutter="0" w:footer="0" w:header="0"/>
          <w:type w:val="continuous"/>
        </w:sectPr>
      </w:pPr>
    </w:p>
    <w:p>
      <w:pPr>
        <w:ind w:left="640" w:right="40" w:hanging="322"/>
        <w:spacing w:after="0" w:line="242"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40" w:right="140" w:hanging="322"/>
        <w:spacing w:after="0" w:line="266"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Fair Value Measurements</w:t>
      </w:r>
    </w:p>
    <w:p>
      <w:pPr>
        <w:spacing w:after="0" w:line="172"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The following table provides a summary of our assets and liabilities that are measured at fair value on a recurring basis, as of December 31, 2024 and 2023,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65,367</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53,673</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466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line="196" w:lineRule="exact"/>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jc w:val="both"/>
        <w:ind w:left="640" w:hanging="322"/>
        <w:spacing w:after="0" w:line="268"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and 2023, the net fair value of our interest rate swaps excluding the recognition of variation margin settlements as a direct reduction of carrying value was a net asset (liability) of $2.3 billion and $2.9 billion, respectively, based on "Level 2" inputs. As of December 31, 2024 and 2023, the net fair value of our credit default swaps excluding the recognition of variation margin settlements was a net asset (liability) of $0 million and $(6) million, respectively, based on "Level 2" inputs. See Notes 2 and 5 for additional details.</w:t>
      </w:r>
    </w:p>
    <w:p>
      <w:pPr>
        <w:spacing w:after="0" w:line="275" w:lineRule="exact"/>
        <w:rPr>
          <w:sz w:val="20"/>
          <w:szCs w:val="20"/>
          <w:color w:val="auto"/>
        </w:rPr>
      </w:pPr>
    </w:p>
    <w:p>
      <w:pPr>
        <w:jc w:val="both"/>
        <w:ind w:firstLine="431"/>
        <w:spacing w:after="0" w:line="264" w:lineRule="auto"/>
        <w:rPr>
          <w:sz w:val="20"/>
          <w:szCs w:val="20"/>
          <w:color w:val="auto"/>
        </w:rPr>
      </w:pPr>
      <w:r>
        <w:rPr>
          <w:rFonts w:ascii="Times New Roman" w:cs="Times New Roman" w:eastAsia="Times New Roman" w:hAnsi="Times New Roman"/>
          <w:sz w:val="17"/>
          <w:szCs w:val="17"/>
          <w:color w:val="auto"/>
        </w:rPr>
        <w:t>Excluded from the table above are financial instruments reported at cost and other mortgage credit investments reported under the equity method of accounting in our consolidated financial statements. As of December 31, 2024 and 2023,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December 31, 2024 and 2023, the carrying value of other mortgage credit investments reported under the equity method of accounting was $64 million and $44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Net Income (Loss) Per Common Share</w:t>
      </w:r>
    </w:p>
    <w:p>
      <w:pPr>
        <w:spacing w:after="0" w:line="251"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74" w:name="page75"/>
    <w:bookmarkEnd w:id="74"/>
    <w:tbl>
      <w:tblPr>
        <w:tblLayout w:type="fixed"/>
        <w:tblInd w:w="50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3"/>
        </w:trPr>
        <w:tc>
          <w:tcPr>
            <w:tcW w:w="7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w:t>
            </w: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For the year ended December 31, 2022, 1.1 million of potentially dilutive unvested time- and performance-based RSUs outstanding were excluded from the computation of diluted net income (loss) per common share because including them would have been anti-dilutive for the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74"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auto"/>
        </w:rPr>
        <w:t>We are authorized to designate and issue up to 10.0 million shares of preferred stock in one or more classes or series. As of December 31, 2024 and 2023,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December 31, 2024 and 2023,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21"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1" w:lineRule="exact"/>
        <w:rPr>
          <w:sz w:val="20"/>
          <w:szCs w:val="20"/>
          <w:color w:val="auto"/>
        </w:rPr>
      </w:pPr>
    </w:p>
    <w:p>
      <w:pPr>
        <w:jc w:val="both"/>
        <w:ind w:firstLine="392"/>
        <w:spacing w:after="0" w:line="267" w:lineRule="auto"/>
        <w:rPr>
          <w:sz w:val="20"/>
          <w:szCs w:val="20"/>
          <w:color w:val="auto"/>
        </w:rPr>
      </w:pPr>
      <w:r>
        <w:rPr>
          <w:rFonts w:ascii="Times New Roman" w:cs="Times New Roman" w:eastAsia="Times New Roman" w:hAnsi="Times New Roman"/>
          <w:sz w:val="17"/>
          <w:szCs w:val="17"/>
          <w:color w:val="auto"/>
        </w:rPr>
        <w:t>The following table includes a summary of preferred stock depositary shares issued and outstanding as of December 31, 2024 (dollars and shares in millions):</w:t>
      </w:r>
    </w:p>
    <w:p>
      <w:pPr>
        <w:spacing w:after="0" w:line="383"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Depositary</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Cumulative Redeemable</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Issued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2"/>
                <w:szCs w:val="12"/>
                <w:color w:val="auto"/>
              </w:rPr>
            </w:pPr>
          </w:p>
        </w:tc>
        <w:tc>
          <w:tcPr>
            <w:tcW w:w="920" w:type="dxa"/>
            <w:vAlign w:val="bottom"/>
          </w:tcPr>
          <w:p>
            <w:pPr>
              <w:jc w:val="center"/>
              <w:ind w:right="53"/>
              <w:spacing w:after="0" w:line="144"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3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Per Annum</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First Optional</w:t>
            </w:r>
          </w:p>
        </w:tc>
        <w:tc>
          <w:tcPr>
            <w:tcW w:w="0" w:type="dxa"/>
            <w:vAlign w:val="bottom"/>
          </w:tcPr>
          <w:p>
            <w:pPr>
              <w:spacing w:after="0"/>
              <w:rPr>
                <w:sz w:val="1"/>
                <w:szCs w:val="1"/>
                <w:color w:val="auto"/>
              </w:rPr>
            </w:pPr>
          </w:p>
        </w:tc>
      </w:tr>
      <w:tr>
        <w:trPr>
          <w:trHeight w:val="131"/>
        </w:trPr>
        <w:tc>
          <w:tcPr>
            <w:tcW w:w="190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13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Redemption Date /</w:t>
            </w:r>
          </w:p>
        </w:tc>
        <w:tc>
          <w:tcPr>
            <w:tcW w:w="0" w:type="dxa"/>
            <w:vAlign w:val="bottom"/>
          </w:tcPr>
          <w:p>
            <w:pPr>
              <w:spacing w:after="0"/>
              <w:rPr>
                <w:sz w:val="1"/>
                <w:szCs w:val="1"/>
                <w:color w:val="auto"/>
              </w:rPr>
            </w:pPr>
          </w:p>
        </w:tc>
      </w:tr>
      <w:tr>
        <w:trPr>
          <w:trHeight w:val="196"/>
        </w:trPr>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 xml:space="preserve">Preferred Stock </w:t>
            </w:r>
            <w:r>
              <w:rPr>
                <w:rFonts w:ascii="Times New Roman" w:cs="Times New Roman" w:eastAsia="Times New Roman" w:hAnsi="Times New Roman"/>
                <w:sz w:val="17"/>
                <w:szCs w:val="17"/>
                <w:b w:val="1"/>
                <w:bCs w:val="1"/>
                <w:color w:val="auto"/>
                <w:vertAlign w:val="superscript"/>
              </w:rPr>
              <w:t>1</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7"/>
                <w:szCs w:val="17"/>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Preference</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Rate </w:t>
            </w:r>
            <w:r>
              <w:rPr>
                <w:rFonts w:ascii="Times New Roman" w:cs="Times New Roman" w:eastAsia="Times New Roman" w:hAnsi="Times New Roman"/>
                <w:sz w:val="17"/>
                <w:szCs w:val="17"/>
                <w:b w:val="1"/>
                <w:bCs w:val="1"/>
                <w:color w:val="auto"/>
                <w:w w:val="96"/>
                <w:vertAlign w:val="superscript"/>
              </w:rPr>
              <w:t>2,3</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Conversion Date </w:t>
            </w:r>
            <w:r>
              <w:rPr>
                <w:rFonts w:ascii="Times New Roman" w:cs="Times New Roman" w:eastAsia="Times New Roman" w:hAnsi="Times New Roman"/>
                <w:sz w:val="17"/>
                <w:szCs w:val="17"/>
                <w:b w:val="1"/>
                <w:bCs w:val="1"/>
                <w:color w:val="auto"/>
                <w:vertAlign w:val="superscript"/>
              </w:rPr>
              <w:t>3,4</w:t>
            </w:r>
          </w:p>
        </w:tc>
        <w:tc>
          <w:tcPr>
            <w:tcW w:w="0" w:type="dxa"/>
            <w:vAlign w:val="bottom"/>
          </w:tcPr>
          <w:p>
            <w:pPr>
              <w:spacing w:after="0"/>
              <w:rPr>
                <w:sz w:val="1"/>
                <w:szCs w:val="1"/>
                <w:color w:val="auto"/>
              </w:rPr>
            </w:pPr>
          </w:p>
        </w:tc>
      </w:tr>
      <w:tr>
        <w:trPr>
          <w:trHeight w:val="176"/>
        </w:trPr>
        <w:tc>
          <w:tcPr>
            <w:tcW w:w="1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Series C</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August 22, 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20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10.01991%</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15, 2022</w:t>
            </w:r>
          </w:p>
        </w:tc>
        <w:tc>
          <w:tcPr>
            <w:tcW w:w="0" w:type="dxa"/>
            <w:vAlign w:val="bottom"/>
          </w:tcPr>
          <w:p>
            <w:pPr>
              <w:spacing w:after="0"/>
              <w:rPr>
                <w:sz w:val="1"/>
                <w:szCs w:val="1"/>
                <w:color w:val="auto"/>
              </w:rPr>
            </w:pPr>
          </w:p>
        </w:tc>
      </w:tr>
      <w:tr>
        <w:trPr>
          <w:trHeight w:val="187"/>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D</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March 6, 2019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2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9.24091%</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April 15, 2024</w:t>
            </w:r>
          </w:p>
        </w:tc>
        <w:tc>
          <w:tcPr>
            <w:tcW w:w="0" w:type="dxa"/>
            <w:vAlign w:val="bottom"/>
          </w:tcPr>
          <w:p>
            <w:pPr>
              <w:spacing w:after="0"/>
              <w:rPr>
                <w:sz w:val="1"/>
                <w:szCs w:val="1"/>
                <w:color w:val="auto"/>
              </w:rPr>
            </w:pPr>
          </w:p>
        </w:tc>
      </w:tr>
      <w:tr>
        <w:trPr>
          <w:trHeight w:val="179"/>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Series 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October 3, 2019</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2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9.90191%</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15, 2024</w:t>
            </w:r>
          </w:p>
        </w:tc>
        <w:tc>
          <w:tcPr>
            <w:tcW w:w="0" w:type="dxa"/>
            <w:vAlign w:val="bottom"/>
          </w:tcPr>
          <w:p>
            <w:pPr>
              <w:spacing w:after="0"/>
              <w:rPr>
                <w:sz w:val="1"/>
                <w:szCs w:val="1"/>
                <w:color w:val="auto"/>
              </w:rPr>
            </w:pPr>
          </w:p>
        </w:tc>
      </w:tr>
      <w:tr>
        <w:trPr>
          <w:trHeight w:val="187"/>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F</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February 11, 2020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2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6.125%</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April 15, 2025</w:t>
            </w:r>
          </w:p>
        </w:tc>
        <w:tc>
          <w:tcPr>
            <w:tcW w:w="0" w:type="dxa"/>
            <w:vAlign w:val="bottom"/>
          </w:tcPr>
          <w:p>
            <w:pPr>
              <w:spacing w:after="0"/>
              <w:rPr>
                <w:sz w:val="1"/>
                <w:szCs w:val="1"/>
                <w:color w:val="auto"/>
              </w:rPr>
            </w:pPr>
          </w:p>
        </w:tc>
      </w:tr>
      <w:tr>
        <w:trPr>
          <w:trHeight w:val="179"/>
        </w:trPr>
        <w:tc>
          <w:tcPr>
            <w:tcW w:w="1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Fixed-Rate Reset:</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G</w:t>
            </w: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September 14,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2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7.750%</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 15, 2027</w:t>
            </w:r>
          </w:p>
        </w:tc>
        <w:tc>
          <w:tcPr>
            <w:tcW w:w="0" w:type="dxa"/>
            <w:vAlign w:val="bottom"/>
          </w:tcPr>
          <w:p>
            <w:pPr>
              <w:spacing w:after="0"/>
              <w:rPr>
                <w:sz w:val="1"/>
                <w:szCs w:val="1"/>
                <w:color w:val="auto"/>
              </w:rPr>
            </w:pPr>
          </w:p>
        </w:tc>
      </w:tr>
      <w:tr>
        <w:trPr>
          <w:trHeight w:val="172"/>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jc w:val="both"/>
        <w:ind w:left="640" w:hanging="322"/>
        <w:spacing w:after="0" w:line="246"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40" w:hanging="322"/>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 and E per annum dividend rates represent the rates in effect as of December 31, 2024.</w:t>
      </w:r>
    </w:p>
    <w:p>
      <w:pPr>
        <w:spacing w:after="0" w:line="8" w:lineRule="exact"/>
        <w:rPr>
          <w:rFonts w:ascii="Times New Roman" w:cs="Times New Roman" w:eastAsia="Times New Roman" w:hAnsi="Times New Roman"/>
          <w:sz w:val="14"/>
          <w:szCs w:val="14"/>
          <w:color w:val="auto"/>
        </w:rPr>
      </w:pPr>
    </w:p>
    <w:p>
      <w:pPr>
        <w:jc w:val="both"/>
        <w:ind w:left="640" w:hanging="322"/>
        <w:spacing w:after="0" w:line="25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 and E dividends accrue at a rate equal to the 3-Month CME Term SOFR plus 0.26161%, plus spreads of 5.111%, 4.332% and 4.993%, respectively, per annum, resetting quarterly in accordance with the certificate of designations for such series and the Adjustable Interest Rate (LIBOR) Act of 2021 (the “LIBOR Act”). At the conclusion of the fixed rate period (the conversion date) for the Series F Preferred Stock, the dividend for such series will accrue at a rate equal to the 3-Month CME Term SOFR plus 0.26161%, plus a spread of 4.697% per annum, resetting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75" w:name="page76"/>
    <w:bookmarkEnd w:id="75"/>
    <w:p>
      <w:pPr>
        <w:ind w:left="640"/>
        <w:spacing w:after="0" w:line="262" w:lineRule="auto"/>
        <w:rPr>
          <w:sz w:val="20"/>
          <w:szCs w:val="20"/>
          <w:color w:val="auto"/>
        </w:rPr>
      </w:pPr>
      <w:r>
        <w:rPr>
          <w:rFonts w:ascii="Times New Roman" w:cs="Times New Roman" w:eastAsia="Times New Roman" w:hAnsi="Times New Roman"/>
          <w:sz w:val="14"/>
          <w:szCs w:val="14"/>
          <w:color w:val="auto"/>
        </w:rPr>
        <w:t>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1" w:lineRule="exact"/>
        <w:rPr>
          <w:sz w:val="20"/>
          <w:szCs w:val="20"/>
          <w:color w:val="auto"/>
        </w:rPr>
      </w:pPr>
    </w:p>
    <w:p>
      <w:pPr>
        <w:ind w:left="640" w:hanging="322"/>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 Program</w:t>
      </w:r>
    </w:p>
    <w:p>
      <w:pPr>
        <w:spacing w:after="0" w:line="161" w:lineRule="exact"/>
        <w:rPr>
          <w:sz w:val="20"/>
          <w:szCs w:val="20"/>
          <w:color w:val="auto"/>
        </w:rPr>
      </w:pPr>
    </w:p>
    <w:p>
      <w:pPr>
        <w:jc w:val="both"/>
        <w:ind w:firstLine="392"/>
        <w:spacing w:after="0" w:line="251" w:lineRule="auto"/>
        <w:rPr>
          <w:sz w:val="20"/>
          <w:szCs w:val="20"/>
          <w:color w:val="auto"/>
        </w:rPr>
      </w:pPr>
      <w:r>
        <w:rPr>
          <w:rFonts w:ascii="Times New Roman" w:cs="Times New Roman" w:eastAsia="Times New Roman" w:hAnsi="Times New Roman"/>
          <w:sz w:val="17"/>
          <w:szCs w:val="17"/>
          <w:color w:val="auto"/>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sold under the sales agreements during fiscal years 2024, 2023 and 2022 (in millions, except for per share data). As of December 31, 2024, shares of our common stock with an aggregate offering price of $1.2 billion remained authorized for issuance under this program through December 31, 2025.</w:t>
      </w:r>
    </w:p>
    <w:p>
      <w:pPr>
        <w:spacing w:after="0" w:line="200" w:lineRule="exact"/>
        <w:rPr>
          <w:sz w:val="20"/>
          <w:szCs w:val="20"/>
          <w:color w:val="auto"/>
        </w:rPr>
      </w:pPr>
    </w:p>
    <w:p>
      <w:pPr>
        <w:spacing w:after="0" w:line="238"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ATM Offerings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Average Price Received</w:t>
            </w:r>
          </w:p>
        </w:tc>
        <w:tc>
          <w:tcPr>
            <w:tcW w:w="15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0" w:type="dxa"/>
            <w:vAlign w:val="bottom"/>
          </w:tcPr>
          <w:p>
            <w:pPr>
              <w:spacing w:after="0"/>
              <w:rPr>
                <w:sz w:val="1"/>
                <w:szCs w:val="1"/>
                <w:color w:val="auto"/>
              </w:rPr>
            </w:pPr>
          </w:p>
        </w:tc>
      </w:tr>
      <w:tr>
        <w:trPr>
          <w:trHeight w:val="190"/>
        </w:trPr>
        <w:tc>
          <w:tcPr>
            <w:tcW w:w="2840" w:type="dxa"/>
            <w:vAlign w:val="bottom"/>
            <w:gridSpan w:val="2"/>
            <w:vMerge w:val="continue"/>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Per Share, Net</w:t>
            </w: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2024</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$9.73</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r>
        <w:trPr>
          <w:trHeight w:val="189"/>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Year 2023</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$9.14</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$9.39</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Repurchase Program</w:t>
      </w:r>
    </w:p>
    <w:p>
      <w:pPr>
        <w:spacing w:after="0" w:line="17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We are authorized by our Board to repurchase shares of our common stock in open market, through privately negotiated transactions, or pursuant to a trading plan that may be adopted in accordance with Rule 10b5-1 of the Securities Exchange Act of 1934, as amended. The following table includes a summary of shares of our common stock repurchased during fiscal year 2022 (in millions, except for per share data). During fiscal years 2023 and 2024, we did not repurchase shares under this program. As of December 31, 2024, shares of our common stock with an aggregate repurchase price of $1.0 billion remained authorized for repurchase through December 31, 2026.</w:t>
      </w:r>
    </w:p>
    <w:p>
      <w:pPr>
        <w:spacing w:after="0" w:line="13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Repurchases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Average Price Paid Per</w:t>
            </w:r>
          </w:p>
        </w:tc>
        <w:tc>
          <w:tcPr>
            <w:tcW w:w="16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3"/>
                <w:szCs w:val="13"/>
                <w:color w:val="auto"/>
              </w:rPr>
            </w:pPr>
          </w:p>
        </w:tc>
        <w:tc>
          <w:tcPr>
            <w:tcW w:w="120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Net Cost</w:t>
            </w:r>
          </w:p>
        </w:tc>
        <w:tc>
          <w:tcPr>
            <w:tcW w:w="0" w:type="dxa"/>
            <w:vAlign w:val="bottom"/>
          </w:tcPr>
          <w:p>
            <w:pPr>
              <w:spacing w:after="0"/>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16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Share </w:t>
            </w:r>
            <w:r>
              <w:rPr>
                <w:rFonts w:ascii="Times New Roman" w:cs="Times New Roman" w:eastAsia="Times New Roman" w:hAnsi="Times New Roman"/>
                <w:sz w:val="18"/>
                <w:szCs w:val="18"/>
                <w:b w:val="1"/>
                <w:bCs w:val="1"/>
                <w:color w:val="auto"/>
                <w:w w:val="98"/>
                <w:vertAlign w:val="superscript"/>
              </w:rPr>
              <w:t>1</w:t>
            </w:r>
          </w:p>
        </w:tc>
        <w:tc>
          <w:tcPr>
            <w:tcW w:w="16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2022</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 to Stockholders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dividends declared during fiscal years 2024, 2023 and 2022 (in millions, except per share amounts):</w:t>
      </w:r>
    </w:p>
    <w:p>
      <w:pPr>
        <w:spacing w:after="0" w:line="83"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8"/>
              </w:rPr>
              <w:t>Dividends Declared</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Dividends Declared Per</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2"/>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C Preferred Stock</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2.672820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2.660390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1.886880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D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2.278248</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1.718750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1.718750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E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1.851370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F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1.531250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1.531250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1.531250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G Preferred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1.937520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1.937520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0.651220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1,137</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1.440000</w:t>
            </w:r>
          </w:p>
        </w:tc>
        <w:tc>
          <w:tcPr>
            <w:tcW w:w="0" w:type="dxa"/>
            <w:vAlign w:val="bottom"/>
          </w:tcPr>
          <w:p>
            <w:pPr>
              <w:spacing w:after="0"/>
              <w:rPr>
                <w:sz w:val="1"/>
                <w:szCs w:val="1"/>
                <w:color w:val="auto"/>
              </w:rPr>
            </w:pPr>
          </w:p>
        </w:tc>
      </w:tr>
      <w:tr>
        <w:trPr>
          <w:trHeight w:val="206"/>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1.440000</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775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1.440000</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10" w:lineRule="exact"/>
        <w:rPr>
          <w:sz w:val="20"/>
          <w:szCs w:val="20"/>
          <w:color w:val="auto"/>
        </w:rPr>
      </w:pPr>
    </w:p>
    <w:p>
      <w:pPr>
        <w:ind w:left="640" w:hanging="322"/>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per share amounts are per depositary share.</w:t>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23" w:right="1440" w:bottom="1440" w:gutter="0" w:footer="0" w:header="0"/>
        </w:sectPr>
      </w:pPr>
    </w:p>
    <w:bookmarkStart w:id="77" w:name="page78"/>
    <w:bookmarkEnd w:id="77"/>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The following table summarizes our tax characterization of distributions to stockholders for fiscal years 2024, 2023 and 2022. Distributions included in the table below are based on the fiscal tax year for which the distribution is attributed to for stockholders in accordance with rules promulgated under the Internal Revenue Code:</w:t>
      </w:r>
    </w:p>
    <w:p>
      <w:pPr>
        <w:spacing w:after="0" w:line="75"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 xml:space="preserve">Tax Characterization </w:t>
            </w:r>
            <w:r>
              <w:rPr>
                <w:rFonts w:ascii="Times New Roman" w:cs="Times New Roman" w:eastAsia="Times New Roman" w:hAnsi="Times New Roman"/>
                <w:sz w:val="18"/>
                <w:szCs w:val="18"/>
                <w:b w:val="1"/>
                <w:bCs w:val="1"/>
                <w:color w:val="auto"/>
                <w:w w:val="98"/>
                <w:vertAlign w:val="superscript"/>
              </w:rPr>
              <w:t>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6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Tax Year</w:t>
            </w:r>
          </w:p>
        </w:tc>
        <w:tc>
          <w:tcPr>
            <w:tcW w:w="20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xml:space="preserve">Distribution Rate </w:t>
            </w:r>
            <w:r>
              <w:rPr>
                <w:rFonts w:ascii="Times New Roman" w:cs="Times New Roman" w:eastAsia="Times New Roman" w:hAnsi="Times New Roman"/>
                <w:sz w:val="18"/>
                <w:szCs w:val="18"/>
                <w:b w:val="1"/>
                <w:bCs w:val="1"/>
                <w:color w:val="auto"/>
                <w:vertAlign w:val="superscript"/>
              </w:rPr>
              <w:t>1</w:t>
            </w:r>
          </w:p>
        </w:tc>
        <w:tc>
          <w:tcPr>
            <w:tcW w:w="1280" w:type="dxa"/>
            <w:vAlign w:val="bottom"/>
            <w:gridSpan w:val="2"/>
          </w:tcPr>
          <w:p>
            <w:pPr>
              <w:jc w:val="right"/>
              <w:ind w:right="2"/>
              <w:spacing w:after="0" w:line="124" w:lineRule="exact"/>
              <w:rPr>
                <w:sz w:val="20"/>
                <w:szCs w:val="20"/>
                <w:color w:val="auto"/>
              </w:rPr>
            </w:pPr>
            <w:r>
              <w:rPr>
                <w:rFonts w:ascii="Times New Roman" w:cs="Times New Roman" w:eastAsia="Times New Roman" w:hAnsi="Times New Roman"/>
                <w:sz w:val="14"/>
                <w:szCs w:val="14"/>
                <w:b w:val="1"/>
                <w:bCs w:val="1"/>
                <w:color w:val="auto"/>
              </w:rPr>
              <w:t>Ordinary Dividend</w:t>
            </w:r>
          </w:p>
        </w:tc>
        <w:tc>
          <w:tcPr>
            <w:tcW w:w="260" w:type="dxa"/>
            <w:vAlign w:val="bottom"/>
          </w:tcPr>
          <w:p>
            <w:pPr>
              <w:spacing w:after="0"/>
              <w:rPr>
                <w:sz w:val="10"/>
                <w:szCs w:val="10"/>
                <w:color w:val="auto"/>
              </w:rPr>
            </w:pPr>
          </w:p>
        </w:tc>
        <w:tc>
          <w:tcPr>
            <w:tcW w:w="100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28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Capital Gain</w:t>
            </w:r>
          </w:p>
        </w:tc>
        <w:tc>
          <w:tcPr>
            <w:tcW w:w="160" w:type="dxa"/>
            <w:vAlign w:val="bottom"/>
          </w:tcPr>
          <w:p>
            <w:pPr>
              <w:spacing w:after="0"/>
              <w:rPr>
                <w:sz w:val="10"/>
                <w:szCs w:val="10"/>
                <w:color w:val="auto"/>
              </w:rPr>
            </w:pPr>
          </w:p>
        </w:tc>
        <w:tc>
          <w:tcPr>
            <w:tcW w:w="1100" w:type="dxa"/>
            <w:vAlign w:val="bottom"/>
          </w:tcPr>
          <w:p>
            <w:pPr>
              <w:jc w:val="right"/>
              <w:ind w:right="143"/>
              <w:spacing w:after="0" w:line="124" w:lineRule="exact"/>
              <w:rPr>
                <w:sz w:val="20"/>
                <w:szCs w:val="20"/>
                <w:color w:val="auto"/>
              </w:rPr>
            </w:pPr>
            <w:r>
              <w:rPr>
                <w:rFonts w:ascii="Times New Roman" w:cs="Times New Roman" w:eastAsia="Times New Roman" w:hAnsi="Times New Roman"/>
                <w:sz w:val="14"/>
                <w:szCs w:val="14"/>
                <w:b w:val="1"/>
                <w:bCs w:val="1"/>
                <w:color w:val="auto"/>
              </w:rPr>
              <w:t>Non-Dividend</w:t>
            </w:r>
          </w:p>
        </w:tc>
        <w:tc>
          <w:tcPr>
            <w:tcW w:w="22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Section 19</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C Preferred Stock</w:t>
            </w: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2.721090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2.721090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2.546340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2.546340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1.750000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1.750000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D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2.117545</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2.117545</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1.718750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1.718750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1.718750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1.718750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E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1.625000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1.625000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1.625000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1.625000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1.625000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1.625000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F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1.531250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1.531250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1.531250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1.531250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1.531250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1.531250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Series G Preferred Stock</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1.937520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1.937520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2.104360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2.104360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2024</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1.440000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1.440000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6"/>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year 2023</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1.560000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1.560000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Fiscal year 2022</w:t>
            </w:r>
          </w:p>
        </w:tc>
        <w:tc>
          <w:tcPr>
            <w:tcW w:w="10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1.440000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0.669420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0.770580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20" w:lineRule="exact"/>
        <w:rPr>
          <w:sz w:val="20"/>
          <w:szCs w:val="20"/>
          <w:color w:val="auto"/>
        </w:rPr>
      </w:pPr>
    </w:p>
    <w:p>
      <w:pPr>
        <w:ind w:left="640" w:hanging="322"/>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per share amounts are per depositary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 (Loss)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changes to accumulated OCI for fiscal years 2024, 2023 and 2022 (in millions):</w:t>
      </w:r>
    </w:p>
    <w:p>
      <w:pPr>
        <w:spacing w:after="0" w:line="125"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7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02"/>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34"/>
        </w:trPr>
        <w:tc>
          <w:tcPr>
            <w:tcW w:w="72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7"/>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investment securities, net</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Segment Reporting</w:t>
      </w:r>
    </w:p>
    <w:p>
      <w:pPr>
        <w:spacing w:after="0" w:line="172"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023" w:right="239" w:bottom="1440" w:gutter="0" w:footer="0" w:header="0"/>
        </w:sectPr>
      </w:pPr>
    </w:p>
    <w:bookmarkStart w:id="78" w:name="page79"/>
    <w:bookmarkEnd w:id="78"/>
    <w:p>
      <w:pPr>
        <w:jc w:val="both"/>
        <w:ind w:firstLine="392"/>
        <w:spacing w:after="0" w:line="264" w:lineRule="auto"/>
        <w:rPr>
          <w:sz w:val="20"/>
          <w:szCs w:val="20"/>
          <w:color w:val="auto"/>
        </w:rPr>
      </w:pPr>
      <w:r>
        <w:rPr>
          <w:rFonts w:ascii="Times New Roman" w:cs="Times New Roman" w:eastAsia="Times New Roman" w:hAnsi="Times New Roman"/>
          <w:sz w:val="17"/>
          <w:szCs w:val="17"/>
          <w:color w:val="auto"/>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 w:cs="Times New Roman" w:eastAsia="Times New Roman" w:hAnsi="Times New Roman"/>
          <w:sz w:val="17"/>
          <w:szCs w:val="17"/>
          <w:i w:val="1"/>
          <w:iCs w:val="1"/>
          <w:color w:val="auto"/>
        </w:rPr>
        <w:t>Derivative and Other Hedging Instruments</w:t>
      </w:r>
      <w:r>
        <w:rPr>
          <w:rFonts w:ascii="Times New Roman" w:cs="Times New Roman" w:eastAsia="Times New Roman" w:hAnsi="Times New Roman"/>
          <w:sz w:val="17"/>
          <w:szCs w:val="17"/>
          <w:color w:val="auto"/>
        </w:rPr>
        <w:t>; our ability to hedge certain risks; and our intention to qualify as a REIT. Consequently, the Company operates as a single reportable segment, as reflected in the accompanying consolidated financial statements and notes.</w:t>
      </w:r>
    </w:p>
    <w:p>
      <w:pPr>
        <w:spacing w:after="0" w:line="121"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auto"/>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tangible stockholders’ equity attributable to common stockholders.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Stock-Based Compensation</w:t>
      </w:r>
    </w:p>
    <w:p>
      <w:pPr>
        <w:spacing w:after="0" w:line="17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During fiscal years 2024, 2023 and 2022, we granted RSU awards to employees with a grant date fair value of $10 million, $11 million and $8 million, respectively, which generally vest annually over a three-year period, and we granted RSU awards to independent directors of $1.2 million, $1.2 million and $1.0 million, respectively, which vest at the end of a one-year period from grant date. We also granted PSU awards to employees which generally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2024, 2023 and 2022 as of the grant date was $10 million, $10 million and $11 million, respectively, assuming the target levels of performance are achieved. The actual value of the awards will vary within a range of 0% to 200% of the target based on the actual performance achieved relative to the targets.</w:t>
      </w:r>
    </w:p>
    <w:p>
      <w:pPr>
        <w:spacing w:after="0" w:line="12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7"/>
          <w:szCs w:val="17"/>
          <w:color w:val="auto"/>
        </w:rPr>
        <w:t>Our 2016 Equity Plan, as amended, authorizes a total of 40 million shares of our common stock that may be used to satisfy awards granted under the Plan, subject to the share counting rules set forth within the Plan. As of December 31, 2024, 26.0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w:t>
      </w:r>
    </w:p>
    <w:p>
      <w:pPr>
        <w:spacing w:after="0" w:line="1" w:lineRule="exact"/>
        <w:rPr>
          <w:sz w:val="20"/>
          <w:szCs w:val="20"/>
          <w:color w:val="auto"/>
        </w:rPr>
      </w:pPr>
    </w:p>
    <w:p>
      <w:pPr>
        <w:ind w:firstLine="5"/>
        <w:spacing w:after="0" w:line="273"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dividend equivalent units on outstanding awards through December 31, 2024. Unvested PSU awards assume the maximum potential payout under the terms of the award. As of December 31, 2024, 2.0 million of deferred awards, including accrued dividend equivalents, were outstanding.</w:t>
      </w:r>
    </w:p>
    <w:p>
      <w:pPr>
        <w:spacing w:after="0" w:line="112"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auto"/>
        </w:rPr>
        <w:t>During fiscal years 2024, 2023 and 2022, we recognized total compensation expense of $23.5 million, $15.0 million and $11.6 million, respectively, for stock-based awards to employees, and we recognized other operating expense of $1.2 million, $1.1 million and $1.0 million, respectively, for stock-based awards to independent directors. Compensation expense for PSU awards is based on our estimate of the probability that the performance criteria for PSU awards will be achieved and, if applicable, includes a cumulative effect adjustment for changes in our estimate from the prior year period. As of December 31, 2024, we estimate that 75.5% of target for PSU awards granted in fiscal year 2022 will vest based on actual performance achieved through the end of the performance measurement period and that 115% and 100% of target will vest for PSU awards granted in fiscal years 2023 and 2024, respectively, based on our estimate of the probability that the performance criteria for these awards will be achieved. As of December 31, 2024, we had $18 million of unrecognized expense related to stock-based awards that we expect to recognize over a weighted average period of 1.4 years.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summarizes awards under our 2016 Equity Plan for fiscal years 2024, 2023 and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7"/>
        </w:trPr>
        <w:tc>
          <w:tcPr>
            <w:tcW w:w="6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RSU Awards</w:t>
            </w:r>
          </w:p>
        </w:tc>
        <w:tc>
          <w:tcPr>
            <w:tcW w:w="140" w:type="dxa"/>
            <w:vAlign w:val="bottom"/>
          </w:tcPr>
          <w:p>
            <w:pPr>
              <w:spacing w:after="0"/>
              <w:rPr>
                <w:sz w:val="13"/>
                <w:szCs w:val="13"/>
                <w:color w:val="auto"/>
              </w:rPr>
            </w:pPr>
          </w:p>
        </w:tc>
        <w:tc>
          <w:tcPr>
            <w:tcW w:w="13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 xml:space="preserve">RSU Awards </w:t>
            </w:r>
            <w:r>
              <w:rPr>
                <w:rFonts w:ascii="Times New Roman" w:cs="Times New Roman" w:eastAsia="Times New Roman" w:hAnsi="Times New Roman"/>
                <w:sz w:val="20"/>
                <w:szCs w:val="20"/>
                <w:b w:val="1"/>
                <w:bCs w:val="1"/>
                <w:color w:val="auto"/>
                <w:w w:val="99"/>
                <w:vertAlign w:val="superscript"/>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7"/>
              </w:rPr>
              <w:t>Grant Date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6"/>
              </w:rPr>
              <w:t>Vest Date Fair</w:t>
            </w:r>
          </w:p>
        </w:tc>
        <w:tc>
          <w:tcPr>
            <w:tcW w:w="0" w:type="dxa"/>
            <w:vAlign w:val="bottom"/>
          </w:tcPr>
          <w:p>
            <w:pPr>
              <w:spacing w:after="0"/>
              <w:rPr>
                <w:sz w:val="1"/>
                <w:szCs w:val="1"/>
                <w:color w:val="auto"/>
              </w:rPr>
            </w:pPr>
          </w:p>
        </w:tc>
      </w:tr>
      <w:tr>
        <w:trPr>
          <w:trHeight w:val="209"/>
        </w:trPr>
        <w:tc>
          <w:tcPr>
            <w:tcW w:w="69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80"/>
              <w:spacing w:after="0" w:line="209" w:lineRule="exact"/>
              <w:rPr>
                <w:sz w:val="20"/>
                <w:szCs w:val="20"/>
                <w:color w:val="auto"/>
              </w:rPr>
            </w:pPr>
            <w:r>
              <w:rPr>
                <w:rFonts w:ascii="Times New Roman" w:cs="Times New Roman" w:eastAsia="Times New Roman" w:hAnsi="Times New Roman"/>
                <w:sz w:val="16"/>
                <w:szCs w:val="16"/>
                <w:b w:val="1"/>
                <w:bCs w:val="1"/>
                <w:color w:val="auto"/>
                <w:w w:val="94"/>
              </w:rPr>
              <w:t xml:space="preserve">Value </w:t>
            </w:r>
            <w:r>
              <w:rPr>
                <w:rFonts w:ascii="Times New Roman" w:cs="Times New Roman" w:eastAsia="Times New Roman" w:hAnsi="Times New Roman"/>
                <w:sz w:val="20"/>
                <w:szCs w:val="20"/>
                <w:b w:val="1"/>
                <w:bCs w:val="1"/>
                <w:color w:val="auto"/>
                <w:w w:val="94"/>
                <w:vertAlign w:val="superscript"/>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2"/>
        </w:trPr>
        <w:tc>
          <w:tcPr>
            <w:tcW w:w="68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2021</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687,733</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159,039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(558,796)</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1,333,691</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1,140,758</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273,189</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2,044,081</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1,154,343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337,739</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2024</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2,473,637</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w:t>
            </w:r>
          </w:p>
        </w:tc>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There were no forfeitures of awards during the fiscal years 2023 and 2024.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w:t>
            </w:r>
          </w:p>
        </w:tc>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Accrued RSU award dividend equivalents have a weighted average grant date fair value of $0.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PSUs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60" w:type="dxa"/>
            <w:vAlign w:val="bottom"/>
          </w:tcPr>
          <w:p>
            <w:pPr>
              <w:spacing w:after="0"/>
              <w:rPr>
                <w:sz w:val="24"/>
                <w:szCs w:val="24"/>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at Target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6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PSU Awards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Performance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w w:val="97"/>
              </w:rPr>
              <w:t>Grant Date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6"/>
              </w:rPr>
              <w:t>Vest Date Fair</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line="209" w:lineRule="exact"/>
              <w:rPr>
                <w:sz w:val="20"/>
                <w:szCs w:val="20"/>
                <w:color w:val="auto"/>
              </w:rPr>
            </w:pPr>
            <w:r>
              <w:rPr>
                <w:rFonts w:ascii="Times New Roman" w:cs="Times New Roman" w:eastAsia="Times New Roman" w:hAnsi="Times New Roman"/>
                <w:sz w:val="16"/>
                <w:szCs w:val="16"/>
                <w:b w:val="1"/>
                <w:bCs w:val="1"/>
                <w:color w:val="auto"/>
                <w:w w:val="95"/>
              </w:rPr>
              <w:t xml:space="preserve">Level </w:t>
            </w:r>
            <w:r>
              <w:rPr>
                <w:rFonts w:ascii="Times New Roman" w:cs="Times New Roman" w:eastAsia="Times New Roman" w:hAnsi="Times New Roman"/>
                <w:sz w:val="20"/>
                <w:szCs w:val="20"/>
                <w:b w:val="1"/>
                <w:bCs w:val="1"/>
                <w:color w:val="auto"/>
                <w:w w:val="95"/>
                <w:vertAlign w:val="superscript"/>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20"/>
              <w:spacing w:after="0" w:line="209" w:lineRule="exact"/>
              <w:rPr>
                <w:sz w:val="20"/>
                <w:szCs w:val="20"/>
                <w:color w:val="auto"/>
              </w:rPr>
            </w:pPr>
            <w:r>
              <w:rPr>
                <w:rFonts w:ascii="Times New Roman" w:cs="Times New Roman" w:eastAsia="Times New Roman" w:hAnsi="Times New Roman"/>
                <w:sz w:val="16"/>
                <w:szCs w:val="16"/>
                <w:b w:val="1"/>
                <w:bCs w:val="1"/>
                <w:color w:val="auto"/>
                <w:w w:val="90"/>
              </w:rPr>
              <w:t xml:space="preserve">Value </w:t>
            </w:r>
            <w:r>
              <w:rPr>
                <w:rFonts w:ascii="Times New Roman" w:cs="Times New Roman" w:eastAsia="Times New Roman" w:hAnsi="Times New Roman"/>
                <w:sz w:val="20"/>
                <w:szCs w:val="20"/>
                <w:b w:val="1"/>
                <w:bCs w:val="1"/>
                <w:color w:val="auto"/>
                <w:w w:val="90"/>
                <w:vertAlign w:val="superscript"/>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65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2021</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2,212,660</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826,971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12.99</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(938,540)</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6540" w:type="dxa"/>
            <w:vAlign w:val="bottom"/>
            <w:tcBorders>
              <w:top w:val="single" w:sz="8" w:color="CCEEFF"/>
            </w:tcBorders>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Unvested balance as of December 31, 2022 </w:t>
            </w:r>
            <w:r>
              <w:rPr>
                <w:rFonts w:ascii="Times New Roman" w:cs="Times New Roman" w:eastAsia="Times New Roman" w:hAnsi="Times New Roman"/>
                <w:sz w:val="20"/>
                <w:szCs w:val="20"/>
                <w:b w:val="1"/>
                <w:bCs w:val="1"/>
                <w:color w:val="auto"/>
                <w:vertAlign w:val="superscript"/>
              </w:rPr>
              <w:t>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2,380,575</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950,840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10.59</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402,368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Performance adjustment - March 2021 base grant</w:t>
            </w: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(210,425)</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15.96</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80"/>
              <w:spacing w:after="0" w:line="212" w:lineRule="exact"/>
              <w:rPr>
                <w:sz w:val="20"/>
                <w:szCs w:val="20"/>
                <w:color w:val="auto"/>
              </w:rPr>
            </w:pPr>
            <w:r>
              <w:rPr>
                <w:rFonts w:ascii="Times New Roman" w:cs="Times New Roman" w:eastAsia="Times New Roman" w:hAnsi="Times New Roman"/>
                <w:sz w:val="16"/>
                <w:szCs w:val="16"/>
                <w:color w:val="auto"/>
              </w:rPr>
              <w:t xml:space="preserve">Performance adjustment - accrued PSU dividend equivalents </w:t>
            </w:r>
            <w:r>
              <w:rPr>
                <w:rFonts w:ascii="Times New Roman" w:cs="Times New Roman" w:eastAsia="Times New Roman" w:hAnsi="Times New Roman"/>
                <w:sz w:val="20"/>
                <w:szCs w:val="20"/>
                <w:color w:val="auto"/>
                <w:vertAlign w:val="superscript"/>
              </w:rPr>
              <w:t>3</w:t>
            </w:r>
          </w:p>
        </w:tc>
        <w:tc>
          <w:tcPr>
            <w:tcW w:w="1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(87,375)</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(699,128)</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14.18</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2,736,855</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1,058,466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9.58</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16"/>
                <w:szCs w:val="16"/>
                <w:color w:val="auto"/>
              </w:rPr>
              <w:t xml:space="preserve">Performance adjustment - March 2022 base grant </w:t>
            </w:r>
            <w:r>
              <w:rPr>
                <w:rFonts w:ascii="Times New Roman" w:cs="Times New Roman" w:eastAsia="Times New Roman" w:hAnsi="Times New Roman"/>
                <w:sz w:val="20"/>
                <w:szCs w:val="20"/>
                <w:color w:val="auto"/>
                <w:vertAlign w:val="superscript"/>
              </w:rPr>
              <w:t>3</w:t>
            </w: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(142,273)</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12.99</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80"/>
              <w:spacing w:after="0" w:line="209" w:lineRule="exact"/>
              <w:rPr>
                <w:sz w:val="20"/>
                <w:szCs w:val="20"/>
                <w:color w:val="auto"/>
              </w:rPr>
            </w:pPr>
            <w:r>
              <w:rPr>
                <w:rFonts w:ascii="Times New Roman" w:cs="Times New Roman" w:eastAsia="Times New Roman" w:hAnsi="Times New Roman"/>
                <w:sz w:val="16"/>
                <w:szCs w:val="16"/>
                <w:color w:val="auto"/>
              </w:rPr>
              <w:t xml:space="preserve">Performance adjustment - accrued PSU dividend equivalents </w:t>
            </w:r>
            <w:r>
              <w:rPr>
                <w:rFonts w:ascii="Times New Roman" w:cs="Times New Roman" w:eastAsia="Times New Roman" w:hAnsi="Times New Roman"/>
                <w:sz w:val="20"/>
                <w:szCs w:val="20"/>
                <w:color w:val="auto"/>
                <w:vertAlign w:val="superscript"/>
              </w:rPr>
              <w:t>3</w:t>
            </w:r>
          </w:p>
        </w:tc>
        <w:tc>
          <w:tcPr>
            <w:tcW w:w="1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(74,832)</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(595,992)</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11.13</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540" w:type="dxa"/>
            <w:vAlign w:val="bottom"/>
            <w:tcBorders>
              <w:top w:val="single" w:sz="8" w:color="CCEEFF"/>
              <w:bottom w:val="single" w:sz="8" w:color="CCEEFF"/>
            </w:tcBorders>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Unvested balance as of December 31, 2024 </w:t>
            </w:r>
            <w:r>
              <w:rPr>
                <w:rFonts w:ascii="Times New Roman" w:cs="Times New Roman" w:eastAsia="Times New Roman" w:hAnsi="Times New Roman"/>
                <w:sz w:val="20"/>
                <w:szCs w:val="20"/>
                <w:b w:val="1"/>
                <w:bCs w:val="1"/>
                <w:color w:val="auto"/>
                <w:vertAlign w:val="superscript"/>
              </w:rPr>
              <w:t>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3,471,440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w:t>
      </w:r>
    </w:p>
    <w:p>
      <w:pPr>
        <w:spacing w:after="0" w:line="17" w:lineRule="exact"/>
        <w:rPr>
          <w:sz w:val="20"/>
          <w:szCs w:val="20"/>
          <w:color w:val="auto"/>
        </w:rPr>
      </w:pPr>
    </w:p>
    <w:p>
      <w:pPr>
        <w:ind w:left="640" w:hanging="322"/>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forfeitures of awards during the periods presented.</w:t>
      </w:r>
    </w:p>
    <w:p>
      <w:pPr>
        <w:spacing w:after="0" w:line="5"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PSU award dividend equivalents have a weighted average grant date fair value of $0.</w:t>
      </w:r>
    </w:p>
    <w:p>
      <w:pPr>
        <w:spacing w:after="0" w:line="8" w:lineRule="exact"/>
        <w:rPr>
          <w:rFonts w:ascii="Times New Roman" w:cs="Times New Roman" w:eastAsia="Times New Roman" w:hAnsi="Times New Roman"/>
          <w:sz w:val="14"/>
          <w:szCs w:val="14"/>
          <w:color w:val="auto"/>
        </w:rPr>
      </w:pPr>
    </w:p>
    <w:p>
      <w:pPr>
        <w:ind w:left="640" w:hanging="322"/>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adjustments reflect adjustments for actual performance achieved relative to target, measured at the end of the performance period.</w:t>
      </w:r>
    </w:p>
    <w:p>
      <w:pPr>
        <w:jc w:val="both"/>
        <w:ind w:left="640" w:right="60" w:hanging="322"/>
        <w:spacing w:after="0" w:line="255"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balance as of December 31, 2024 assumes actual performance achievement of 75.5% of target for PSU awards granted in fiscal year 2022 that are scheduled to vest in fiscal year 2024 and target levels of performance (100%) for PSU awards granted in fiscal years 2023 and 2024. The actual number of PSUs that will vest for the 2023 and 2024 PSU awards will vary within a range of 0% to 200% of the target based on the actual performance achieved relative to the targets. As of December 31, 2024, we estimate that 115.0% and 100.0% of the 2023 and 2024 PSU awards, respectively, will vest based on our estimate of the probability that the performance criteria for the awards will be achieved.</w:t>
      </w: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00"/>
          </w:cols>
          <w:pgMar w:left="320" w:top="975" w:right="2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Note 12. Income Taxes</w:t>
      </w:r>
    </w:p>
    <w:p>
      <w:pPr>
        <w:spacing w:after="0" w:line="159"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We did not incur an income tax liability for the years ended December 31, 2023 and 2022 and we do not expect to incur an income tax liability for the year ended December 31, 2024.</w:t>
      </w:r>
    </w:p>
    <w:p>
      <w:pPr>
        <w:spacing w:after="0" w:line="107" w:lineRule="exact"/>
        <w:rPr>
          <w:sz w:val="20"/>
          <w:szCs w:val="20"/>
          <w:color w:val="auto"/>
        </w:rPr>
      </w:pPr>
    </w:p>
    <w:p>
      <w:pPr>
        <w:jc w:val="both"/>
        <w:ind w:firstLine="431"/>
        <w:spacing w:after="0"/>
        <w:rPr>
          <w:sz w:val="20"/>
          <w:szCs w:val="20"/>
          <w:color w:val="auto"/>
        </w:rPr>
      </w:pPr>
      <w:r>
        <w:rPr>
          <w:rFonts w:ascii="Times New Roman" w:cs="Times New Roman" w:eastAsia="Times New Roman" w:hAnsi="Times New Roman"/>
          <w:sz w:val="17"/>
          <w:szCs w:val="17"/>
          <w:color w:val="auto"/>
        </w:rPr>
        <w:t>Based on our analysis of any potential uncertain income tax positions, we concluded that we do not have any uncertain tax positions that meet the recognition or measurement criteria of ASC Topic 740, Income Taxes, as of December 31, 2024 or prior periods. Our tax returns for tax years 2021 and forward are open to examination by the IRS. If we incur income tax related interest and penalties, our policy is to classify them as a component of provision for income taxes.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22" w:lineRule="exact"/>
        <w:rPr>
          <w:sz w:val="20"/>
          <w:szCs w:val="20"/>
          <w:color w:val="auto"/>
        </w:rPr>
      </w:pPr>
    </w:p>
    <w:p>
      <w:pPr>
        <w:jc w:val="both"/>
        <w:ind w:firstLine="431"/>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69"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We, including our Chief Executive Officer and Chief Financial Officer, evaluated the effectiveness of the design and operation of our disclosure controls and procedures as of December 31, 2024. Based on the foregoing, our Chief Executive Officer and Chief Financial Officer concluded that our disclosure controls and procedures were effective.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Management Report on Internal Control over Financial Reporting is included in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Attestation Report of Registered Public Accounting Firm</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attestation report of our registered public accounting firm is included in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22" w:lineRule="exact"/>
        <w:rPr>
          <w:sz w:val="20"/>
          <w:szCs w:val="20"/>
          <w:color w:val="auto"/>
        </w:rPr>
      </w:pPr>
    </w:p>
    <w:p>
      <w:pPr>
        <w:jc w:val="both"/>
        <w:ind w:firstLine="431"/>
        <w:spacing w:after="0" w:line="288" w:lineRule="auto"/>
        <w:rPr>
          <w:sz w:val="20"/>
          <w:szCs w:val="20"/>
          <w:color w:val="auto"/>
        </w:rPr>
      </w:pPr>
      <w:r>
        <w:rPr>
          <w:rFonts w:ascii="Times New Roman" w:cs="Times New Roman" w:eastAsia="Times New Roman" w:hAnsi="Times New Roman"/>
          <w:sz w:val="17"/>
          <w:szCs w:val="17"/>
          <w:color w:val="auto"/>
        </w:rPr>
        <w:t>During the fiscal quarter ended December 31, 2024, none of our directors or officers (as defined in Rule 16a-1(f) under the Exchange Act) informed us of the adoption or termination of a “Rule 10b5-1 trading arrangement” or “non-Rule 10b5-1 trading arrangement” (as each term is defined in Regulation S-K, Item 408).</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our Proxy Statement for our 2025 Annual Meeting of Stockholders (the "2025 Proxy Statement") under the headings "PROPOSAL 1: ELECTION OF DIRECTORS", "EXECUTIVE OFFICERS OF REGISTRANT", and "BOARD AND GOVERNANCE MATTERS."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Insider Trading Policy</w:t>
      </w:r>
    </w:p>
    <w:p>
      <w:pPr>
        <w:spacing w:after="0" w:line="120"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Company has adopted the AGNC Investment Corp. Policy on Insider Trading that applies to our directors, officers, employees, independent contractors, and certain of their respective family members. We believe the policy is reasonably designed to promote compliance with insider trading laws, rules and regulations, and any applicable listing standards. A copy of our policy is filed as Exhibit 19 to this Annual Report on Form 10-K.</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22"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2025 Proxy Statement under the headings "PROPOSAL 1: ELECTION OF DIRECTORS", "EXECUTIVE COMPENSATION", "COMPENSATION DISCUSSION AND ANALYSIS", "REPORT OF THE COMPENSATION AND CORPORATE GOVERNANCE COMMITTEE", and "COMPENSATION COMMITTEE INTERLOCKS AND INSIDER PARTICIPATION."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2025 Proxy Statement under the heading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OWNERSHIP OF MANAGEMENT AND CERTAIN BENEFICIAL OWNERS."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2025 Proxy Statement under the headings "CERTAIN TRANSACTIONS WITH RELATED PERSONS" and "PROPOSAL 1: ELECTION OF DIRECTORS."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Information in response to this Item is incorporated herein by reference to the information provided in the 2025 Proxy Statement under the heading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4: RATIFICATION OF APPOINTMENT OF INDEPENDENT PUBLIC ACCOUNTANT."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4" w:lineRule="exact"/>
        <w:rPr>
          <w:sz w:val="20"/>
          <w:szCs w:val="20"/>
          <w:color w:val="auto"/>
        </w:rPr>
      </w:pPr>
    </w:p>
    <w:p>
      <w:pPr>
        <w:ind w:left="240" w:hanging="235"/>
        <w:spacing w:after="0"/>
        <w:tabs>
          <w:tab w:leader="none" w:pos="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 of documents filed as part of this report:</w:t>
      </w:r>
    </w:p>
    <w:p>
      <w:pPr>
        <w:spacing w:after="0" w:line="157" w:lineRule="exact"/>
        <w:rPr>
          <w:rFonts w:ascii="Times New Roman" w:cs="Times New Roman" w:eastAsia="Times New Roman" w:hAnsi="Times New Roman"/>
          <w:sz w:val="17"/>
          <w:szCs w:val="17"/>
          <w:color w:val="auto"/>
        </w:rPr>
      </w:pPr>
    </w:p>
    <w:p>
      <w:pPr>
        <w:ind w:left="1360" w:hanging="375"/>
        <w:spacing w:after="0"/>
        <w:tabs>
          <w:tab w:leader="none" w:pos="13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are filed herewith:</w:t>
      </w:r>
    </w:p>
    <w:p>
      <w:pPr>
        <w:spacing w:after="0" w:line="1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p>
      <w:pPr>
        <w:spacing w:after="0" w:line="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Statements of Comprehensive Income for fiscal years 2024, 2023 and 2022</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Statements of Stockholders' Equity for fiscal years 2024, 2023 and 2022</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Consolidated Statements of Cash Flows for fiscal years 2024, 2023 and 2022</w:t>
      </w:r>
    </w:p>
    <w:p>
      <w:pPr>
        <w:spacing w:after="0" w:line="152"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7"/>
          <w:szCs w:val="17"/>
          <w:color w:val="auto"/>
        </w:rPr>
        <w:t>(2)</w:t>
        <w:tab/>
        <w:t>The following exhibits are filed herewith or incorporated herein by reference</w:t>
      </w:r>
    </w:p>
    <w:p>
      <w:pPr>
        <w:spacing w:after="0" w:line="1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72" w:lineRule="exact"/>
        <w:rPr>
          <w:sz w:val="20"/>
          <w:szCs w:val="20"/>
          <w:color w:val="auto"/>
        </w:rPr>
      </w:pPr>
    </w:p>
    <w:p>
      <w:pPr>
        <w:jc w:val="both"/>
        <w:ind w:left="500" w:hanging="1254"/>
        <w:spacing w:after="0" w:line="295" w:lineRule="auto"/>
        <w:tabs>
          <w:tab w:leader="none" w:pos="480" w:val="left"/>
        </w:tabs>
        <w:rPr>
          <w:rFonts w:ascii="Times New Roman" w:cs="Times New Roman" w:eastAsia="Times New Roman" w:hAnsi="Times New Roman"/>
          <w:sz w:val="17"/>
          <w:szCs w:val="17"/>
          <w:color w:val="auto"/>
        </w:rPr>
      </w:pPr>
      <w:hyperlink r:id="rId107">
        <w:r>
          <w:rPr>
            <w:rFonts w:ascii="Times New Roman" w:cs="Times New Roman" w:eastAsia="Times New Roman" w:hAnsi="Times New Roman"/>
            <w:sz w:val="17"/>
            <w:szCs w:val="17"/>
            <w:color w:val="auto"/>
          </w:rPr>
          <w:t>*3.1</w:t>
        </w:r>
      </w:hyperlink>
      <w:r>
        <w:rPr>
          <w:rFonts w:ascii="Times New Roman" w:cs="Times New Roman" w:eastAsia="Times New Roman" w:hAnsi="Times New Roman"/>
          <w:sz w:val="17"/>
          <w:szCs w:val="17"/>
          <w:color w:val="auto"/>
        </w:rPr>
        <w:tab/>
      </w:r>
      <w:hyperlink r:id="rId107">
        <w:r>
          <w:rPr>
            <w:rFonts w:ascii="Times New Roman" w:cs="Times New Roman" w:eastAsia="Times New Roman" w:hAnsi="Times New Roman"/>
            <w:sz w:val="17"/>
            <w:szCs w:val="17"/>
            <w:color w:val="auto"/>
          </w:rPr>
          <w:t>AGNC Investment Corp. Amended and Restated Certificate of Incorporation, as amended, incorporated by reference from Exhibit 3.1 of Form 10-K for</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the year ended December 31, 2021 (File No. 001-34057), filed February 23, 2022.</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08">
        <w:r>
          <w:rPr>
            <w:rFonts w:ascii="Times New Roman" w:cs="Times New Roman" w:eastAsia="Times New Roman" w:hAnsi="Times New Roman"/>
            <w:sz w:val="17"/>
            <w:szCs w:val="17"/>
            <w:color w:val="auto"/>
          </w:rPr>
          <w:t>*3.2</w:t>
        </w:r>
      </w:hyperlink>
      <w:r>
        <w:rPr>
          <w:rFonts w:ascii="Times New Roman" w:cs="Times New Roman" w:eastAsia="Times New Roman" w:hAnsi="Times New Roman"/>
          <w:sz w:val="17"/>
          <w:szCs w:val="17"/>
          <w:color w:val="auto"/>
        </w:rPr>
        <w:tab/>
      </w:r>
      <w:hyperlink r:id="rId109">
        <w:r>
          <w:rPr>
            <w:rFonts w:ascii="Times New Roman" w:cs="Times New Roman" w:eastAsia="Times New Roman" w:hAnsi="Times New Roman"/>
            <w:sz w:val="17"/>
            <w:szCs w:val="17"/>
            <w:color w:val="auto"/>
          </w:rPr>
          <w:t>AGNC Investment Corp. Amended and Restated Bylaws, as amended, incorporated herein by reference to Exhibit 3.1 of Form 8-K (File No. 001-34057),</w:t>
        </w:r>
      </w:hyperlink>
      <w:r>
        <w:rPr>
          <w:rFonts w:ascii="Times New Roman" w:cs="Times New Roman" w:eastAsia="Times New Roman" w:hAnsi="Times New Roman"/>
          <w:sz w:val="17"/>
          <w:szCs w:val="17"/>
          <w:color w:val="auto"/>
        </w:rPr>
        <w:t xml:space="preserve"> </w:t>
      </w:r>
      <w:hyperlink r:id="rId109">
        <w:r>
          <w:rPr>
            <w:rFonts w:ascii="Times New Roman" w:cs="Times New Roman" w:eastAsia="Times New Roman" w:hAnsi="Times New Roman"/>
            <w:sz w:val="17"/>
            <w:szCs w:val="17"/>
            <w:color w:val="auto"/>
          </w:rPr>
          <w:t>filed July 21, 2023.</w:t>
        </w:r>
      </w:hyperlink>
    </w:p>
    <w:p>
      <w:pPr>
        <w:spacing w:after="0" w:line="94" w:lineRule="exact"/>
        <w:rPr>
          <w:rFonts w:ascii="Times New Roman" w:cs="Times New Roman" w:eastAsia="Times New Roman" w:hAnsi="Times New Roman"/>
          <w:sz w:val="17"/>
          <w:szCs w:val="17"/>
          <w:color w:val="auto"/>
        </w:rPr>
      </w:pPr>
    </w:p>
    <w:p>
      <w:pPr>
        <w:jc w:val="both"/>
        <w:ind w:left="580" w:hanging="1254"/>
        <w:spacing w:after="0" w:line="295" w:lineRule="auto"/>
        <w:tabs>
          <w:tab w:leader="none" w:pos="560" w:val="left"/>
        </w:tabs>
        <w:rPr>
          <w:rFonts w:ascii="Times New Roman" w:cs="Times New Roman" w:eastAsia="Times New Roman" w:hAnsi="Times New Roman"/>
          <w:sz w:val="17"/>
          <w:szCs w:val="17"/>
          <w:color w:val="auto"/>
        </w:rPr>
      </w:pPr>
      <w:hyperlink r:id="rId110">
        <w:r>
          <w:rPr>
            <w:rFonts w:ascii="Times New Roman" w:cs="Times New Roman" w:eastAsia="Times New Roman" w:hAnsi="Times New Roman"/>
            <w:sz w:val="17"/>
            <w:szCs w:val="17"/>
            <w:color w:val="auto"/>
          </w:rPr>
          <w:t>*3.3</w:t>
        </w:r>
      </w:hyperlink>
      <w:r>
        <w:rPr>
          <w:rFonts w:ascii="Times New Roman" w:cs="Times New Roman" w:eastAsia="Times New Roman" w:hAnsi="Times New Roman"/>
          <w:sz w:val="17"/>
          <w:szCs w:val="17"/>
          <w:color w:val="auto"/>
        </w:rPr>
        <w:tab/>
      </w:r>
      <w:hyperlink r:id="rId110">
        <w:r>
          <w:rPr>
            <w:rFonts w:ascii="Times New Roman" w:cs="Times New Roman" w:eastAsia="Times New Roman" w:hAnsi="Times New Roman"/>
            <w:sz w:val="17"/>
            <w:szCs w:val="17"/>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0">
        <w:r>
          <w:rPr>
            <w:rFonts w:ascii="Times New Roman" w:cs="Times New Roman" w:eastAsia="Times New Roman" w:hAnsi="Times New Roman"/>
            <w:sz w:val="17"/>
            <w:szCs w:val="17"/>
            <w:color w:val="auto"/>
          </w:rPr>
          <w:t>Exhibit 3.5 of Form 8-A (File No. 001-34057), filed August 18, 2017.</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1">
        <w:r>
          <w:rPr>
            <w:rFonts w:ascii="Times New Roman" w:cs="Times New Roman" w:eastAsia="Times New Roman" w:hAnsi="Times New Roman"/>
            <w:sz w:val="17"/>
            <w:szCs w:val="17"/>
            <w:color w:val="auto"/>
          </w:rPr>
          <w:t>*3.4</w:t>
        </w:r>
      </w:hyperlink>
      <w:r>
        <w:rPr>
          <w:rFonts w:ascii="Times New Roman" w:cs="Times New Roman" w:eastAsia="Times New Roman" w:hAnsi="Times New Roman"/>
          <w:sz w:val="17"/>
          <w:szCs w:val="17"/>
          <w:color w:val="auto"/>
        </w:rPr>
        <w:tab/>
      </w:r>
      <w:hyperlink r:id="rId111">
        <w:r>
          <w:rPr>
            <w:rFonts w:ascii="Times New Roman" w:cs="Times New Roman" w:eastAsia="Times New Roman" w:hAnsi="Times New Roman"/>
            <w:sz w:val="17"/>
            <w:szCs w:val="17"/>
            <w:color w:val="auto"/>
          </w:rPr>
          <w:t>Certificate of Elimination of 8.000% Series A Cumulative Redeemable Preferred Stock, incorporated herein by reference to Exhibit 3.1 of Form 8-K (File</w:t>
        </w:r>
      </w:hyperlink>
      <w:r>
        <w:rPr>
          <w:rFonts w:ascii="Times New Roman" w:cs="Times New Roman" w:eastAsia="Times New Roman" w:hAnsi="Times New Roman"/>
          <w:sz w:val="17"/>
          <w:szCs w:val="17"/>
          <w:color w:val="auto"/>
        </w:rPr>
        <w:t xml:space="preserve"> </w:t>
      </w:r>
      <w:hyperlink r:id="rId111">
        <w:r>
          <w:rPr>
            <w:rFonts w:ascii="Times New Roman" w:cs="Times New Roman" w:eastAsia="Times New Roman" w:hAnsi="Times New Roman"/>
            <w:sz w:val="17"/>
            <w:szCs w:val="17"/>
            <w:color w:val="auto"/>
          </w:rPr>
          <w:t>No 001-34057), filed October 26, 2017.</w:t>
        </w:r>
      </w:hyperlink>
    </w:p>
    <w:p>
      <w:pPr>
        <w:spacing w:after="0" w:line="94" w:lineRule="exact"/>
        <w:rPr>
          <w:rFonts w:ascii="Times New Roman" w:cs="Times New Roman" w:eastAsia="Times New Roman" w:hAnsi="Times New Roman"/>
          <w:sz w:val="17"/>
          <w:szCs w:val="17"/>
          <w:color w:val="auto"/>
        </w:rPr>
      </w:pPr>
    </w:p>
    <w:p>
      <w:pPr>
        <w:jc w:val="both"/>
        <w:ind w:left="560" w:hanging="1254"/>
        <w:spacing w:after="0" w:line="295" w:lineRule="auto"/>
        <w:tabs>
          <w:tab w:leader="none" w:pos="540" w:val="left"/>
        </w:tabs>
        <w:rPr>
          <w:rFonts w:ascii="Times New Roman" w:cs="Times New Roman" w:eastAsia="Times New Roman" w:hAnsi="Times New Roman"/>
          <w:sz w:val="17"/>
          <w:szCs w:val="17"/>
          <w:color w:val="auto"/>
        </w:rPr>
      </w:pPr>
      <w:hyperlink r:id="rId112">
        <w:r>
          <w:rPr>
            <w:rFonts w:ascii="Times New Roman" w:cs="Times New Roman" w:eastAsia="Times New Roman" w:hAnsi="Times New Roman"/>
            <w:sz w:val="17"/>
            <w:szCs w:val="17"/>
            <w:color w:val="auto"/>
          </w:rPr>
          <w:t>*3.5</w:t>
        </w:r>
      </w:hyperlink>
      <w:r>
        <w:rPr>
          <w:rFonts w:ascii="Times New Roman" w:cs="Times New Roman" w:eastAsia="Times New Roman" w:hAnsi="Times New Roman"/>
          <w:sz w:val="17"/>
          <w:szCs w:val="17"/>
          <w:color w:val="auto"/>
        </w:rPr>
        <w:tab/>
      </w:r>
      <w:hyperlink r:id="rId112">
        <w:r>
          <w:rPr>
            <w:rFonts w:ascii="Times New Roman" w:cs="Times New Roman" w:eastAsia="Times New Roman" w:hAnsi="Times New Roman"/>
            <w:sz w:val="17"/>
            <w:szCs w:val="17"/>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2">
        <w:r>
          <w:rPr>
            <w:rFonts w:ascii="Times New Roman" w:cs="Times New Roman" w:eastAsia="Times New Roman" w:hAnsi="Times New Roman"/>
            <w:sz w:val="17"/>
            <w:szCs w:val="17"/>
            <w:color w:val="auto"/>
          </w:rPr>
          <w:t>Exhibit 3.5 of Form 8-A (File No 001-34057), filed March 6, 2019.</w:t>
        </w:r>
      </w:hyperlink>
    </w:p>
    <w:p>
      <w:pPr>
        <w:spacing w:after="0" w:line="94" w:lineRule="exact"/>
        <w:rPr>
          <w:rFonts w:ascii="Times New Roman" w:cs="Times New Roman" w:eastAsia="Times New Roman" w:hAnsi="Times New Roman"/>
          <w:sz w:val="17"/>
          <w:szCs w:val="17"/>
          <w:color w:val="auto"/>
        </w:rPr>
      </w:pPr>
    </w:p>
    <w:p>
      <w:pPr>
        <w:jc w:val="both"/>
        <w:ind w:left="580" w:hanging="1254"/>
        <w:spacing w:after="0" w:line="295" w:lineRule="auto"/>
        <w:tabs>
          <w:tab w:leader="none" w:pos="560" w:val="left"/>
        </w:tabs>
        <w:rPr>
          <w:rFonts w:ascii="Times New Roman" w:cs="Times New Roman" w:eastAsia="Times New Roman" w:hAnsi="Times New Roman"/>
          <w:sz w:val="17"/>
          <w:szCs w:val="17"/>
          <w:color w:val="auto"/>
        </w:rPr>
      </w:pPr>
      <w:hyperlink r:id="rId113">
        <w:r>
          <w:rPr>
            <w:rFonts w:ascii="Times New Roman" w:cs="Times New Roman" w:eastAsia="Times New Roman" w:hAnsi="Times New Roman"/>
            <w:sz w:val="17"/>
            <w:szCs w:val="17"/>
            <w:color w:val="auto"/>
          </w:rPr>
          <w:t>*3.6</w:t>
        </w:r>
      </w:hyperlink>
      <w:r>
        <w:rPr>
          <w:rFonts w:ascii="Times New Roman" w:cs="Times New Roman" w:eastAsia="Times New Roman" w:hAnsi="Times New Roman"/>
          <w:sz w:val="17"/>
          <w:szCs w:val="17"/>
          <w:color w:val="auto"/>
        </w:rPr>
        <w:tab/>
      </w:r>
      <w:hyperlink r:id="rId113">
        <w:r>
          <w:rPr>
            <w:rFonts w:ascii="Times New Roman" w:cs="Times New Roman" w:eastAsia="Times New Roman" w:hAnsi="Times New Roman"/>
            <w:sz w:val="17"/>
            <w:szCs w:val="17"/>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3">
        <w:r>
          <w:rPr>
            <w:rFonts w:ascii="Times New Roman" w:cs="Times New Roman" w:eastAsia="Times New Roman" w:hAnsi="Times New Roman"/>
            <w:sz w:val="17"/>
            <w:szCs w:val="17"/>
            <w:color w:val="auto"/>
          </w:rPr>
          <w:t>Exhibit 3.6 of Form 8-A (File No 001-34057), filed October 3, 2019.</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4">
        <w:r>
          <w:rPr>
            <w:rFonts w:ascii="Times New Roman" w:cs="Times New Roman" w:eastAsia="Times New Roman" w:hAnsi="Times New Roman"/>
            <w:sz w:val="17"/>
            <w:szCs w:val="17"/>
            <w:color w:val="auto"/>
          </w:rPr>
          <w:t>*3.7</w:t>
        </w:r>
      </w:hyperlink>
      <w:r>
        <w:rPr>
          <w:rFonts w:ascii="Times New Roman" w:cs="Times New Roman" w:eastAsia="Times New Roman" w:hAnsi="Times New Roman"/>
          <w:sz w:val="17"/>
          <w:szCs w:val="17"/>
          <w:color w:val="auto"/>
        </w:rPr>
        <w:tab/>
      </w:r>
      <w:hyperlink r:id="rId114">
        <w:r>
          <w:rPr>
            <w:rFonts w:ascii="Times New Roman" w:cs="Times New Roman" w:eastAsia="Times New Roman" w:hAnsi="Times New Roman"/>
            <w:sz w:val="17"/>
            <w:szCs w:val="17"/>
            <w:color w:val="auto"/>
          </w:rPr>
          <w:t>Certificate of Elimination of 7.750% Series B Cumulative Redeemable Preferred Stock, incorporated herein by reference to Exhibit 3.1 of Form 8-K (File</w:t>
        </w:r>
      </w:hyperlink>
      <w:r>
        <w:rPr>
          <w:rFonts w:ascii="Times New Roman" w:cs="Times New Roman" w:eastAsia="Times New Roman" w:hAnsi="Times New Roman"/>
          <w:sz w:val="17"/>
          <w:szCs w:val="17"/>
          <w:color w:val="auto"/>
        </w:rPr>
        <w:t xml:space="preserve"> </w:t>
      </w:r>
      <w:hyperlink r:id="rId114">
        <w:r>
          <w:rPr>
            <w:rFonts w:ascii="Times New Roman" w:cs="Times New Roman" w:eastAsia="Times New Roman" w:hAnsi="Times New Roman"/>
            <w:sz w:val="17"/>
            <w:szCs w:val="17"/>
            <w:color w:val="auto"/>
          </w:rPr>
          <w:t>No 001-34057), filed December 13, 2019.</w:t>
        </w:r>
      </w:hyperlink>
    </w:p>
    <w:p>
      <w:pPr>
        <w:spacing w:after="0" w:line="94" w:lineRule="exact"/>
        <w:rPr>
          <w:rFonts w:ascii="Times New Roman" w:cs="Times New Roman" w:eastAsia="Times New Roman" w:hAnsi="Times New Roman"/>
          <w:sz w:val="17"/>
          <w:szCs w:val="17"/>
          <w:color w:val="auto"/>
        </w:rPr>
      </w:pPr>
    </w:p>
    <w:p>
      <w:pPr>
        <w:jc w:val="both"/>
        <w:ind w:left="560" w:hanging="1254"/>
        <w:spacing w:after="0" w:line="295" w:lineRule="auto"/>
        <w:tabs>
          <w:tab w:leader="none" w:pos="540" w:val="left"/>
        </w:tabs>
        <w:rPr>
          <w:rFonts w:ascii="Times New Roman" w:cs="Times New Roman" w:eastAsia="Times New Roman" w:hAnsi="Times New Roman"/>
          <w:sz w:val="17"/>
          <w:szCs w:val="17"/>
          <w:color w:val="auto"/>
        </w:rPr>
      </w:pPr>
      <w:hyperlink r:id="rId115">
        <w:r>
          <w:rPr>
            <w:rFonts w:ascii="Times New Roman" w:cs="Times New Roman" w:eastAsia="Times New Roman" w:hAnsi="Times New Roman"/>
            <w:sz w:val="17"/>
            <w:szCs w:val="17"/>
            <w:color w:val="auto"/>
          </w:rPr>
          <w:t>*3.8</w:t>
        </w:r>
      </w:hyperlink>
      <w:r>
        <w:rPr>
          <w:rFonts w:ascii="Times New Roman" w:cs="Times New Roman" w:eastAsia="Times New Roman" w:hAnsi="Times New Roman"/>
          <w:sz w:val="17"/>
          <w:szCs w:val="17"/>
          <w:color w:val="auto"/>
        </w:rPr>
        <w:tab/>
      </w:r>
      <w:hyperlink r:id="rId115">
        <w:r>
          <w:rPr>
            <w:rFonts w:ascii="Times New Roman" w:cs="Times New Roman" w:eastAsia="Times New Roman" w:hAnsi="Times New Roman"/>
            <w:sz w:val="17"/>
            <w:szCs w:val="17"/>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7"/>
          <w:szCs w:val="17"/>
          <w:color w:val="auto"/>
        </w:rPr>
        <w:t xml:space="preserve"> </w:t>
      </w:r>
      <w:hyperlink r:id="rId115">
        <w:r>
          <w:rPr>
            <w:rFonts w:ascii="Times New Roman" w:cs="Times New Roman" w:eastAsia="Times New Roman" w:hAnsi="Times New Roman"/>
            <w:sz w:val="17"/>
            <w:szCs w:val="17"/>
            <w:color w:val="auto"/>
          </w:rPr>
          <w:t>Exhibit 3.6 of Form 8-A (File No 001-34057), filed February 11, 2020.</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*3.9</w:t>
        </w:r>
      </w:hyperlink>
      <w:r>
        <w:rPr>
          <w:rFonts w:ascii="Times New Roman" w:cs="Times New Roman" w:eastAsia="Times New Roman" w:hAnsi="Times New Roman"/>
          <w:sz w:val="17"/>
          <w:szCs w:val="17"/>
          <w:color w:val="auto"/>
        </w:rPr>
        <w:tab/>
      </w:r>
      <w:hyperlink r:id="rId116">
        <w:r>
          <w:rPr>
            <w:rFonts w:ascii="Times New Roman" w:cs="Times New Roman" w:eastAsia="Times New Roman" w:hAnsi="Times New Roman"/>
            <w:sz w:val="17"/>
            <w:szCs w:val="17"/>
            <w:color w:val="auto"/>
          </w:rPr>
          <w:t>Certificate of Designations of 7.75% Series G Fixed-Rate Reset Cumulative Redeemable Preferred Stock, incorporated herein by reference to Exhibit 3.7</w:t>
        </w:r>
      </w:hyperlink>
      <w:r>
        <w:rPr>
          <w:rFonts w:ascii="Times New Roman" w:cs="Times New Roman" w:eastAsia="Times New Roman" w:hAnsi="Times New Roman"/>
          <w:sz w:val="17"/>
          <w:szCs w:val="17"/>
          <w:color w:val="auto"/>
        </w:rPr>
        <w:t xml:space="preserve"> </w:t>
      </w:r>
      <w:hyperlink r:id="rId116">
        <w:r>
          <w:rPr>
            <w:rFonts w:ascii="Times New Roman" w:cs="Times New Roman" w:eastAsia="Times New Roman" w:hAnsi="Times New Roman"/>
            <w:sz w:val="17"/>
            <w:szCs w:val="17"/>
            <w:color w:val="auto"/>
          </w:rPr>
          <w:t>of Form 8-A (File No 001-34057), filed September 14, 2022.</w:t>
        </w:r>
      </w:hyperlink>
    </w:p>
    <w:p>
      <w:pPr>
        <w:spacing w:after="0" w:line="94" w:lineRule="exact"/>
        <w:rPr>
          <w:rFonts w:ascii="Times New Roman" w:cs="Times New Roman" w:eastAsia="Times New Roman" w:hAnsi="Times New Roman"/>
          <w:sz w:val="17"/>
          <w:szCs w:val="17"/>
          <w:color w:val="auto"/>
        </w:rPr>
      </w:pPr>
    </w:p>
    <w:p>
      <w:pPr>
        <w:jc w:val="both"/>
        <w:ind w:left="620" w:hanging="1254"/>
        <w:spacing w:after="0" w:line="288" w:lineRule="auto"/>
        <w:tabs>
          <w:tab w:leader="none" w:pos="600" w:val="left"/>
        </w:tabs>
        <w:rPr>
          <w:rFonts w:ascii="Times New Roman" w:cs="Times New Roman" w:eastAsia="Times New Roman" w:hAnsi="Times New Roman"/>
          <w:sz w:val="17"/>
          <w:szCs w:val="17"/>
          <w:color w:val="auto"/>
        </w:rPr>
      </w:pPr>
      <w:hyperlink r:id="rId107">
        <w:r>
          <w:rPr>
            <w:rFonts w:ascii="Times New Roman" w:cs="Times New Roman" w:eastAsia="Times New Roman" w:hAnsi="Times New Roman"/>
            <w:sz w:val="17"/>
            <w:szCs w:val="17"/>
            <w:color w:val="auto"/>
          </w:rPr>
          <w:t>*4.1</w:t>
        </w:r>
      </w:hyperlink>
      <w:r>
        <w:rPr>
          <w:rFonts w:ascii="Times New Roman" w:cs="Times New Roman" w:eastAsia="Times New Roman" w:hAnsi="Times New Roman"/>
          <w:sz w:val="17"/>
          <w:szCs w:val="17"/>
          <w:color w:val="auto"/>
        </w:rPr>
        <w:tab/>
      </w:r>
      <w:hyperlink r:id="rId107">
        <w:r>
          <w:rPr>
            <w:rFonts w:ascii="Times New Roman" w:cs="Times New Roman" w:eastAsia="Times New Roman" w:hAnsi="Times New Roman"/>
            <w:sz w:val="17"/>
            <w:szCs w:val="17"/>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incorporated herein by reference to Exhibit 3.1 of Form 10-K for the year ended December 31, 2021 (File No. 001-34057), filed February 23,</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2022.</w:t>
        </w:r>
      </w:hyperlink>
    </w:p>
    <w:p>
      <w:pPr>
        <w:spacing w:after="0" w:line="315" w:lineRule="exact"/>
        <w:rPr>
          <w:rFonts w:ascii="Times New Roman" w:cs="Times New Roman" w:eastAsia="Times New Roman" w:hAnsi="Times New Roman"/>
          <w:sz w:val="17"/>
          <w:szCs w:val="17"/>
          <w:color w:val="auto"/>
        </w:rPr>
      </w:pPr>
    </w:p>
    <w:p>
      <w:pPr>
        <w:jc w:val="both"/>
        <w:ind w:left="580" w:hanging="1254"/>
        <w:spacing w:after="0" w:line="295" w:lineRule="auto"/>
        <w:tabs>
          <w:tab w:leader="none" w:pos="560" w:val="left"/>
        </w:tabs>
        <w:rPr>
          <w:rFonts w:ascii="Times New Roman" w:cs="Times New Roman" w:eastAsia="Times New Roman" w:hAnsi="Times New Roman"/>
          <w:sz w:val="17"/>
          <w:szCs w:val="17"/>
          <w:color w:val="auto"/>
        </w:rPr>
      </w:pPr>
      <w:hyperlink r:id="rId108">
        <w:r>
          <w:rPr>
            <w:rFonts w:ascii="Times New Roman" w:cs="Times New Roman" w:eastAsia="Times New Roman" w:hAnsi="Times New Roman"/>
            <w:sz w:val="17"/>
            <w:szCs w:val="17"/>
            <w:color w:val="auto"/>
          </w:rPr>
          <w:t>*4.2</w:t>
        </w:r>
      </w:hyperlink>
      <w:r>
        <w:rPr>
          <w:rFonts w:ascii="Times New Roman" w:cs="Times New Roman" w:eastAsia="Times New Roman" w:hAnsi="Times New Roman"/>
          <w:sz w:val="17"/>
          <w:szCs w:val="17"/>
          <w:color w:val="auto"/>
        </w:rPr>
        <w:tab/>
      </w:r>
      <w:hyperlink r:id="rId109">
        <w:r>
          <w:rPr>
            <w:rFonts w:ascii="Times New Roman" w:cs="Times New Roman" w:eastAsia="Times New Roman" w:hAnsi="Times New Roman"/>
            <w:sz w:val="17"/>
            <w:szCs w:val="17"/>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7"/>
          <w:szCs w:val="17"/>
          <w:color w:val="auto"/>
        </w:rPr>
        <w:t xml:space="preserve"> </w:t>
      </w:r>
      <w:hyperlink r:id="rId109">
        <w:r>
          <w:rPr>
            <w:rFonts w:ascii="Times New Roman" w:cs="Times New Roman" w:eastAsia="Times New Roman" w:hAnsi="Times New Roman"/>
            <w:sz w:val="17"/>
            <w:szCs w:val="17"/>
            <w:color w:val="auto"/>
          </w:rPr>
          <w:t>reference to Exhibit 3.1 of Form 8-K, filed July 21, 2023.</w:t>
        </w:r>
      </w:hyperlink>
    </w:p>
    <w:p>
      <w:pPr>
        <w:spacing w:after="0" w:line="94" w:lineRule="exact"/>
        <w:rPr>
          <w:rFonts w:ascii="Times New Roman" w:cs="Times New Roman" w:eastAsia="Times New Roman" w:hAnsi="Times New Roman"/>
          <w:sz w:val="17"/>
          <w:szCs w:val="17"/>
          <w:color w:val="auto"/>
        </w:rPr>
      </w:pPr>
    </w:p>
    <w:p>
      <w:pPr>
        <w:spacing w:after="0"/>
        <w:tabs>
          <w:tab w:leader="none" w:pos="460" w:val="left"/>
        </w:tabs>
        <w:rPr>
          <w:rFonts w:ascii="Times New Roman" w:cs="Times New Roman" w:eastAsia="Times New Roman" w:hAnsi="Times New Roman"/>
          <w:sz w:val="17"/>
          <w:szCs w:val="17"/>
          <w:color w:val="auto"/>
        </w:rPr>
      </w:pPr>
      <w:hyperlink r:id="rId117">
        <w:r>
          <w:rPr>
            <w:rFonts w:ascii="Times New Roman" w:cs="Times New Roman" w:eastAsia="Times New Roman" w:hAnsi="Times New Roman"/>
            <w:sz w:val="17"/>
            <w:szCs w:val="17"/>
            <w:color w:val="auto"/>
          </w:rPr>
          <w:t>*4.3</w:t>
        </w:r>
      </w:hyperlink>
      <w:r>
        <w:rPr>
          <w:rFonts w:ascii="Times New Roman" w:cs="Times New Roman" w:eastAsia="Times New Roman" w:hAnsi="Times New Roman"/>
          <w:sz w:val="17"/>
          <w:szCs w:val="17"/>
          <w:color w:val="auto"/>
        </w:rPr>
        <w:tab/>
      </w:r>
      <w:hyperlink r:id="rId117">
        <w:r>
          <w:rPr>
            <w:rFonts w:ascii="Times New Roman" w:cs="Times New Roman" w:eastAsia="Times New Roman" w:hAnsi="Times New Roman"/>
            <w:sz w:val="17"/>
            <w:szCs w:val="17"/>
            <w:color w:val="auto"/>
          </w:rPr>
          <w:t>Form of Certificate for Common Stock, incorporated herein by reference to Exhibit 4.3 of Form 10-Q for the quarter ended September 30, 2022 (File No.</w:t>
        </w:r>
      </w:hyperlink>
    </w:p>
    <w:p>
      <w:pPr>
        <w:spacing w:after="0" w:line="32" w:lineRule="exact"/>
        <w:rPr>
          <w:sz w:val="20"/>
          <w:szCs w:val="20"/>
          <w:color w:val="auto"/>
        </w:rPr>
      </w:pPr>
    </w:p>
    <w:p>
      <w:pPr>
        <w:ind w:left="1260"/>
        <w:spacing w:after="0"/>
        <w:rPr>
          <w:rFonts w:ascii="Times New Roman" w:cs="Times New Roman" w:eastAsia="Times New Roman" w:hAnsi="Times New Roman"/>
          <w:sz w:val="17"/>
          <w:szCs w:val="17"/>
          <w:color w:val="auto"/>
        </w:rPr>
      </w:pPr>
      <w:hyperlink r:id="rId117">
        <w:r>
          <w:rPr>
            <w:rFonts w:ascii="Times New Roman" w:cs="Times New Roman" w:eastAsia="Times New Roman" w:hAnsi="Times New Roman"/>
            <w:sz w:val="17"/>
            <w:szCs w:val="17"/>
            <w:color w:val="auto"/>
          </w:rPr>
          <w:t>001-34057), filed November 7, 2022.</w:t>
        </w:r>
      </w:hyperlink>
    </w:p>
    <w:p>
      <w:pPr>
        <w:spacing w:after="0" w:line="152" w:lineRule="exact"/>
        <w:rPr>
          <w:sz w:val="20"/>
          <w:szCs w:val="20"/>
          <w:color w:val="auto"/>
        </w:rPr>
      </w:pPr>
    </w:p>
    <w:p>
      <w:pPr>
        <w:jc w:val="both"/>
        <w:ind w:left="500" w:hanging="1254"/>
        <w:spacing w:after="0" w:line="295" w:lineRule="auto"/>
        <w:tabs>
          <w:tab w:leader="none" w:pos="480" w:val="left"/>
        </w:tabs>
        <w:rPr>
          <w:rFonts w:ascii="Times New Roman" w:cs="Times New Roman" w:eastAsia="Times New Roman" w:hAnsi="Times New Roman"/>
          <w:sz w:val="17"/>
          <w:szCs w:val="17"/>
          <w:color w:val="auto"/>
        </w:rPr>
      </w:pPr>
      <w:hyperlink r:id="rId118">
        <w:r>
          <w:rPr>
            <w:rFonts w:ascii="Times New Roman" w:cs="Times New Roman" w:eastAsia="Times New Roman" w:hAnsi="Times New Roman"/>
            <w:sz w:val="17"/>
            <w:szCs w:val="17"/>
            <w:color w:val="auto"/>
          </w:rPr>
          <w:t>*4.4</w:t>
        </w:r>
      </w:hyperlink>
      <w:r>
        <w:rPr>
          <w:rFonts w:ascii="Times New Roman" w:cs="Times New Roman" w:eastAsia="Times New Roman" w:hAnsi="Times New Roman"/>
          <w:sz w:val="17"/>
          <w:szCs w:val="17"/>
          <w:color w:val="auto"/>
        </w:rPr>
        <w:tab/>
      </w:r>
      <w:hyperlink r:id="rId118">
        <w:r>
          <w:rPr>
            <w:rFonts w:ascii="Times New Roman" w:cs="Times New Roman" w:eastAsia="Times New Roman" w:hAnsi="Times New Roman"/>
            <w:sz w:val="17"/>
            <w:szCs w:val="17"/>
            <w:color w:val="auto"/>
          </w:rPr>
          <w:t>Specimen 7.00% Series C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18">
        <w:r>
          <w:rPr>
            <w:rFonts w:ascii="Times New Roman" w:cs="Times New Roman" w:eastAsia="Times New Roman" w:hAnsi="Times New Roman"/>
            <w:sz w:val="17"/>
            <w:szCs w:val="17"/>
            <w:color w:val="auto"/>
          </w:rPr>
          <w:t>Form 8-A (File No. 001-34057), filed August 18, 2017.</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19">
        <w:r>
          <w:rPr>
            <w:rFonts w:ascii="Times New Roman" w:cs="Times New Roman" w:eastAsia="Times New Roman" w:hAnsi="Times New Roman"/>
            <w:sz w:val="17"/>
            <w:szCs w:val="17"/>
            <w:color w:val="auto"/>
          </w:rPr>
          <w:t>*4.5</w:t>
        </w:r>
      </w:hyperlink>
      <w:r>
        <w:rPr>
          <w:rFonts w:ascii="Times New Roman" w:cs="Times New Roman" w:eastAsia="Times New Roman" w:hAnsi="Times New Roman"/>
          <w:sz w:val="17"/>
          <w:szCs w:val="17"/>
          <w:color w:val="auto"/>
        </w:rPr>
        <w:tab/>
      </w:r>
      <w:hyperlink r:id="rId119">
        <w:r>
          <w:rPr>
            <w:rFonts w:ascii="Times New Roman" w:cs="Times New Roman" w:eastAsia="Times New Roman" w:hAnsi="Times New Roman"/>
            <w:sz w:val="17"/>
            <w:szCs w:val="17"/>
            <w:color w:val="auto"/>
          </w:rPr>
          <w:t>Specimen 6.875% Series D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19">
        <w:r>
          <w:rPr>
            <w:rFonts w:ascii="Times New Roman" w:cs="Times New Roman" w:eastAsia="Times New Roman" w:hAnsi="Times New Roman"/>
            <w:sz w:val="17"/>
            <w:szCs w:val="17"/>
            <w:color w:val="auto"/>
          </w:rPr>
          <w:t>Form 8-A (File No. 001-34057), filed March 6, 2019.</w:t>
        </w:r>
      </w:hyperlink>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3" w:name="page84"/>
    <w:bookmarkEnd w:id="83"/>
    <w:p>
      <w:pPr>
        <w:jc w:val="both"/>
        <w:ind w:left="500" w:hanging="1254"/>
        <w:spacing w:after="0" w:line="295" w:lineRule="auto"/>
        <w:tabs>
          <w:tab w:leader="none" w:pos="480" w:val="left"/>
        </w:tabs>
        <w:rPr>
          <w:rFonts w:ascii="Times New Roman" w:cs="Times New Roman" w:eastAsia="Times New Roman" w:hAnsi="Times New Roman"/>
          <w:sz w:val="17"/>
          <w:szCs w:val="17"/>
          <w:color w:val="auto"/>
        </w:rPr>
      </w:pPr>
      <w:hyperlink r:id="rId121">
        <w:r>
          <w:rPr>
            <w:rFonts w:ascii="Times New Roman" w:cs="Times New Roman" w:eastAsia="Times New Roman" w:hAnsi="Times New Roman"/>
            <w:sz w:val="17"/>
            <w:szCs w:val="17"/>
            <w:color w:val="auto"/>
          </w:rPr>
          <w:t>*4.6</w:t>
        </w:r>
      </w:hyperlink>
      <w:r>
        <w:rPr>
          <w:rFonts w:ascii="Times New Roman" w:cs="Times New Roman" w:eastAsia="Times New Roman" w:hAnsi="Times New Roman"/>
          <w:sz w:val="17"/>
          <w:szCs w:val="17"/>
          <w:color w:val="auto"/>
        </w:rPr>
        <w:tab/>
      </w:r>
      <w:hyperlink r:id="rId121">
        <w:r>
          <w:rPr>
            <w:rFonts w:ascii="Times New Roman" w:cs="Times New Roman" w:eastAsia="Times New Roman" w:hAnsi="Times New Roman"/>
            <w:sz w:val="17"/>
            <w:szCs w:val="17"/>
            <w:color w:val="auto"/>
          </w:rPr>
          <w:t>Specimen 6.50% Series E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21">
        <w:r>
          <w:rPr>
            <w:rFonts w:ascii="Times New Roman" w:cs="Times New Roman" w:eastAsia="Times New Roman" w:hAnsi="Times New Roman"/>
            <w:sz w:val="17"/>
            <w:szCs w:val="17"/>
            <w:color w:val="auto"/>
          </w:rPr>
          <w:t>Form 8-A (File No. 001-34057), filed October 3, 2019.</w:t>
        </w:r>
      </w:hyperlink>
    </w:p>
    <w:p>
      <w:pPr>
        <w:spacing w:after="0" w:line="94" w:lineRule="exact"/>
        <w:rPr>
          <w:rFonts w:ascii="Times New Roman" w:cs="Times New Roman" w:eastAsia="Times New Roman" w:hAnsi="Times New Roman"/>
          <w:sz w:val="17"/>
          <w:szCs w:val="17"/>
          <w:color w:val="auto"/>
        </w:rPr>
      </w:pPr>
    </w:p>
    <w:p>
      <w:pPr>
        <w:jc w:val="both"/>
        <w:ind w:left="480" w:hanging="1254"/>
        <w:spacing w:after="0" w:line="295" w:lineRule="auto"/>
        <w:tabs>
          <w:tab w:leader="none" w:pos="460" w:val="left"/>
        </w:tabs>
        <w:rPr>
          <w:rFonts w:ascii="Times New Roman" w:cs="Times New Roman" w:eastAsia="Times New Roman" w:hAnsi="Times New Roman"/>
          <w:sz w:val="17"/>
          <w:szCs w:val="17"/>
          <w:color w:val="auto"/>
        </w:rPr>
      </w:pPr>
      <w:hyperlink r:id="rId122">
        <w:r>
          <w:rPr>
            <w:rFonts w:ascii="Times New Roman" w:cs="Times New Roman" w:eastAsia="Times New Roman" w:hAnsi="Times New Roman"/>
            <w:sz w:val="17"/>
            <w:szCs w:val="17"/>
            <w:color w:val="auto"/>
          </w:rPr>
          <w:t>*4.7</w:t>
        </w:r>
      </w:hyperlink>
      <w:r>
        <w:rPr>
          <w:rFonts w:ascii="Times New Roman" w:cs="Times New Roman" w:eastAsia="Times New Roman" w:hAnsi="Times New Roman"/>
          <w:sz w:val="17"/>
          <w:szCs w:val="17"/>
          <w:color w:val="auto"/>
        </w:rPr>
        <w:tab/>
      </w:r>
      <w:hyperlink r:id="rId122">
        <w:r>
          <w:rPr>
            <w:rFonts w:ascii="Times New Roman" w:cs="Times New Roman" w:eastAsia="Times New Roman" w:hAnsi="Times New Roman"/>
            <w:sz w:val="17"/>
            <w:szCs w:val="17"/>
            <w:color w:val="auto"/>
          </w:rPr>
          <w:t>Specimen 6.125% Series F Fixed-to-Floating Rate Cumulative Redeemable Preferred Stock Certificate, incorporated herein by reference to Exhibit 4.1 of</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Form 8-A (File No 001-34057), filed February 11, 2020.</w:t>
        </w:r>
      </w:hyperlink>
    </w:p>
    <w:p>
      <w:pPr>
        <w:spacing w:after="0" w:line="94" w:lineRule="exact"/>
        <w:rPr>
          <w:rFonts w:ascii="Times New Roman" w:cs="Times New Roman" w:eastAsia="Times New Roman" w:hAnsi="Times New Roman"/>
          <w:sz w:val="17"/>
          <w:szCs w:val="17"/>
          <w:color w:val="auto"/>
        </w:rPr>
      </w:pPr>
    </w:p>
    <w:p>
      <w:pPr>
        <w:spacing w:after="0"/>
        <w:tabs>
          <w:tab w:leader="none" w:pos="460" w:val="left"/>
        </w:tabs>
        <w:rPr>
          <w:rFonts w:ascii="Times New Roman" w:cs="Times New Roman" w:eastAsia="Times New Roman" w:hAnsi="Times New Roman"/>
          <w:sz w:val="17"/>
          <w:szCs w:val="17"/>
          <w:color w:val="auto"/>
        </w:rPr>
      </w:pPr>
      <w:hyperlink r:id="rId123">
        <w:r>
          <w:rPr>
            <w:rFonts w:ascii="Times New Roman" w:cs="Times New Roman" w:eastAsia="Times New Roman" w:hAnsi="Times New Roman"/>
            <w:sz w:val="17"/>
            <w:szCs w:val="17"/>
            <w:color w:val="auto"/>
          </w:rPr>
          <w:t>*4.8</w:t>
        </w:r>
      </w:hyperlink>
      <w:r>
        <w:rPr>
          <w:rFonts w:ascii="Times New Roman" w:cs="Times New Roman" w:eastAsia="Times New Roman" w:hAnsi="Times New Roman"/>
          <w:sz w:val="17"/>
          <w:szCs w:val="17"/>
          <w:color w:val="auto"/>
        </w:rPr>
        <w:tab/>
      </w:r>
      <w:hyperlink r:id="rId123">
        <w:r>
          <w:rPr>
            <w:rFonts w:ascii="Times New Roman" w:cs="Times New Roman" w:eastAsia="Times New Roman" w:hAnsi="Times New Roman"/>
            <w:sz w:val="17"/>
            <w:szCs w:val="17"/>
            <w:color w:val="auto"/>
          </w:rPr>
          <w:t>Specimen 7.75% Series G Fixed-Rate Reset Cumulative Redeemable Preferred Stock Certificate, incorporated herein by reference to Exhibit 4.1 of Form</w:t>
        </w:r>
      </w:hyperlink>
    </w:p>
    <w:p>
      <w:pPr>
        <w:spacing w:after="0" w:line="32" w:lineRule="exact"/>
        <w:rPr>
          <w:sz w:val="20"/>
          <w:szCs w:val="20"/>
          <w:color w:val="auto"/>
        </w:rPr>
      </w:pPr>
    </w:p>
    <w:p>
      <w:pPr>
        <w:ind w:left="1260"/>
        <w:spacing w:after="0"/>
        <w:rPr>
          <w:rFonts w:ascii="Times New Roman" w:cs="Times New Roman" w:eastAsia="Times New Roman" w:hAnsi="Times New Roman"/>
          <w:sz w:val="17"/>
          <w:szCs w:val="17"/>
          <w:color w:val="auto"/>
        </w:rPr>
      </w:pPr>
      <w:hyperlink r:id="rId123">
        <w:r>
          <w:rPr>
            <w:rFonts w:ascii="Times New Roman" w:cs="Times New Roman" w:eastAsia="Times New Roman" w:hAnsi="Times New Roman"/>
            <w:sz w:val="17"/>
            <w:szCs w:val="17"/>
            <w:color w:val="auto"/>
          </w:rPr>
          <w:t>8-A (File No 001-34057), filed September 14, 2022.</w:t>
        </w:r>
      </w:hyperlink>
    </w:p>
    <w:p>
      <w:pPr>
        <w:spacing w:after="0" w:line="152" w:lineRule="exact"/>
        <w:rPr>
          <w:sz w:val="20"/>
          <w:szCs w:val="20"/>
          <w:color w:val="auto"/>
        </w:rPr>
      </w:pPr>
    </w:p>
    <w:p>
      <w:pPr>
        <w:jc w:val="both"/>
        <w:ind w:left="520" w:hanging="1254"/>
        <w:spacing w:after="0" w:line="276" w:lineRule="auto"/>
        <w:tabs>
          <w:tab w:leader="none" w:pos="500" w:val="left"/>
        </w:tabs>
        <w:rPr>
          <w:rFonts w:ascii="Times New Roman" w:cs="Times New Roman" w:eastAsia="Times New Roman" w:hAnsi="Times New Roman"/>
          <w:sz w:val="17"/>
          <w:szCs w:val="17"/>
          <w:color w:val="auto"/>
        </w:rPr>
      </w:pPr>
      <w:hyperlink r:id="rId124">
        <w:r>
          <w:rPr>
            <w:rFonts w:ascii="Times New Roman" w:cs="Times New Roman" w:eastAsia="Times New Roman" w:hAnsi="Times New Roman"/>
            <w:sz w:val="17"/>
            <w:szCs w:val="17"/>
            <w:color w:val="auto"/>
          </w:rPr>
          <w:t>*4.9</w:t>
        </w:r>
      </w:hyperlink>
      <w:r>
        <w:rPr>
          <w:rFonts w:ascii="Times New Roman" w:cs="Times New Roman" w:eastAsia="Times New Roman" w:hAnsi="Times New Roman"/>
          <w:sz w:val="17"/>
          <w:szCs w:val="17"/>
          <w:color w:val="auto"/>
        </w:rPr>
        <w:tab/>
      </w:r>
      <w:hyperlink r:id="rId124">
        <w:r>
          <w:rPr>
            <w:rFonts w:ascii="Times New Roman" w:cs="Times New Roman" w:eastAsia="Times New Roman" w:hAnsi="Times New Roman"/>
            <w:sz w:val="17"/>
            <w:szCs w:val="17"/>
            <w:color w:val="auto"/>
          </w:rPr>
          <w:t>Deposit Agreement relating to 7.00% Series C Fixed-to-Floating Rate Cumulative Redeemable Preferred Stock, dated August 22, 2017, among AGNC</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Exhibit 4.2 of Form 8-K (File No. 001-34057) filed August 22, 2017.</w:t>
        </w:r>
      </w:hyperlink>
    </w:p>
    <w:p>
      <w:pPr>
        <w:spacing w:after="0" w:line="110" w:lineRule="exact"/>
        <w:rPr>
          <w:rFonts w:ascii="Times New Roman" w:cs="Times New Roman" w:eastAsia="Times New Roman" w:hAnsi="Times New Roman"/>
          <w:sz w:val="17"/>
          <w:szCs w:val="17"/>
          <w:color w:val="auto"/>
        </w:rPr>
      </w:pPr>
    </w:p>
    <w:p>
      <w:pPr>
        <w:jc w:val="both"/>
        <w:ind w:left="660" w:hanging="1254"/>
        <w:spacing w:after="0" w:line="288" w:lineRule="auto"/>
        <w:tabs>
          <w:tab w:leader="none" w:pos="640" w:val="left"/>
        </w:tabs>
        <w:rPr>
          <w:rFonts w:ascii="Times New Roman" w:cs="Times New Roman" w:eastAsia="Times New Roman" w:hAnsi="Times New Roman"/>
          <w:sz w:val="17"/>
          <w:szCs w:val="17"/>
          <w:color w:val="auto"/>
        </w:rPr>
      </w:pPr>
      <w:hyperlink r:id="rId124">
        <w:r>
          <w:rPr>
            <w:rFonts w:ascii="Times New Roman" w:cs="Times New Roman" w:eastAsia="Times New Roman" w:hAnsi="Times New Roman"/>
            <w:sz w:val="17"/>
            <w:szCs w:val="17"/>
            <w:color w:val="auto"/>
          </w:rPr>
          <w:t>*4.10</w:t>
        </w:r>
      </w:hyperlink>
      <w:r>
        <w:rPr>
          <w:rFonts w:ascii="Times New Roman" w:cs="Times New Roman" w:eastAsia="Times New Roman" w:hAnsi="Times New Roman"/>
          <w:sz w:val="17"/>
          <w:szCs w:val="17"/>
          <w:color w:val="auto"/>
        </w:rPr>
        <w:tab/>
      </w:r>
      <w:hyperlink r:id="rId124">
        <w:r>
          <w:rPr>
            <w:rFonts w:ascii="Times New Roman" w:cs="Times New Roman" w:eastAsia="Times New Roman" w:hAnsi="Times New Roman"/>
            <w:sz w:val="17"/>
            <w:szCs w:val="17"/>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(included as part of Exhibit 4.9), incorporated herein by reference to Exhibit A of Exhibit 4.2 of Form 8-K (File No. 001-34057) filed August</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22, 2017.</w:t>
        </w:r>
      </w:hyperlink>
    </w:p>
    <w:p>
      <w:pPr>
        <w:spacing w:after="0" w:line="315" w:lineRule="exact"/>
        <w:rPr>
          <w:rFonts w:ascii="Times New Roman" w:cs="Times New Roman" w:eastAsia="Times New Roman" w:hAnsi="Times New Roman"/>
          <w:sz w:val="17"/>
          <w:szCs w:val="17"/>
          <w:color w:val="auto"/>
        </w:rPr>
      </w:pPr>
    </w:p>
    <w:p>
      <w:pPr>
        <w:jc w:val="both"/>
        <w:ind w:left="600" w:hanging="1254"/>
        <w:spacing w:after="0" w:line="276" w:lineRule="auto"/>
        <w:tabs>
          <w:tab w:leader="none" w:pos="580" w:val="left"/>
        </w:tabs>
        <w:rPr>
          <w:rFonts w:ascii="Times New Roman" w:cs="Times New Roman" w:eastAsia="Times New Roman" w:hAnsi="Times New Roman"/>
          <w:sz w:val="17"/>
          <w:szCs w:val="17"/>
          <w:color w:val="auto"/>
        </w:rPr>
      </w:pPr>
      <w:hyperlink r:id="rId125">
        <w:r>
          <w:rPr>
            <w:rFonts w:ascii="Times New Roman" w:cs="Times New Roman" w:eastAsia="Times New Roman" w:hAnsi="Times New Roman"/>
            <w:sz w:val="17"/>
            <w:szCs w:val="17"/>
            <w:color w:val="auto"/>
          </w:rPr>
          <w:t>*4.11</w:t>
        </w:r>
      </w:hyperlink>
      <w:r>
        <w:rPr>
          <w:rFonts w:ascii="Times New Roman" w:cs="Times New Roman" w:eastAsia="Times New Roman" w:hAnsi="Times New Roman"/>
          <w:sz w:val="17"/>
          <w:szCs w:val="17"/>
          <w:color w:val="auto"/>
        </w:rPr>
        <w:tab/>
      </w:r>
      <w:hyperlink r:id="rId125">
        <w:r>
          <w:rPr>
            <w:rFonts w:ascii="Times New Roman" w:cs="Times New Roman" w:eastAsia="Times New Roman" w:hAnsi="Times New Roman"/>
            <w:sz w:val="17"/>
            <w:szCs w:val="17"/>
            <w:color w:val="auto"/>
          </w:rPr>
          <w:t>Deposit Agreement relating to 6.875% Series D Fixed-to-Floating Rate Cumulative Redeemable Preferred Stock, dated March 6, 2019, among AGNC</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Exhibit 4.2 of Form 8-K (File No. 001-34057) filed March 6, 2019.</w:t>
        </w:r>
      </w:hyperlink>
    </w:p>
    <w:p>
      <w:pPr>
        <w:spacing w:after="0" w:line="110" w:lineRule="exact"/>
        <w:rPr>
          <w:rFonts w:ascii="Times New Roman" w:cs="Times New Roman" w:eastAsia="Times New Roman" w:hAnsi="Times New Roman"/>
          <w:sz w:val="17"/>
          <w:szCs w:val="17"/>
          <w:color w:val="auto"/>
        </w:rPr>
      </w:pPr>
    </w:p>
    <w:p>
      <w:pPr>
        <w:jc w:val="both"/>
        <w:ind w:left="640" w:hanging="1254"/>
        <w:spacing w:after="0" w:line="288" w:lineRule="auto"/>
        <w:tabs>
          <w:tab w:leader="none" w:pos="620" w:val="left"/>
        </w:tabs>
        <w:rPr>
          <w:rFonts w:ascii="Times New Roman" w:cs="Times New Roman" w:eastAsia="Times New Roman" w:hAnsi="Times New Roman"/>
          <w:sz w:val="17"/>
          <w:szCs w:val="17"/>
          <w:color w:val="auto"/>
        </w:rPr>
      </w:pPr>
      <w:hyperlink r:id="rId125">
        <w:r>
          <w:rPr>
            <w:rFonts w:ascii="Times New Roman" w:cs="Times New Roman" w:eastAsia="Times New Roman" w:hAnsi="Times New Roman"/>
            <w:sz w:val="17"/>
            <w:szCs w:val="17"/>
            <w:color w:val="auto"/>
          </w:rPr>
          <w:t>*4.12</w:t>
        </w:r>
      </w:hyperlink>
      <w:r>
        <w:rPr>
          <w:rFonts w:ascii="Times New Roman" w:cs="Times New Roman" w:eastAsia="Times New Roman" w:hAnsi="Times New Roman"/>
          <w:sz w:val="17"/>
          <w:szCs w:val="17"/>
          <w:color w:val="auto"/>
        </w:rPr>
        <w:tab/>
      </w:r>
      <w:hyperlink r:id="rId125">
        <w:r>
          <w:rPr>
            <w:rFonts w:ascii="Times New Roman" w:cs="Times New Roman" w:eastAsia="Times New Roman" w:hAnsi="Times New Roman"/>
            <w:sz w:val="17"/>
            <w:szCs w:val="17"/>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(included as part of Exhibit 4.11), incorporated herein by reference to Exhibit A of Exhibit 4.2 of Form 8-K (File No. 001-34057) filed March</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6, 2019.</w:t>
        </w:r>
      </w:hyperlink>
    </w:p>
    <w:p>
      <w:pPr>
        <w:spacing w:after="0" w:line="315" w:lineRule="exact"/>
        <w:rPr>
          <w:rFonts w:ascii="Times New Roman" w:cs="Times New Roman" w:eastAsia="Times New Roman" w:hAnsi="Times New Roman"/>
          <w:sz w:val="17"/>
          <w:szCs w:val="17"/>
          <w:color w:val="auto"/>
        </w:rPr>
      </w:pPr>
    </w:p>
    <w:p>
      <w:pPr>
        <w:ind w:left="580" w:right="180" w:hanging="1254"/>
        <w:spacing w:after="0" w:line="276" w:lineRule="auto"/>
        <w:tabs>
          <w:tab w:leader="none" w:pos="560" w:val="left"/>
        </w:tabs>
        <w:rPr>
          <w:rFonts w:ascii="Times New Roman" w:cs="Times New Roman" w:eastAsia="Times New Roman" w:hAnsi="Times New Roman"/>
          <w:sz w:val="17"/>
          <w:szCs w:val="17"/>
          <w:color w:val="auto"/>
        </w:rPr>
      </w:pPr>
      <w:hyperlink r:id="rId126">
        <w:r>
          <w:rPr>
            <w:rFonts w:ascii="Times New Roman" w:cs="Times New Roman" w:eastAsia="Times New Roman" w:hAnsi="Times New Roman"/>
            <w:sz w:val="17"/>
            <w:szCs w:val="17"/>
            <w:color w:val="auto"/>
          </w:rPr>
          <w:t>*4.13</w:t>
        </w:r>
      </w:hyperlink>
      <w:r>
        <w:rPr>
          <w:rFonts w:ascii="Times New Roman" w:cs="Times New Roman" w:eastAsia="Times New Roman" w:hAnsi="Times New Roman"/>
          <w:sz w:val="17"/>
          <w:szCs w:val="17"/>
          <w:color w:val="auto"/>
        </w:rPr>
        <w:tab/>
      </w:r>
      <w:hyperlink r:id="rId126">
        <w:r>
          <w:rPr>
            <w:rFonts w:ascii="Times New Roman" w:cs="Times New Roman" w:eastAsia="Times New Roman" w:hAnsi="Times New Roman"/>
            <w:sz w:val="17"/>
            <w:szCs w:val="17"/>
            <w:color w:val="auto"/>
          </w:rPr>
          <w:t>Deposit Agreement relating to 6.50% Series E Fixed-to-Floating Rate Cumulative Redeemable Preferred Stock, dated October 3, 2019, among AGNC</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Exhibit 4.2 of Form 8-K (File No. 001-34057) filed October 3, 2019.</w:t>
        </w:r>
      </w:hyperlink>
    </w:p>
    <w:p>
      <w:pPr>
        <w:spacing w:after="0" w:line="110" w:lineRule="exact"/>
        <w:rPr>
          <w:rFonts w:ascii="Times New Roman" w:cs="Times New Roman" w:eastAsia="Times New Roman" w:hAnsi="Times New Roman"/>
          <w:sz w:val="17"/>
          <w:szCs w:val="17"/>
          <w:color w:val="auto"/>
        </w:rPr>
      </w:pPr>
    </w:p>
    <w:p>
      <w:pPr>
        <w:jc w:val="both"/>
        <w:ind w:left="580" w:right="560" w:hanging="1254"/>
        <w:spacing w:after="0" w:line="276" w:lineRule="auto"/>
        <w:tabs>
          <w:tab w:leader="none" w:pos="560" w:val="left"/>
        </w:tabs>
        <w:rPr>
          <w:rFonts w:ascii="Times New Roman" w:cs="Times New Roman" w:eastAsia="Times New Roman" w:hAnsi="Times New Roman"/>
          <w:sz w:val="17"/>
          <w:szCs w:val="17"/>
          <w:color w:val="auto"/>
        </w:rPr>
      </w:pPr>
      <w:hyperlink r:id="rId126">
        <w:r>
          <w:rPr>
            <w:rFonts w:ascii="Times New Roman" w:cs="Times New Roman" w:eastAsia="Times New Roman" w:hAnsi="Times New Roman"/>
            <w:sz w:val="17"/>
            <w:szCs w:val="17"/>
            <w:color w:val="auto"/>
          </w:rPr>
          <w:t>*4.14</w:t>
        </w:r>
      </w:hyperlink>
      <w:r>
        <w:rPr>
          <w:rFonts w:ascii="Times New Roman" w:cs="Times New Roman" w:eastAsia="Times New Roman" w:hAnsi="Times New Roman"/>
          <w:sz w:val="17"/>
          <w:szCs w:val="17"/>
          <w:color w:val="auto"/>
        </w:rPr>
        <w:tab/>
      </w:r>
      <w:hyperlink r:id="rId126">
        <w:r>
          <w:rPr>
            <w:rFonts w:ascii="Times New Roman" w:cs="Times New Roman" w:eastAsia="Times New Roman" w:hAnsi="Times New Roman"/>
            <w:sz w:val="17"/>
            <w:szCs w:val="17"/>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(included as part of Exhibit 4.13), incorporated herein by reference to Exhibit A of Exhibit 4.2 of Form 8-K (File No. 001-34057) filed</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October 3, 2019.</w:t>
        </w:r>
      </w:hyperlink>
    </w:p>
    <w:p>
      <w:pPr>
        <w:spacing w:after="0" w:line="110" w:lineRule="exact"/>
        <w:rPr>
          <w:rFonts w:ascii="Times New Roman" w:cs="Times New Roman" w:eastAsia="Times New Roman" w:hAnsi="Times New Roman"/>
          <w:sz w:val="17"/>
          <w:szCs w:val="17"/>
          <w:color w:val="auto"/>
        </w:rPr>
      </w:pPr>
    </w:p>
    <w:p>
      <w:pPr>
        <w:ind w:left="580" w:right="500" w:hanging="1254"/>
        <w:spacing w:after="0" w:line="276" w:lineRule="auto"/>
        <w:tabs>
          <w:tab w:leader="none" w:pos="560" w:val="left"/>
        </w:tabs>
        <w:rPr>
          <w:rFonts w:ascii="Times New Roman" w:cs="Times New Roman" w:eastAsia="Times New Roman" w:hAnsi="Times New Roman"/>
          <w:sz w:val="17"/>
          <w:szCs w:val="17"/>
          <w:color w:val="auto"/>
        </w:rPr>
      </w:pPr>
      <w:hyperlink r:id="rId127">
        <w:r>
          <w:rPr>
            <w:rFonts w:ascii="Times New Roman" w:cs="Times New Roman" w:eastAsia="Times New Roman" w:hAnsi="Times New Roman"/>
            <w:sz w:val="17"/>
            <w:szCs w:val="17"/>
            <w:color w:val="auto"/>
          </w:rPr>
          <w:t>*4.15</w:t>
        </w:r>
      </w:hyperlink>
      <w:r>
        <w:rPr>
          <w:rFonts w:ascii="Times New Roman" w:cs="Times New Roman" w:eastAsia="Times New Roman" w:hAnsi="Times New Roman"/>
          <w:sz w:val="17"/>
          <w:szCs w:val="17"/>
          <w:color w:val="auto"/>
        </w:rPr>
        <w:tab/>
      </w:r>
      <w:hyperlink r:id="rId127">
        <w:r>
          <w:rPr>
            <w:rFonts w:ascii="Times New Roman" w:cs="Times New Roman" w:eastAsia="Times New Roman" w:hAnsi="Times New Roman"/>
            <w:sz w:val="17"/>
            <w:szCs w:val="17"/>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7"/>
          <w:szCs w:val="17"/>
          <w:color w:val="auto"/>
        </w:rPr>
        <w:t xml:space="preserve"> </w:t>
      </w:r>
      <w:hyperlink r:id="rId127">
        <w:r>
          <w:rPr>
            <w:rFonts w:ascii="Times New Roman" w:cs="Times New Roman" w:eastAsia="Times New Roman" w:hAnsi="Times New Roman"/>
            <w:sz w:val="17"/>
            <w:szCs w:val="17"/>
            <w:color w:val="auto"/>
          </w:rPr>
          <w:t>AGNC Investment Corp., Computershare Inc. and Computershare Trust Company, N.A., jointly as depositary, incorporated herein by</w:t>
        </w:r>
      </w:hyperlink>
      <w:r>
        <w:rPr>
          <w:rFonts w:ascii="Times New Roman" w:cs="Times New Roman" w:eastAsia="Times New Roman" w:hAnsi="Times New Roman"/>
          <w:sz w:val="17"/>
          <w:szCs w:val="17"/>
          <w:color w:val="auto"/>
        </w:rPr>
        <w:t xml:space="preserve"> </w:t>
      </w:r>
      <w:hyperlink r:id="rId127">
        <w:r>
          <w:rPr>
            <w:rFonts w:ascii="Times New Roman" w:cs="Times New Roman" w:eastAsia="Times New Roman" w:hAnsi="Times New Roman"/>
            <w:sz w:val="17"/>
            <w:szCs w:val="17"/>
            <w:color w:val="auto"/>
          </w:rPr>
          <w:t>reference to Exhibit 4.1 of Form 8-K (File No. 001-34057) filed February 11, 2020.</w:t>
        </w:r>
      </w:hyperlink>
    </w:p>
    <w:p>
      <w:pPr>
        <w:spacing w:after="0" w:line="110" w:lineRule="exact"/>
        <w:rPr>
          <w:rFonts w:ascii="Times New Roman" w:cs="Times New Roman" w:eastAsia="Times New Roman" w:hAnsi="Times New Roman"/>
          <w:sz w:val="17"/>
          <w:szCs w:val="17"/>
          <w:color w:val="auto"/>
        </w:rPr>
      </w:pPr>
    </w:p>
    <w:p>
      <w:pPr>
        <w:ind w:left="580" w:right="480" w:hanging="1254"/>
        <w:spacing w:after="0" w:line="276" w:lineRule="auto"/>
        <w:tabs>
          <w:tab w:leader="none" w:pos="560" w:val="left"/>
        </w:tabs>
        <w:rPr>
          <w:rFonts w:ascii="Times New Roman" w:cs="Times New Roman" w:eastAsia="Times New Roman" w:hAnsi="Times New Roman"/>
          <w:sz w:val="17"/>
          <w:szCs w:val="17"/>
          <w:color w:val="auto"/>
        </w:rPr>
      </w:pPr>
      <w:hyperlink r:id="rId127">
        <w:r>
          <w:rPr>
            <w:rFonts w:ascii="Times New Roman" w:cs="Times New Roman" w:eastAsia="Times New Roman" w:hAnsi="Times New Roman"/>
            <w:sz w:val="17"/>
            <w:szCs w:val="17"/>
            <w:color w:val="auto"/>
          </w:rPr>
          <w:t>*4.16</w:t>
        </w:r>
      </w:hyperlink>
      <w:r>
        <w:rPr>
          <w:rFonts w:ascii="Times New Roman" w:cs="Times New Roman" w:eastAsia="Times New Roman" w:hAnsi="Times New Roman"/>
          <w:sz w:val="17"/>
          <w:szCs w:val="17"/>
          <w:color w:val="auto"/>
        </w:rPr>
        <w:tab/>
      </w:r>
      <w:hyperlink r:id="rId127">
        <w:r>
          <w:rPr>
            <w:rFonts w:ascii="Times New Roman" w:cs="Times New Roman" w:eastAsia="Times New Roman" w:hAnsi="Times New Roman"/>
            <w:sz w:val="17"/>
            <w:szCs w:val="17"/>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7"/>
          <w:szCs w:val="17"/>
          <w:color w:val="auto"/>
        </w:rPr>
        <w:t xml:space="preserve"> </w:t>
      </w:r>
      <w:hyperlink r:id="rId127">
        <w:r>
          <w:rPr>
            <w:rFonts w:ascii="Times New Roman" w:cs="Times New Roman" w:eastAsia="Times New Roman" w:hAnsi="Times New Roman"/>
            <w:sz w:val="17"/>
            <w:szCs w:val="17"/>
            <w:color w:val="auto"/>
          </w:rPr>
          <w:t>(included as part of Exhibit 4.15), incorporated herein by reference to Exhibit A of Exhibit 4.1 of Form 8-K (File No. 001-34057) filed</w:t>
        </w:r>
      </w:hyperlink>
      <w:r>
        <w:rPr>
          <w:rFonts w:ascii="Times New Roman" w:cs="Times New Roman" w:eastAsia="Times New Roman" w:hAnsi="Times New Roman"/>
          <w:sz w:val="17"/>
          <w:szCs w:val="17"/>
          <w:color w:val="auto"/>
        </w:rPr>
        <w:t xml:space="preserve"> </w:t>
      </w:r>
      <w:hyperlink r:id="rId127">
        <w:r>
          <w:rPr>
            <w:rFonts w:ascii="Times New Roman" w:cs="Times New Roman" w:eastAsia="Times New Roman" w:hAnsi="Times New Roman"/>
            <w:sz w:val="17"/>
            <w:szCs w:val="17"/>
            <w:color w:val="auto"/>
          </w:rPr>
          <w:t>February 11, 2020.</w:t>
        </w:r>
      </w:hyperlink>
    </w:p>
    <w:p>
      <w:pPr>
        <w:spacing w:after="0" w:line="110" w:lineRule="exact"/>
        <w:rPr>
          <w:rFonts w:ascii="Times New Roman" w:cs="Times New Roman" w:eastAsia="Times New Roman" w:hAnsi="Times New Roman"/>
          <w:sz w:val="17"/>
          <w:szCs w:val="17"/>
          <w:color w:val="auto"/>
        </w:rPr>
      </w:pPr>
    </w:p>
    <w:p>
      <w:pPr>
        <w:jc w:val="both"/>
        <w:ind w:left="580" w:right="280" w:hanging="1254"/>
        <w:spacing w:after="0" w:line="276" w:lineRule="auto"/>
        <w:tabs>
          <w:tab w:leader="none" w:pos="560" w:val="left"/>
        </w:tabs>
        <w:rPr>
          <w:rFonts w:ascii="Times New Roman" w:cs="Times New Roman" w:eastAsia="Times New Roman" w:hAnsi="Times New Roman"/>
          <w:sz w:val="17"/>
          <w:szCs w:val="17"/>
          <w:color w:val="auto"/>
        </w:rPr>
      </w:pPr>
      <w:hyperlink r:id="rId128">
        <w:r>
          <w:rPr>
            <w:rFonts w:ascii="Times New Roman" w:cs="Times New Roman" w:eastAsia="Times New Roman" w:hAnsi="Times New Roman"/>
            <w:sz w:val="17"/>
            <w:szCs w:val="17"/>
            <w:color w:val="auto"/>
          </w:rPr>
          <w:t>*4.17</w:t>
        </w:r>
      </w:hyperlink>
      <w:r>
        <w:rPr>
          <w:rFonts w:ascii="Times New Roman" w:cs="Times New Roman" w:eastAsia="Times New Roman" w:hAnsi="Times New Roman"/>
          <w:sz w:val="17"/>
          <w:szCs w:val="17"/>
          <w:color w:val="auto"/>
        </w:rPr>
        <w:tab/>
      </w:r>
      <w:hyperlink r:id="rId128">
        <w:r>
          <w:rPr>
            <w:rFonts w:ascii="Times New Roman" w:cs="Times New Roman" w:eastAsia="Times New Roman" w:hAnsi="Times New Roman"/>
            <w:sz w:val="17"/>
            <w:szCs w:val="17"/>
            <w:color w:val="auto"/>
          </w:rPr>
          <w:t>Deposit Agreement relating to 7.75% Series G Fixed-Rate Reset Cumulative Redeemable Preferred Stock, dated September 14, 2022, among AGNC</w:t>
        </w:r>
      </w:hyperlink>
      <w:r>
        <w:rPr>
          <w:rFonts w:ascii="Times New Roman" w:cs="Times New Roman" w:eastAsia="Times New Roman" w:hAnsi="Times New Roman"/>
          <w:sz w:val="17"/>
          <w:szCs w:val="17"/>
          <w:color w:val="auto"/>
        </w:rPr>
        <w:t xml:space="preserve"> </w:t>
      </w:r>
      <w:hyperlink r:id="rId128">
        <w:r>
          <w:rPr>
            <w:rFonts w:ascii="Times New Roman" w:cs="Times New Roman" w:eastAsia="Times New Roman" w:hAnsi="Times New Roman"/>
            <w:sz w:val="17"/>
            <w:szCs w:val="17"/>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7"/>
          <w:szCs w:val="17"/>
          <w:color w:val="auto"/>
        </w:rPr>
        <w:t xml:space="preserve"> </w:t>
      </w:r>
      <w:hyperlink r:id="rId128">
        <w:r>
          <w:rPr>
            <w:rFonts w:ascii="Times New Roman" w:cs="Times New Roman" w:eastAsia="Times New Roman" w:hAnsi="Times New Roman"/>
            <w:sz w:val="17"/>
            <w:szCs w:val="17"/>
            <w:color w:val="auto"/>
          </w:rPr>
          <w:t>Exhibit 4.2 of Form 8-K (File No. 001-34057) filed September 14, 2022.</w:t>
        </w:r>
      </w:hyperlink>
    </w:p>
    <w:p>
      <w:pPr>
        <w:spacing w:after="0" w:line="110" w:lineRule="exact"/>
        <w:rPr>
          <w:rFonts w:ascii="Times New Roman" w:cs="Times New Roman" w:eastAsia="Times New Roman" w:hAnsi="Times New Roman"/>
          <w:sz w:val="17"/>
          <w:szCs w:val="17"/>
          <w:color w:val="auto"/>
        </w:rPr>
      </w:pPr>
    </w:p>
    <w:p>
      <w:pPr>
        <w:ind w:left="580" w:right="40" w:hanging="1254"/>
        <w:spacing w:after="0" w:line="288" w:lineRule="auto"/>
        <w:tabs>
          <w:tab w:leader="none" w:pos="560" w:val="left"/>
        </w:tabs>
        <w:rPr>
          <w:rFonts w:ascii="Times New Roman" w:cs="Times New Roman" w:eastAsia="Times New Roman" w:hAnsi="Times New Roman"/>
          <w:sz w:val="17"/>
          <w:szCs w:val="17"/>
          <w:color w:val="auto"/>
        </w:rPr>
      </w:pPr>
      <w:hyperlink r:id="rId128">
        <w:r>
          <w:rPr>
            <w:rFonts w:ascii="Times New Roman" w:cs="Times New Roman" w:eastAsia="Times New Roman" w:hAnsi="Times New Roman"/>
            <w:sz w:val="17"/>
            <w:szCs w:val="17"/>
            <w:color w:val="auto"/>
          </w:rPr>
          <w:t>*4.18</w:t>
        </w:r>
      </w:hyperlink>
      <w:r>
        <w:rPr>
          <w:rFonts w:ascii="Times New Roman" w:cs="Times New Roman" w:eastAsia="Times New Roman" w:hAnsi="Times New Roman"/>
          <w:sz w:val="17"/>
          <w:szCs w:val="17"/>
          <w:color w:val="auto"/>
        </w:rPr>
        <w:tab/>
      </w:r>
      <w:hyperlink r:id="rId128">
        <w:r>
          <w:rPr>
            <w:rFonts w:ascii="Times New Roman" w:cs="Times New Roman" w:eastAsia="Times New Roman" w:hAnsi="Times New Roman"/>
            <w:sz w:val="17"/>
            <w:szCs w:val="17"/>
            <w:color w:val="auto"/>
          </w:rPr>
          <w:t>Form of Depositary Receipt representing 1/1,000th of a share of 7.75% Series G Fixed-Rate Reset Cumulative Redeemable Preferred Stock (included as</w:t>
        </w:r>
      </w:hyperlink>
      <w:r>
        <w:rPr>
          <w:rFonts w:ascii="Times New Roman" w:cs="Times New Roman" w:eastAsia="Times New Roman" w:hAnsi="Times New Roman"/>
          <w:sz w:val="17"/>
          <w:szCs w:val="17"/>
          <w:color w:val="auto"/>
        </w:rPr>
        <w:t xml:space="preserve"> </w:t>
      </w:r>
      <w:hyperlink r:id="rId128">
        <w:r>
          <w:rPr>
            <w:rFonts w:ascii="Times New Roman" w:cs="Times New Roman" w:eastAsia="Times New Roman" w:hAnsi="Times New Roman"/>
            <w:sz w:val="17"/>
            <w:szCs w:val="17"/>
            <w:color w:val="auto"/>
          </w:rPr>
          <w:t>part of Exhibit 4.17), incorporated herein by reference to Exhibit A of Exhibit 4.2 of Form 8-K (File No. 001-34057) filed September 14,</w:t>
        </w:r>
      </w:hyperlink>
      <w:r>
        <w:rPr>
          <w:rFonts w:ascii="Times New Roman" w:cs="Times New Roman" w:eastAsia="Times New Roman" w:hAnsi="Times New Roman"/>
          <w:sz w:val="17"/>
          <w:szCs w:val="17"/>
          <w:color w:val="auto"/>
        </w:rPr>
        <w:t xml:space="preserve"> </w:t>
      </w:r>
      <w:hyperlink r:id="rId128">
        <w:r>
          <w:rPr>
            <w:rFonts w:ascii="Times New Roman" w:cs="Times New Roman" w:eastAsia="Times New Roman" w:hAnsi="Times New Roman"/>
            <w:sz w:val="17"/>
            <w:szCs w:val="17"/>
            <w:color w:val="auto"/>
          </w:rPr>
          <w:t>2022.</w:t>
        </w:r>
      </w:hyperlink>
    </w:p>
    <w:p>
      <w:pPr>
        <w:spacing w:after="0" w:line="315" w:lineRule="exact"/>
        <w:rPr>
          <w:rFonts w:ascii="Times New Roman" w:cs="Times New Roman" w:eastAsia="Times New Roman" w:hAnsi="Times New Roman"/>
          <w:sz w:val="17"/>
          <w:szCs w:val="17"/>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4.19</w:t>
        <w:tab/>
        <w:t>Description of the Registrant’s Securities, filed herewith.</w:t>
      </w:r>
    </w:p>
    <w:p>
      <w:pPr>
        <w:spacing w:after="0" w:line="170" w:lineRule="exact"/>
        <w:rPr>
          <w:rFonts w:ascii="Times New Roman" w:cs="Times New Roman" w:eastAsia="Times New Roman" w:hAnsi="Times New Roman"/>
          <w:sz w:val="17"/>
          <w:szCs w:val="17"/>
          <w:color w:val="auto"/>
        </w:rPr>
      </w:pPr>
    </w:p>
    <w:p>
      <w:pPr>
        <w:spacing w:after="0"/>
        <w:tabs>
          <w:tab w:leader="none" w:pos="680" w:val="left"/>
        </w:tabs>
        <w:rPr>
          <w:rFonts w:ascii="Times New Roman" w:cs="Times New Roman" w:eastAsia="Times New Roman" w:hAnsi="Times New Roman"/>
          <w:sz w:val="17"/>
          <w:szCs w:val="17"/>
          <w:color w:val="auto"/>
        </w:rPr>
      </w:pPr>
      <w:hyperlink r:id="rId129">
        <w:r>
          <w:rPr>
            <w:rFonts w:ascii="Times New Roman" w:cs="Times New Roman" w:eastAsia="Times New Roman" w:hAnsi="Times New Roman"/>
            <w:sz w:val="17"/>
            <w:szCs w:val="17"/>
            <w:color w:val="auto"/>
          </w:rPr>
          <w:t>†* 10.1</w:t>
        </w:r>
      </w:hyperlink>
      <w:r>
        <w:rPr>
          <w:rFonts w:ascii="Times New Roman" w:cs="Times New Roman" w:eastAsia="Times New Roman" w:hAnsi="Times New Roman"/>
          <w:sz w:val="17"/>
          <w:szCs w:val="17"/>
          <w:color w:val="auto"/>
        </w:rPr>
        <w:tab/>
      </w:r>
      <w:hyperlink r:id="rId130">
        <w:r>
          <w:rPr>
            <w:rFonts w:ascii="Times New Roman" w:cs="Times New Roman" w:eastAsia="Times New Roman" w:hAnsi="Times New Roman"/>
            <w:sz w:val="17"/>
            <w:szCs w:val="17"/>
            <w:color w:val="auto"/>
          </w:rPr>
          <w:t>Form of Indemnification Agreement, incorporated herein by reference to Exhibit 10.1 of Form 8-K (File No. 001-34057) filed October 25, 2021.</w:t>
        </w:r>
      </w:hyperlink>
    </w:p>
    <w:p>
      <w:pPr>
        <w:spacing w:after="0" w:line="170" w:lineRule="exact"/>
        <w:rPr>
          <w:sz w:val="20"/>
          <w:szCs w:val="20"/>
          <w:color w:val="auto"/>
        </w:rPr>
      </w:pPr>
    </w:p>
    <w:p>
      <w:pPr>
        <w:ind w:left="700" w:right="60" w:hanging="1254"/>
        <w:spacing w:after="0" w:line="295" w:lineRule="auto"/>
        <w:tabs>
          <w:tab w:leader="none" w:pos="680" w:val="left"/>
        </w:tabs>
        <w:rPr>
          <w:rFonts w:ascii="Times New Roman" w:cs="Times New Roman" w:eastAsia="Times New Roman" w:hAnsi="Times New Roman"/>
          <w:sz w:val="17"/>
          <w:szCs w:val="17"/>
          <w:color w:val="auto"/>
        </w:rPr>
      </w:pPr>
      <w:hyperlink r:id="rId131">
        <w:r>
          <w:rPr>
            <w:rFonts w:ascii="Times New Roman" w:cs="Times New Roman" w:eastAsia="Times New Roman" w:hAnsi="Times New Roman"/>
            <w:sz w:val="17"/>
            <w:szCs w:val="17"/>
            <w:color w:val="auto"/>
          </w:rPr>
          <w:t>†* 10.2</w:t>
        </w:r>
      </w:hyperlink>
      <w:r>
        <w:rPr>
          <w:rFonts w:ascii="Times New Roman" w:cs="Times New Roman" w:eastAsia="Times New Roman" w:hAnsi="Times New Roman"/>
          <w:sz w:val="17"/>
          <w:szCs w:val="17"/>
          <w:color w:val="auto"/>
        </w:rPr>
        <w:tab/>
      </w:r>
      <w:hyperlink r:id="rId131">
        <w:r>
          <w:rPr>
            <w:rFonts w:ascii="Times New Roman" w:cs="Times New Roman" w:eastAsia="Times New Roman" w:hAnsi="Times New Roman"/>
            <w:sz w:val="17"/>
            <w:szCs w:val="17"/>
            <w:color w:val="auto"/>
          </w:rPr>
          <w:t>Sixth Amended and Restated Employment Agreement dated July18, 2024, between AGNC Mortgage Management, LLC and Gary Kain, incorporated</w:t>
        </w:r>
      </w:hyperlink>
      <w:r>
        <w:rPr>
          <w:rFonts w:ascii="Times New Roman" w:cs="Times New Roman" w:eastAsia="Times New Roman" w:hAnsi="Times New Roman"/>
          <w:sz w:val="17"/>
          <w:szCs w:val="17"/>
          <w:color w:val="auto"/>
        </w:rPr>
        <w:t xml:space="preserve"> </w:t>
      </w:r>
      <w:hyperlink r:id="rId131">
        <w:r>
          <w:rPr>
            <w:rFonts w:ascii="Times New Roman" w:cs="Times New Roman" w:eastAsia="Times New Roman" w:hAnsi="Times New Roman"/>
            <w:sz w:val="17"/>
            <w:szCs w:val="17"/>
            <w:color w:val="auto"/>
          </w:rPr>
          <w:t>herein by reference to Exhibit 10.1 of Form 8-K (File No. 001-34057), filed July 19, 2024.</w:t>
        </w:r>
      </w:hyperlink>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84" w:name="page85"/>
    <w:bookmarkEnd w:id="84"/>
    <w:p>
      <w:pPr>
        <w:jc w:val="center"/>
        <w:ind w:right="220"/>
        <w:spacing w:after="0" w:line="295" w:lineRule="auto"/>
        <w:rPr>
          <w:rFonts w:ascii="Times New Roman" w:cs="Times New Roman" w:eastAsia="Times New Roman" w:hAnsi="Times New Roman"/>
          <w:sz w:val="17"/>
          <w:szCs w:val="17"/>
          <w:color w:val="auto"/>
        </w:rPr>
      </w:pPr>
      <w:hyperlink r:id="rId133">
        <w:r>
          <w:rPr>
            <w:rFonts w:ascii="Times New Roman" w:cs="Times New Roman" w:eastAsia="Times New Roman" w:hAnsi="Times New Roman"/>
            <w:sz w:val="17"/>
            <w:szCs w:val="17"/>
            <w:color w:val="auto"/>
          </w:rPr>
          <w:t>†* 10.3  Second Amended and Restated Employment Agreement, dated December 10, 2020, by and between AGNC Mortgage Management, LLC and Peter</w:t>
        </w:r>
      </w:hyperlink>
      <w:r>
        <w:rPr>
          <w:rFonts w:ascii="Times New Roman" w:cs="Times New Roman" w:eastAsia="Times New Roman" w:hAnsi="Times New Roman"/>
          <w:sz w:val="17"/>
          <w:szCs w:val="17"/>
          <w:color w:val="auto"/>
        </w:rPr>
        <w:t xml:space="preserve"> </w:t>
      </w:r>
      <w:hyperlink r:id="rId133">
        <w:r>
          <w:rPr>
            <w:rFonts w:ascii="Times New Roman" w:cs="Times New Roman" w:eastAsia="Times New Roman" w:hAnsi="Times New Roman"/>
            <w:sz w:val="17"/>
            <w:szCs w:val="17"/>
            <w:color w:val="auto"/>
          </w:rPr>
          <w:t>Federico, incorporated herein by reference to Exhibit 10.2 of Form 8-K (File No. 001-34057), filed December 10, 2020.</w:t>
        </w:r>
      </w:hyperlink>
    </w:p>
    <w:p>
      <w:pPr>
        <w:spacing w:after="0" w:line="94" w:lineRule="exact"/>
        <w:rPr>
          <w:sz w:val="20"/>
          <w:szCs w:val="20"/>
          <w:color w:val="auto"/>
        </w:rPr>
      </w:pPr>
    </w:p>
    <w:p>
      <w:pPr>
        <w:ind w:left="700" w:right="260" w:hanging="1254"/>
        <w:spacing w:after="0" w:line="295" w:lineRule="auto"/>
        <w:tabs>
          <w:tab w:leader="none" w:pos="680" w:val="left"/>
        </w:tabs>
        <w:rPr>
          <w:rFonts w:ascii="Times New Roman" w:cs="Times New Roman" w:eastAsia="Times New Roman" w:hAnsi="Times New Roman"/>
          <w:sz w:val="17"/>
          <w:szCs w:val="17"/>
          <w:color w:val="auto"/>
        </w:rPr>
      </w:pPr>
      <w:hyperlink r:id="rId134">
        <w:r>
          <w:rPr>
            <w:rFonts w:ascii="Times New Roman" w:cs="Times New Roman" w:eastAsia="Times New Roman" w:hAnsi="Times New Roman"/>
            <w:sz w:val="17"/>
            <w:szCs w:val="17"/>
            <w:color w:val="auto"/>
          </w:rPr>
          <w:t>†* 10.4</w:t>
        </w:r>
      </w:hyperlink>
      <w:r>
        <w:rPr>
          <w:rFonts w:ascii="Times New Roman" w:cs="Times New Roman" w:eastAsia="Times New Roman" w:hAnsi="Times New Roman"/>
          <w:sz w:val="17"/>
          <w:szCs w:val="17"/>
          <w:color w:val="auto"/>
        </w:rPr>
        <w:tab/>
      </w:r>
      <w:hyperlink r:id="rId134">
        <w:r>
          <w:rPr>
            <w:rFonts w:ascii="Times New Roman" w:cs="Times New Roman" w:eastAsia="Times New Roman" w:hAnsi="Times New Roman"/>
            <w:sz w:val="17"/>
            <w:szCs w:val="17"/>
            <w:color w:val="auto"/>
          </w:rPr>
          <w:t>First Amendment to Second Amended and Restated Employment Agreement dated January 31, 2023 between AGNC Mortgage Management, LLC</w:t>
        </w:r>
      </w:hyperlink>
      <w:r>
        <w:rPr>
          <w:rFonts w:ascii="Times New Roman" w:cs="Times New Roman" w:eastAsia="Times New Roman" w:hAnsi="Times New Roman"/>
          <w:sz w:val="17"/>
          <w:szCs w:val="17"/>
          <w:color w:val="auto"/>
        </w:rPr>
        <w:t xml:space="preserve"> </w:t>
      </w:r>
      <w:hyperlink r:id="rId134">
        <w:r>
          <w:rPr>
            <w:rFonts w:ascii="Times New Roman" w:cs="Times New Roman" w:eastAsia="Times New Roman" w:hAnsi="Times New Roman"/>
            <w:sz w:val="17"/>
            <w:szCs w:val="17"/>
            <w:color w:val="auto"/>
          </w:rPr>
          <w:t>and Peter Federico, incorporated herein by reference to Exhibit 10.4 of Form 10-K (File No. 001-34057), filed February 27, 2023.</w:t>
        </w:r>
      </w:hyperlink>
    </w:p>
    <w:p>
      <w:pPr>
        <w:spacing w:after="0" w:line="94" w:lineRule="exact"/>
        <w:rPr>
          <w:rFonts w:ascii="Times New Roman" w:cs="Times New Roman" w:eastAsia="Times New Roman" w:hAnsi="Times New Roman"/>
          <w:sz w:val="17"/>
          <w:szCs w:val="17"/>
          <w:color w:val="auto"/>
        </w:rPr>
      </w:pPr>
    </w:p>
    <w:p>
      <w:pPr>
        <w:ind w:left="700" w:right="620" w:hanging="1254"/>
        <w:spacing w:after="0" w:line="295" w:lineRule="auto"/>
        <w:tabs>
          <w:tab w:leader="none" w:pos="680" w:val="left"/>
        </w:tabs>
        <w:rPr>
          <w:rFonts w:ascii="Times New Roman" w:cs="Times New Roman" w:eastAsia="Times New Roman" w:hAnsi="Times New Roman"/>
          <w:sz w:val="17"/>
          <w:szCs w:val="17"/>
          <w:color w:val="auto"/>
        </w:rPr>
      </w:pPr>
      <w:hyperlink r:id="rId135">
        <w:r>
          <w:rPr>
            <w:rFonts w:ascii="Times New Roman" w:cs="Times New Roman" w:eastAsia="Times New Roman" w:hAnsi="Times New Roman"/>
            <w:sz w:val="17"/>
            <w:szCs w:val="17"/>
            <w:color w:val="auto"/>
          </w:rPr>
          <w:t>†* 10.5</w:t>
        </w:r>
      </w:hyperlink>
      <w:r>
        <w:rPr>
          <w:rFonts w:ascii="Times New Roman" w:cs="Times New Roman" w:eastAsia="Times New Roman" w:hAnsi="Times New Roman"/>
          <w:sz w:val="17"/>
          <w:szCs w:val="17"/>
          <w:color w:val="auto"/>
        </w:rPr>
        <w:tab/>
      </w:r>
      <w:hyperlink r:id="rId135">
        <w:r>
          <w:rPr>
            <w:rFonts w:ascii="Times New Roman" w:cs="Times New Roman" w:eastAsia="Times New Roman" w:hAnsi="Times New Roman"/>
            <w:sz w:val="17"/>
            <w:szCs w:val="17"/>
            <w:color w:val="auto"/>
          </w:rPr>
          <w:t>Second Amended and Restated Employment Agreement, dated December 10, 2020, by and between AGNC Mortgage Management, LLC and</w:t>
        </w:r>
      </w:hyperlink>
      <w:r>
        <w:rPr>
          <w:rFonts w:ascii="Times New Roman" w:cs="Times New Roman" w:eastAsia="Times New Roman" w:hAnsi="Times New Roman"/>
          <w:sz w:val="17"/>
          <w:szCs w:val="17"/>
          <w:color w:val="auto"/>
        </w:rPr>
        <w:t xml:space="preserve"> </w:t>
      </w:r>
      <w:hyperlink r:id="rId135">
        <w:r>
          <w:rPr>
            <w:rFonts w:ascii="Times New Roman" w:cs="Times New Roman" w:eastAsia="Times New Roman" w:hAnsi="Times New Roman"/>
            <w:sz w:val="17"/>
            <w:szCs w:val="17"/>
            <w:color w:val="auto"/>
          </w:rPr>
          <w:t>Christopher Kuehl, incorporated herein by reference to Exhibit 10.3 of Form 8-K (File No. 001-34057), filed December 10, 2020.</w:t>
        </w:r>
      </w:hyperlink>
    </w:p>
    <w:p>
      <w:pPr>
        <w:spacing w:after="0" w:line="94" w:lineRule="exact"/>
        <w:rPr>
          <w:rFonts w:ascii="Times New Roman" w:cs="Times New Roman" w:eastAsia="Times New Roman" w:hAnsi="Times New Roman"/>
          <w:sz w:val="17"/>
          <w:szCs w:val="17"/>
          <w:color w:val="auto"/>
        </w:rPr>
      </w:pPr>
    </w:p>
    <w:p>
      <w:pPr>
        <w:ind w:left="700" w:right="260" w:hanging="1254"/>
        <w:spacing w:after="0" w:line="295" w:lineRule="auto"/>
        <w:tabs>
          <w:tab w:leader="none" w:pos="680" w:val="left"/>
        </w:tabs>
        <w:rPr>
          <w:rFonts w:ascii="Times New Roman" w:cs="Times New Roman" w:eastAsia="Times New Roman" w:hAnsi="Times New Roman"/>
          <w:sz w:val="17"/>
          <w:szCs w:val="17"/>
          <w:color w:val="auto"/>
        </w:rPr>
      </w:pPr>
      <w:hyperlink r:id="rId136">
        <w:r>
          <w:rPr>
            <w:rFonts w:ascii="Times New Roman" w:cs="Times New Roman" w:eastAsia="Times New Roman" w:hAnsi="Times New Roman"/>
            <w:sz w:val="17"/>
            <w:szCs w:val="17"/>
            <w:color w:val="auto"/>
          </w:rPr>
          <w:t>†* 10.6</w:t>
        </w:r>
      </w:hyperlink>
      <w:r>
        <w:rPr>
          <w:rFonts w:ascii="Times New Roman" w:cs="Times New Roman" w:eastAsia="Times New Roman" w:hAnsi="Times New Roman"/>
          <w:sz w:val="17"/>
          <w:szCs w:val="17"/>
          <w:color w:val="auto"/>
        </w:rPr>
        <w:tab/>
      </w:r>
      <w:hyperlink r:id="rId136">
        <w:r>
          <w:rPr>
            <w:rFonts w:ascii="Times New Roman" w:cs="Times New Roman" w:eastAsia="Times New Roman" w:hAnsi="Times New Roman"/>
            <w:sz w:val="17"/>
            <w:szCs w:val="17"/>
            <w:color w:val="auto"/>
          </w:rPr>
          <w:t>First Amendment to Second Amended and Restated Employment Agreement dated January 31, 2023 between AGNC Mortgage Management, LLC</w:t>
        </w:r>
      </w:hyperlink>
      <w:r>
        <w:rPr>
          <w:rFonts w:ascii="Times New Roman" w:cs="Times New Roman" w:eastAsia="Times New Roman" w:hAnsi="Times New Roman"/>
          <w:sz w:val="17"/>
          <w:szCs w:val="17"/>
          <w:color w:val="auto"/>
        </w:rPr>
        <w:t xml:space="preserve"> </w:t>
      </w:r>
      <w:hyperlink r:id="rId136">
        <w:r>
          <w:rPr>
            <w:rFonts w:ascii="Times New Roman" w:cs="Times New Roman" w:eastAsia="Times New Roman" w:hAnsi="Times New Roman"/>
            <w:sz w:val="17"/>
            <w:szCs w:val="17"/>
            <w:color w:val="auto"/>
          </w:rPr>
          <w:t>and Christopher Kuehl, incorporated herein by reference to Exhibit 10.6 of Form 10-K (File No. 001-34057), filed February 27, 2023.</w:t>
        </w:r>
      </w:hyperlink>
    </w:p>
    <w:p>
      <w:pPr>
        <w:spacing w:after="0" w:line="94" w:lineRule="exact"/>
        <w:rPr>
          <w:rFonts w:ascii="Times New Roman" w:cs="Times New Roman" w:eastAsia="Times New Roman" w:hAnsi="Times New Roman"/>
          <w:sz w:val="17"/>
          <w:szCs w:val="17"/>
          <w:color w:val="auto"/>
        </w:rPr>
      </w:pPr>
    </w:p>
    <w:p>
      <w:pPr>
        <w:ind w:left="700" w:right="400" w:hanging="1254"/>
        <w:spacing w:after="0" w:line="295" w:lineRule="auto"/>
        <w:tabs>
          <w:tab w:leader="none" w:pos="680" w:val="left"/>
        </w:tabs>
        <w:rPr>
          <w:rFonts w:ascii="Times New Roman" w:cs="Times New Roman" w:eastAsia="Times New Roman" w:hAnsi="Times New Roman"/>
          <w:sz w:val="17"/>
          <w:szCs w:val="17"/>
          <w:color w:val="auto"/>
        </w:rPr>
      </w:pPr>
      <w:hyperlink r:id="rId137">
        <w:r>
          <w:rPr>
            <w:rFonts w:ascii="Times New Roman" w:cs="Times New Roman" w:eastAsia="Times New Roman" w:hAnsi="Times New Roman"/>
            <w:sz w:val="17"/>
            <w:szCs w:val="17"/>
            <w:color w:val="auto"/>
          </w:rPr>
          <w:t>†* 10.7</w:t>
        </w:r>
      </w:hyperlink>
      <w:r>
        <w:rPr>
          <w:rFonts w:ascii="Times New Roman" w:cs="Times New Roman" w:eastAsia="Times New Roman" w:hAnsi="Times New Roman"/>
          <w:sz w:val="17"/>
          <w:szCs w:val="17"/>
          <w:color w:val="auto"/>
        </w:rPr>
        <w:tab/>
      </w:r>
      <w:hyperlink r:id="rId137">
        <w:r>
          <w:rPr>
            <w:rFonts w:ascii="Times New Roman" w:cs="Times New Roman" w:eastAsia="Times New Roman" w:hAnsi="Times New Roman"/>
            <w:sz w:val="17"/>
            <w:szCs w:val="17"/>
            <w:color w:val="auto"/>
          </w:rPr>
          <w:t>Amended and Restated Employment Agreement, dated January 22, 2021, by and between AGNC Mortgage Management, LLC and Bernice Bell,</w:t>
        </w:r>
      </w:hyperlink>
      <w:r>
        <w:rPr>
          <w:rFonts w:ascii="Times New Roman" w:cs="Times New Roman" w:eastAsia="Times New Roman" w:hAnsi="Times New Roman"/>
          <w:sz w:val="17"/>
          <w:szCs w:val="17"/>
          <w:color w:val="auto"/>
        </w:rPr>
        <w:t xml:space="preserve"> </w:t>
      </w:r>
      <w:hyperlink r:id="rId137">
        <w:r>
          <w:rPr>
            <w:rFonts w:ascii="Times New Roman" w:cs="Times New Roman" w:eastAsia="Times New Roman" w:hAnsi="Times New Roman"/>
            <w:sz w:val="17"/>
            <w:szCs w:val="17"/>
            <w:color w:val="auto"/>
          </w:rPr>
          <w:t>incorporated herein by reference to Exhibit 10.1 of Form 8-K (File No. 001-34057), filed January 22, 2021.</w:t>
        </w:r>
      </w:hyperlink>
    </w:p>
    <w:p>
      <w:pPr>
        <w:spacing w:after="0" w:line="94" w:lineRule="exact"/>
        <w:rPr>
          <w:rFonts w:ascii="Times New Roman" w:cs="Times New Roman" w:eastAsia="Times New Roman" w:hAnsi="Times New Roman"/>
          <w:sz w:val="17"/>
          <w:szCs w:val="17"/>
          <w:color w:val="auto"/>
        </w:rPr>
      </w:pPr>
    </w:p>
    <w:p>
      <w:pPr>
        <w:ind w:left="700" w:right="520" w:hanging="1254"/>
        <w:spacing w:after="0" w:line="295" w:lineRule="auto"/>
        <w:tabs>
          <w:tab w:leader="none" w:pos="680" w:val="left"/>
        </w:tabs>
        <w:rPr>
          <w:rFonts w:ascii="Times New Roman" w:cs="Times New Roman" w:eastAsia="Times New Roman" w:hAnsi="Times New Roman"/>
          <w:sz w:val="17"/>
          <w:szCs w:val="17"/>
          <w:color w:val="auto"/>
        </w:rPr>
      </w:pPr>
      <w:hyperlink r:id="rId138">
        <w:r>
          <w:rPr>
            <w:rFonts w:ascii="Times New Roman" w:cs="Times New Roman" w:eastAsia="Times New Roman" w:hAnsi="Times New Roman"/>
            <w:sz w:val="17"/>
            <w:szCs w:val="17"/>
            <w:color w:val="auto"/>
          </w:rPr>
          <w:t>†* 10.8</w:t>
        </w:r>
      </w:hyperlink>
      <w:r>
        <w:rPr>
          <w:rFonts w:ascii="Times New Roman" w:cs="Times New Roman" w:eastAsia="Times New Roman" w:hAnsi="Times New Roman"/>
          <w:sz w:val="17"/>
          <w:szCs w:val="17"/>
          <w:color w:val="auto"/>
        </w:rPr>
        <w:tab/>
      </w:r>
      <w:hyperlink r:id="rId138">
        <w:r>
          <w:rPr>
            <w:rFonts w:ascii="Times New Roman" w:cs="Times New Roman" w:eastAsia="Times New Roman" w:hAnsi="Times New Roman"/>
            <w:sz w:val="17"/>
            <w:szCs w:val="17"/>
            <w:color w:val="auto"/>
          </w:rPr>
          <w:t>First Amendment to Amended and Restated Employment Agreement dated January 21, 2022 between AGNC Mortgage Management, LLC and</w:t>
        </w:r>
      </w:hyperlink>
      <w:r>
        <w:rPr>
          <w:rFonts w:ascii="Times New Roman" w:cs="Times New Roman" w:eastAsia="Times New Roman" w:hAnsi="Times New Roman"/>
          <w:sz w:val="17"/>
          <w:szCs w:val="17"/>
          <w:color w:val="auto"/>
        </w:rPr>
        <w:t xml:space="preserve"> </w:t>
      </w:r>
      <w:hyperlink r:id="rId138">
        <w:r>
          <w:rPr>
            <w:rFonts w:ascii="Times New Roman" w:cs="Times New Roman" w:eastAsia="Times New Roman" w:hAnsi="Times New Roman"/>
            <w:sz w:val="17"/>
            <w:szCs w:val="17"/>
            <w:color w:val="auto"/>
          </w:rPr>
          <w:t>Bernice Bell, incorporated herein by reference to Exhibit 10.1 of Form 8-K (File No. 001-34057), filed January 21, 2022.</w:t>
        </w:r>
      </w:hyperlink>
    </w:p>
    <w:p>
      <w:pPr>
        <w:spacing w:after="0" w:line="94" w:lineRule="exact"/>
        <w:rPr>
          <w:rFonts w:ascii="Times New Roman" w:cs="Times New Roman" w:eastAsia="Times New Roman" w:hAnsi="Times New Roman"/>
          <w:sz w:val="17"/>
          <w:szCs w:val="17"/>
          <w:color w:val="auto"/>
        </w:rPr>
      </w:pPr>
    </w:p>
    <w:p>
      <w:pPr>
        <w:ind w:left="700" w:right="320" w:hanging="1254"/>
        <w:spacing w:after="0" w:line="295" w:lineRule="auto"/>
        <w:tabs>
          <w:tab w:leader="none" w:pos="680" w:val="left"/>
        </w:tabs>
        <w:rPr>
          <w:rFonts w:ascii="Times New Roman" w:cs="Times New Roman" w:eastAsia="Times New Roman" w:hAnsi="Times New Roman"/>
          <w:sz w:val="17"/>
          <w:szCs w:val="17"/>
          <w:color w:val="auto"/>
        </w:rPr>
      </w:pPr>
      <w:hyperlink r:id="rId139">
        <w:r>
          <w:rPr>
            <w:rFonts w:ascii="Times New Roman" w:cs="Times New Roman" w:eastAsia="Times New Roman" w:hAnsi="Times New Roman"/>
            <w:sz w:val="17"/>
            <w:szCs w:val="17"/>
            <w:color w:val="auto"/>
          </w:rPr>
          <w:t>†* 10.9</w:t>
        </w:r>
      </w:hyperlink>
      <w:r>
        <w:rPr>
          <w:rFonts w:ascii="Times New Roman" w:cs="Times New Roman" w:eastAsia="Times New Roman" w:hAnsi="Times New Roman"/>
          <w:sz w:val="17"/>
          <w:szCs w:val="17"/>
          <w:color w:val="auto"/>
        </w:rPr>
        <w:tab/>
      </w:r>
      <w:hyperlink r:id="rId139">
        <w:r>
          <w:rPr>
            <w:rFonts w:ascii="Times New Roman" w:cs="Times New Roman" w:eastAsia="Times New Roman" w:hAnsi="Times New Roman"/>
            <w:sz w:val="17"/>
            <w:szCs w:val="17"/>
            <w:color w:val="auto"/>
          </w:rPr>
          <w:t>Second Amendment to Amended and Restated Employment Agreement dated January 31, 2023 between AGNC Mortgage Management, LLC and</w:t>
        </w:r>
      </w:hyperlink>
      <w:r>
        <w:rPr>
          <w:rFonts w:ascii="Times New Roman" w:cs="Times New Roman" w:eastAsia="Times New Roman" w:hAnsi="Times New Roman"/>
          <w:sz w:val="17"/>
          <w:szCs w:val="17"/>
          <w:color w:val="auto"/>
        </w:rPr>
        <w:t xml:space="preserve"> </w:t>
      </w:r>
      <w:hyperlink r:id="rId139">
        <w:r>
          <w:rPr>
            <w:rFonts w:ascii="Times New Roman" w:cs="Times New Roman" w:eastAsia="Times New Roman" w:hAnsi="Times New Roman"/>
            <w:sz w:val="17"/>
            <w:szCs w:val="17"/>
            <w:color w:val="auto"/>
          </w:rPr>
          <w:t>Bernice Bell, incorporated by reference to Exhibit 10.3 of Form 8-K (File No. 001-34057), filed February 3, 2023.</w:t>
        </w:r>
      </w:hyperlink>
    </w:p>
    <w:p>
      <w:pPr>
        <w:spacing w:after="0" w:line="94" w:lineRule="exact"/>
        <w:rPr>
          <w:rFonts w:ascii="Times New Roman" w:cs="Times New Roman" w:eastAsia="Times New Roman" w:hAnsi="Times New Roman"/>
          <w:sz w:val="17"/>
          <w:szCs w:val="17"/>
          <w:color w:val="auto"/>
        </w:rPr>
      </w:pPr>
    </w:p>
    <w:p>
      <w:pPr>
        <w:ind w:left="780" w:right="20" w:hanging="1254"/>
        <w:spacing w:after="0" w:line="295" w:lineRule="auto"/>
        <w:tabs>
          <w:tab w:leader="none" w:pos="760" w:val="left"/>
        </w:tabs>
        <w:rPr>
          <w:rFonts w:ascii="Times New Roman" w:cs="Times New Roman" w:eastAsia="Times New Roman" w:hAnsi="Times New Roman"/>
          <w:sz w:val="17"/>
          <w:szCs w:val="17"/>
          <w:color w:val="auto"/>
        </w:rPr>
      </w:pPr>
      <w:hyperlink r:id="rId140">
        <w:r>
          <w:rPr>
            <w:rFonts w:ascii="Times New Roman" w:cs="Times New Roman" w:eastAsia="Times New Roman" w:hAnsi="Times New Roman"/>
            <w:sz w:val="17"/>
            <w:szCs w:val="17"/>
            <w:color w:val="auto"/>
          </w:rPr>
          <w:t>†* 10.10</w:t>
        </w:r>
      </w:hyperlink>
      <w:r>
        <w:rPr>
          <w:rFonts w:ascii="Times New Roman" w:cs="Times New Roman" w:eastAsia="Times New Roman" w:hAnsi="Times New Roman"/>
          <w:sz w:val="17"/>
          <w:szCs w:val="17"/>
          <w:color w:val="auto"/>
        </w:rPr>
        <w:tab/>
      </w:r>
      <w:hyperlink r:id="rId140">
        <w:r>
          <w:rPr>
            <w:rFonts w:ascii="Times New Roman" w:cs="Times New Roman" w:eastAsia="Times New Roman" w:hAnsi="Times New Roman"/>
            <w:sz w:val="17"/>
            <w:szCs w:val="17"/>
            <w:color w:val="auto"/>
          </w:rPr>
          <w:t>Amended and Restated Employment Agreement, dated January 22, 2021, by and between AGNC Mortgage Management, LLC and Kenneth Pollack,</w:t>
        </w:r>
      </w:hyperlink>
      <w:r>
        <w:rPr>
          <w:rFonts w:ascii="Times New Roman" w:cs="Times New Roman" w:eastAsia="Times New Roman" w:hAnsi="Times New Roman"/>
          <w:sz w:val="17"/>
          <w:szCs w:val="17"/>
          <w:color w:val="auto"/>
        </w:rPr>
        <w:t xml:space="preserve"> </w:t>
      </w:r>
      <w:hyperlink r:id="rId140">
        <w:r>
          <w:rPr>
            <w:rFonts w:ascii="Times New Roman" w:cs="Times New Roman" w:eastAsia="Times New Roman" w:hAnsi="Times New Roman"/>
            <w:sz w:val="17"/>
            <w:szCs w:val="17"/>
            <w:color w:val="auto"/>
          </w:rPr>
          <w:t>incorporated herein by reference to Exhibit 10.15 of Form 10-K (File No. 001-34057), filed February 26, 2021.</w:t>
        </w:r>
      </w:hyperlink>
    </w:p>
    <w:p>
      <w:pPr>
        <w:spacing w:after="0" w:line="94" w:lineRule="exact"/>
        <w:rPr>
          <w:rFonts w:ascii="Times New Roman" w:cs="Times New Roman" w:eastAsia="Times New Roman" w:hAnsi="Times New Roman"/>
          <w:sz w:val="17"/>
          <w:szCs w:val="17"/>
          <w:color w:val="auto"/>
        </w:rPr>
      </w:pPr>
    </w:p>
    <w:p>
      <w:pPr>
        <w:ind w:left="780" w:right="440" w:hanging="1254"/>
        <w:spacing w:after="0" w:line="295" w:lineRule="auto"/>
        <w:tabs>
          <w:tab w:leader="none" w:pos="760" w:val="left"/>
        </w:tabs>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color w:val="auto"/>
          </w:rPr>
          <w:t>†* 10.11</w:t>
        </w:r>
      </w:hyperlink>
      <w:r>
        <w:rPr>
          <w:rFonts w:ascii="Times New Roman" w:cs="Times New Roman" w:eastAsia="Times New Roman" w:hAnsi="Times New Roman"/>
          <w:sz w:val="17"/>
          <w:szCs w:val="17"/>
          <w:color w:val="auto"/>
        </w:rPr>
        <w:tab/>
      </w:r>
      <w:hyperlink r:id="rId141">
        <w:r>
          <w:rPr>
            <w:rFonts w:ascii="Times New Roman" w:cs="Times New Roman" w:eastAsia="Times New Roman" w:hAnsi="Times New Roman"/>
            <w:sz w:val="17"/>
            <w:szCs w:val="17"/>
            <w:color w:val="auto"/>
          </w:rPr>
          <w:t>First Amendment to Amended and Restated Employment Agreement dated January 21, 2022 between AGNC Mortgage Management, LLC and</w:t>
        </w:r>
      </w:hyperlink>
      <w:r>
        <w:rPr>
          <w:rFonts w:ascii="Times New Roman" w:cs="Times New Roman" w:eastAsia="Times New Roman" w:hAnsi="Times New Roman"/>
          <w:sz w:val="17"/>
          <w:szCs w:val="17"/>
          <w:color w:val="auto"/>
        </w:rPr>
        <w:t xml:space="preserve"> </w:t>
      </w:r>
      <w:hyperlink r:id="rId141">
        <w:r>
          <w:rPr>
            <w:rFonts w:ascii="Times New Roman" w:cs="Times New Roman" w:eastAsia="Times New Roman" w:hAnsi="Times New Roman"/>
            <w:sz w:val="17"/>
            <w:szCs w:val="17"/>
            <w:color w:val="auto"/>
          </w:rPr>
          <w:t>Kenneth Pollack, incorporated herein by reference to Exhibit 10.2 of Form 8-K (File No. 001-34057), filed January 21, 2022.</w:t>
        </w:r>
      </w:hyperlink>
    </w:p>
    <w:p>
      <w:pPr>
        <w:spacing w:after="0" w:line="94" w:lineRule="exact"/>
        <w:rPr>
          <w:rFonts w:ascii="Times New Roman" w:cs="Times New Roman" w:eastAsia="Times New Roman" w:hAnsi="Times New Roman"/>
          <w:sz w:val="17"/>
          <w:szCs w:val="17"/>
          <w:color w:val="auto"/>
        </w:rPr>
      </w:pPr>
    </w:p>
    <w:p>
      <w:pPr>
        <w:ind w:left="780" w:right="240" w:hanging="1254"/>
        <w:spacing w:after="0" w:line="295" w:lineRule="auto"/>
        <w:tabs>
          <w:tab w:leader="none" w:pos="760" w:val="left"/>
        </w:tabs>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 10.12</w:t>
        </w:r>
      </w:hyperlink>
      <w:r>
        <w:rPr>
          <w:rFonts w:ascii="Times New Roman" w:cs="Times New Roman" w:eastAsia="Times New Roman" w:hAnsi="Times New Roman"/>
          <w:sz w:val="17"/>
          <w:szCs w:val="17"/>
          <w:color w:val="auto"/>
        </w:rPr>
        <w:tab/>
      </w:r>
      <w:hyperlink r:id="rId142">
        <w:r>
          <w:rPr>
            <w:rFonts w:ascii="Times New Roman" w:cs="Times New Roman" w:eastAsia="Times New Roman" w:hAnsi="Times New Roman"/>
            <w:sz w:val="17"/>
            <w:szCs w:val="17"/>
            <w:color w:val="auto"/>
          </w:rPr>
          <w:t>Second Amendment to Amended and Restated Employment Agreement dated January 31, 2023 between AGNC Mortgage Management, LLC and</w:t>
        </w:r>
      </w:hyperlink>
      <w:r>
        <w:rPr>
          <w:rFonts w:ascii="Times New Roman" w:cs="Times New Roman" w:eastAsia="Times New Roman" w:hAnsi="Times New Roman"/>
          <w:sz w:val="17"/>
          <w:szCs w:val="17"/>
          <w:color w:val="auto"/>
        </w:rPr>
        <w:t xml:space="preserve"> </w:t>
      </w:r>
      <w:hyperlink r:id="rId142">
        <w:r>
          <w:rPr>
            <w:rFonts w:ascii="Times New Roman" w:cs="Times New Roman" w:eastAsia="Times New Roman" w:hAnsi="Times New Roman"/>
            <w:sz w:val="17"/>
            <w:szCs w:val="17"/>
            <w:color w:val="auto"/>
          </w:rPr>
          <w:t>Kenneth Pollack, incorporated by reference to Exhibit 10.4 of Form 8-K (File No. 001-34057), filed February 3, 2023.</w:t>
        </w:r>
      </w:hyperlink>
    </w:p>
    <w:p>
      <w:pPr>
        <w:spacing w:after="0" w:line="94" w:lineRule="exact"/>
        <w:rPr>
          <w:rFonts w:ascii="Times New Roman" w:cs="Times New Roman" w:eastAsia="Times New Roman" w:hAnsi="Times New Roman"/>
          <w:sz w:val="17"/>
          <w:szCs w:val="17"/>
          <w:color w:val="auto"/>
        </w:rPr>
      </w:pPr>
    </w:p>
    <w:p>
      <w:pPr>
        <w:ind w:left="780" w:right="140" w:hanging="1254"/>
        <w:spacing w:after="0" w:line="295" w:lineRule="auto"/>
        <w:tabs>
          <w:tab w:leader="none" w:pos="760" w:val="left"/>
        </w:tabs>
        <w:rPr>
          <w:rFonts w:ascii="Times New Roman" w:cs="Times New Roman" w:eastAsia="Times New Roman" w:hAnsi="Times New Roman"/>
          <w:sz w:val="17"/>
          <w:szCs w:val="17"/>
          <w:color w:val="auto"/>
        </w:rPr>
      </w:pPr>
      <w:hyperlink r:id="rId143">
        <w:r>
          <w:rPr>
            <w:rFonts w:ascii="Times New Roman" w:cs="Times New Roman" w:eastAsia="Times New Roman" w:hAnsi="Times New Roman"/>
            <w:sz w:val="17"/>
            <w:szCs w:val="17"/>
            <w:color w:val="auto"/>
          </w:rPr>
          <w:t>†* 10.13</w:t>
        </w:r>
      </w:hyperlink>
      <w:r>
        <w:rPr>
          <w:rFonts w:ascii="Times New Roman" w:cs="Times New Roman" w:eastAsia="Times New Roman" w:hAnsi="Times New Roman"/>
          <w:sz w:val="17"/>
          <w:szCs w:val="17"/>
          <w:color w:val="auto"/>
        </w:rPr>
        <w:tab/>
      </w:r>
      <w:hyperlink r:id="rId143">
        <w:r>
          <w:rPr>
            <w:rFonts w:ascii="Times New Roman" w:cs="Times New Roman" w:eastAsia="Times New Roman" w:hAnsi="Times New Roman"/>
            <w:sz w:val="17"/>
            <w:szCs w:val="17"/>
            <w:color w:val="auto"/>
          </w:rPr>
          <w:t>Amended and Restated Employment Agreement dated January 31, 2023 between AGNC Mortgage Management, LLC and Sean Reid, incorporated</w:t>
        </w:r>
      </w:hyperlink>
      <w:r>
        <w:rPr>
          <w:rFonts w:ascii="Times New Roman" w:cs="Times New Roman" w:eastAsia="Times New Roman" w:hAnsi="Times New Roman"/>
          <w:sz w:val="17"/>
          <w:szCs w:val="17"/>
          <w:color w:val="auto"/>
        </w:rPr>
        <w:t xml:space="preserve"> </w:t>
      </w:r>
      <w:hyperlink r:id="rId143">
        <w:r>
          <w:rPr>
            <w:rFonts w:ascii="Times New Roman" w:cs="Times New Roman" w:eastAsia="Times New Roman" w:hAnsi="Times New Roman"/>
            <w:sz w:val="17"/>
            <w:szCs w:val="17"/>
            <w:color w:val="auto"/>
          </w:rPr>
          <w:t>by reference to Exhibit 10 of Form 10-Q (File No. 001-34057), filed May 7, 2024.</w:t>
        </w:r>
      </w:hyperlink>
    </w:p>
    <w:p>
      <w:pPr>
        <w:spacing w:after="0" w:line="94" w:lineRule="exact"/>
        <w:rPr>
          <w:rFonts w:ascii="Times New Roman" w:cs="Times New Roman" w:eastAsia="Times New Roman" w:hAnsi="Times New Roman"/>
          <w:sz w:val="17"/>
          <w:szCs w:val="17"/>
          <w:color w:val="auto"/>
        </w:rPr>
      </w:pPr>
    </w:p>
    <w:p>
      <w:pPr>
        <w:ind w:left="780" w:right="40" w:hanging="1254"/>
        <w:spacing w:after="0" w:line="295" w:lineRule="auto"/>
        <w:tabs>
          <w:tab w:leader="none" w:pos="760" w:val="left"/>
        </w:tabs>
        <w:rPr>
          <w:rFonts w:ascii="Times New Roman" w:cs="Times New Roman" w:eastAsia="Times New Roman" w:hAnsi="Times New Roman"/>
          <w:sz w:val="17"/>
          <w:szCs w:val="17"/>
          <w:color w:val="auto"/>
        </w:rPr>
      </w:pPr>
      <w:hyperlink r:id="rId144">
        <w:r>
          <w:rPr>
            <w:rFonts w:ascii="Times New Roman" w:cs="Times New Roman" w:eastAsia="Times New Roman" w:hAnsi="Times New Roman"/>
            <w:sz w:val="17"/>
            <w:szCs w:val="17"/>
            <w:color w:val="auto"/>
          </w:rPr>
          <w:t>†* 10.14</w:t>
        </w:r>
      </w:hyperlink>
      <w:r>
        <w:rPr>
          <w:rFonts w:ascii="Times New Roman" w:cs="Times New Roman" w:eastAsia="Times New Roman" w:hAnsi="Times New Roman"/>
          <w:sz w:val="17"/>
          <w:szCs w:val="17"/>
          <w:color w:val="auto"/>
        </w:rPr>
        <w:tab/>
      </w:r>
      <w:hyperlink r:id="rId144">
        <w:r>
          <w:rPr>
            <w:rFonts w:ascii="Times New Roman" w:cs="Times New Roman" w:eastAsia="Times New Roman" w:hAnsi="Times New Roman"/>
            <w:sz w:val="17"/>
            <w:szCs w:val="17"/>
            <w:color w:val="auto"/>
          </w:rPr>
          <w:t>Amended and Restated AGNC Investment Corp. 2016 Equity and Incentive Compensation Plan, incorporated herein by reference to Exhibit 10.11 of</w:t>
        </w:r>
      </w:hyperlink>
      <w:r>
        <w:rPr>
          <w:rFonts w:ascii="Times New Roman" w:cs="Times New Roman" w:eastAsia="Times New Roman" w:hAnsi="Times New Roman"/>
          <w:sz w:val="17"/>
          <w:szCs w:val="17"/>
          <w:color w:val="auto"/>
        </w:rPr>
        <w:t xml:space="preserve"> </w:t>
      </w:r>
      <w:hyperlink r:id="rId144">
        <w:r>
          <w:rPr>
            <w:rFonts w:ascii="Times New Roman" w:cs="Times New Roman" w:eastAsia="Times New Roman" w:hAnsi="Times New Roman"/>
            <w:sz w:val="17"/>
            <w:szCs w:val="17"/>
            <w:color w:val="auto"/>
          </w:rPr>
          <w:t>Form 10-K (File No, 001-34057), filed February 23, 2022.</w:t>
        </w:r>
      </w:hyperlink>
    </w:p>
    <w:p>
      <w:pPr>
        <w:spacing w:after="0" w:line="94" w:lineRule="exact"/>
        <w:rPr>
          <w:rFonts w:ascii="Times New Roman" w:cs="Times New Roman" w:eastAsia="Times New Roman" w:hAnsi="Times New Roman"/>
          <w:sz w:val="17"/>
          <w:szCs w:val="17"/>
          <w:color w:val="auto"/>
        </w:rPr>
      </w:pPr>
    </w:p>
    <w:p>
      <w:pPr>
        <w:ind w:left="780" w:right="360" w:hanging="1254"/>
        <w:spacing w:after="0" w:line="295" w:lineRule="auto"/>
        <w:tabs>
          <w:tab w:leader="none" w:pos="760" w:val="left"/>
        </w:tabs>
        <w:rPr>
          <w:rFonts w:ascii="Times New Roman" w:cs="Times New Roman" w:eastAsia="Times New Roman" w:hAnsi="Times New Roman"/>
          <w:sz w:val="17"/>
          <w:szCs w:val="17"/>
          <w:color w:val="auto"/>
        </w:rPr>
      </w:pPr>
      <w:hyperlink r:id="rId145">
        <w:r>
          <w:rPr>
            <w:rFonts w:ascii="Times New Roman" w:cs="Times New Roman" w:eastAsia="Times New Roman" w:hAnsi="Times New Roman"/>
            <w:sz w:val="17"/>
            <w:szCs w:val="17"/>
            <w:color w:val="auto"/>
          </w:rPr>
          <w:t>†* 10.15</w:t>
        </w:r>
      </w:hyperlink>
      <w:r>
        <w:rPr>
          <w:rFonts w:ascii="Times New Roman" w:cs="Times New Roman" w:eastAsia="Times New Roman" w:hAnsi="Times New Roman"/>
          <w:sz w:val="17"/>
          <w:szCs w:val="17"/>
          <w:color w:val="auto"/>
        </w:rPr>
        <w:tab/>
      </w:r>
      <w:hyperlink r:id="rId145">
        <w:r>
          <w:rPr>
            <w:rFonts w:ascii="Times New Roman" w:cs="Times New Roman" w:eastAsia="Times New Roman" w:hAnsi="Times New Roman"/>
            <w:sz w:val="17"/>
            <w:szCs w:val="17"/>
            <w:color w:val="auto"/>
          </w:rPr>
          <w:t>Form of AGNC Investment Corp. 2016 Equity and Incentive Compensation Plan Restricted Stock Unit Agreement for Non-Employee Directors,</w:t>
        </w:r>
      </w:hyperlink>
      <w:r>
        <w:rPr>
          <w:rFonts w:ascii="Times New Roman" w:cs="Times New Roman" w:eastAsia="Times New Roman" w:hAnsi="Times New Roman"/>
          <w:sz w:val="17"/>
          <w:szCs w:val="17"/>
          <w:color w:val="auto"/>
        </w:rPr>
        <w:t xml:space="preserve"> </w:t>
      </w:r>
      <w:hyperlink r:id="rId145">
        <w:r>
          <w:rPr>
            <w:rFonts w:ascii="Times New Roman" w:cs="Times New Roman" w:eastAsia="Times New Roman" w:hAnsi="Times New Roman"/>
            <w:sz w:val="17"/>
            <w:szCs w:val="17"/>
            <w:color w:val="auto"/>
          </w:rPr>
          <w:t>incorporated herein by reference to Exhibit 10.14 of Form 10-K (File No. 001-34057), filed February 26, 2018.</w:t>
        </w:r>
      </w:hyperlink>
    </w:p>
    <w:p>
      <w:pPr>
        <w:spacing w:after="0" w:line="94" w:lineRule="exact"/>
        <w:rPr>
          <w:rFonts w:ascii="Times New Roman" w:cs="Times New Roman" w:eastAsia="Times New Roman" w:hAnsi="Times New Roman"/>
          <w:sz w:val="17"/>
          <w:szCs w:val="17"/>
          <w:color w:val="auto"/>
        </w:rPr>
      </w:pPr>
    </w:p>
    <w:p>
      <w:pPr>
        <w:ind w:left="780" w:right="40" w:hanging="1254"/>
        <w:spacing w:after="0" w:line="295" w:lineRule="auto"/>
        <w:tabs>
          <w:tab w:leader="none" w:pos="760" w:val="left"/>
        </w:tabs>
        <w:rPr>
          <w:rFonts w:ascii="Times New Roman" w:cs="Times New Roman" w:eastAsia="Times New Roman" w:hAnsi="Times New Roman"/>
          <w:sz w:val="17"/>
          <w:szCs w:val="17"/>
          <w:color w:val="auto"/>
        </w:rPr>
      </w:pPr>
      <w:hyperlink r:id="rId146">
        <w:r>
          <w:rPr>
            <w:rFonts w:ascii="Times New Roman" w:cs="Times New Roman" w:eastAsia="Times New Roman" w:hAnsi="Times New Roman"/>
            <w:sz w:val="17"/>
            <w:szCs w:val="17"/>
            <w:color w:val="auto"/>
          </w:rPr>
          <w:t>†* 10.16</w:t>
        </w:r>
      </w:hyperlink>
      <w:r>
        <w:rPr>
          <w:rFonts w:ascii="Times New Roman" w:cs="Times New Roman" w:eastAsia="Times New Roman" w:hAnsi="Times New Roman"/>
          <w:sz w:val="17"/>
          <w:szCs w:val="17"/>
          <w:color w:val="auto"/>
        </w:rPr>
        <w:tab/>
      </w:r>
      <w:hyperlink r:id="rId146">
        <w:r>
          <w:rPr>
            <w:rFonts w:ascii="Times New Roman" w:cs="Times New Roman" w:eastAsia="Times New Roman" w:hAnsi="Times New Roman"/>
            <w:sz w:val="17"/>
            <w:szCs w:val="17"/>
            <w:color w:val="auto"/>
          </w:rPr>
          <w:t>Form of AGNC Investment Corp. 2016 Equity and Incentive Compensation Plan Deferred Stock Unit Agreement incorporated herein by reference to</w:t>
        </w:r>
      </w:hyperlink>
      <w:r>
        <w:rPr>
          <w:rFonts w:ascii="Times New Roman" w:cs="Times New Roman" w:eastAsia="Times New Roman" w:hAnsi="Times New Roman"/>
          <w:sz w:val="17"/>
          <w:szCs w:val="17"/>
          <w:color w:val="auto"/>
        </w:rPr>
        <w:t xml:space="preserve"> </w:t>
      </w:r>
      <w:hyperlink r:id="rId146">
        <w:r>
          <w:rPr>
            <w:rFonts w:ascii="Times New Roman" w:cs="Times New Roman" w:eastAsia="Times New Roman" w:hAnsi="Times New Roman"/>
            <w:sz w:val="17"/>
            <w:szCs w:val="17"/>
            <w:color w:val="auto"/>
          </w:rPr>
          <w:t>Exhibit 10 of Form 10-Q for the quarter ended September 30, 2018 (File No. 001-34057), filed November 5, 2018.</w:t>
        </w:r>
      </w:hyperlink>
    </w:p>
    <w:p>
      <w:pPr>
        <w:spacing w:after="0" w:line="94" w:lineRule="exact"/>
        <w:rPr>
          <w:rFonts w:ascii="Times New Roman" w:cs="Times New Roman" w:eastAsia="Times New Roman" w:hAnsi="Times New Roman"/>
          <w:sz w:val="17"/>
          <w:szCs w:val="17"/>
          <w:color w:val="auto"/>
        </w:rPr>
      </w:pPr>
    </w:p>
    <w:p>
      <w:pPr>
        <w:ind w:left="780" w:right="460" w:hanging="1254"/>
        <w:spacing w:after="0" w:line="295" w:lineRule="auto"/>
        <w:tabs>
          <w:tab w:leader="none" w:pos="760" w:val="left"/>
        </w:tabs>
        <w:rPr>
          <w:rFonts w:ascii="Times New Roman" w:cs="Times New Roman" w:eastAsia="Times New Roman" w:hAnsi="Times New Roman"/>
          <w:sz w:val="17"/>
          <w:szCs w:val="17"/>
          <w:color w:val="auto"/>
        </w:rPr>
      </w:pPr>
      <w:hyperlink r:id="rId147">
        <w:r>
          <w:rPr>
            <w:rFonts w:ascii="Times New Roman" w:cs="Times New Roman" w:eastAsia="Times New Roman" w:hAnsi="Times New Roman"/>
            <w:sz w:val="17"/>
            <w:szCs w:val="17"/>
            <w:color w:val="auto"/>
          </w:rPr>
          <w:t>†* 10.17</w:t>
        </w:r>
      </w:hyperlink>
      <w:r>
        <w:rPr>
          <w:rFonts w:ascii="Times New Roman" w:cs="Times New Roman" w:eastAsia="Times New Roman" w:hAnsi="Times New Roman"/>
          <w:sz w:val="17"/>
          <w:szCs w:val="17"/>
          <w:color w:val="auto"/>
        </w:rPr>
        <w:tab/>
      </w:r>
      <w:hyperlink r:id="rId147">
        <w:r>
          <w:rPr>
            <w:rFonts w:ascii="Times New Roman" w:cs="Times New Roman" w:eastAsia="Times New Roman" w:hAnsi="Times New Roman"/>
            <w:sz w:val="17"/>
            <w:szCs w:val="17"/>
            <w:color w:val="auto"/>
          </w:rPr>
          <w:t>Form of AGNC Investment Corp. 2016 Equity and Incentive Compensation Plan Restricted Stock Unit Agreement for Section 16 Officers with</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Retirement Provisions, incorporated herein by reference to Exhibit 10.26 of Form 10-K (File No. 001-34057), filed February 26, 2021.</w:t>
        </w:r>
      </w:hyperlink>
    </w:p>
    <w:p>
      <w:pPr>
        <w:spacing w:after="0" w:line="94" w:lineRule="exact"/>
        <w:rPr>
          <w:rFonts w:ascii="Times New Roman" w:cs="Times New Roman" w:eastAsia="Times New Roman" w:hAnsi="Times New Roman"/>
          <w:sz w:val="17"/>
          <w:szCs w:val="17"/>
          <w:color w:val="auto"/>
        </w:rPr>
      </w:pPr>
    </w:p>
    <w:p>
      <w:pPr>
        <w:jc w:val="both"/>
        <w:ind w:left="780" w:hanging="1254"/>
        <w:spacing w:after="0" w:line="288" w:lineRule="auto"/>
        <w:tabs>
          <w:tab w:leader="none" w:pos="760" w:val="left"/>
        </w:tabs>
        <w:rPr>
          <w:rFonts w:ascii="Times New Roman" w:cs="Times New Roman" w:eastAsia="Times New Roman" w:hAnsi="Times New Roman"/>
          <w:sz w:val="17"/>
          <w:szCs w:val="17"/>
          <w:color w:val="auto"/>
        </w:rPr>
      </w:pPr>
      <w:hyperlink r:id="rId148">
        <w:r>
          <w:rPr>
            <w:rFonts w:ascii="Times New Roman" w:cs="Times New Roman" w:eastAsia="Times New Roman" w:hAnsi="Times New Roman"/>
            <w:sz w:val="17"/>
            <w:szCs w:val="17"/>
            <w:color w:val="auto"/>
          </w:rPr>
          <w:t>†* 10.18</w:t>
        </w:r>
      </w:hyperlink>
      <w:r>
        <w:rPr>
          <w:rFonts w:ascii="Times New Roman" w:cs="Times New Roman" w:eastAsia="Times New Roman" w:hAnsi="Times New Roman"/>
          <w:sz w:val="17"/>
          <w:szCs w:val="17"/>
          <w:color w:val="auto"/>
        </w:rPr>
        <w:tab/>
      </w:r>
      <w:hyperlink r:id="rId148">
        <w:r>
          <w:rPr>
            <w:rFonts w:ascii="Times New Roman" w:cs="Times New Roman" w:eastAsia="Times New Roman" w:hAnsi="Times New Roman"/>
            <w:sz w:val="17"/>
            <w:szCs w:val="17"/>
            <w:color w:val="auto"/>
          </w:rPr>
          <w:t>Form of AGNC Investment Corp. 2016 Equity and Incentive Compensation Plan Performance-Based Restricted Stock Unit Agreement for Section 16</w:t>
        </w:r>
      </w:hyperlink>
      <w:r>
        <w:rPr>
          <w:rFonts w:ascii="Times New Roman" w:cs="Times New Roman" w:eastAsia="Times New Roman" w:hAnsi="Times New Roman"/>
          <w:sz w:val="17"/>
          <w:szCs w:val="17"/>
          <w:color w:val="auto"/>
        </w:rPr>
        <w:t xml:space="preserve"> </w:t>
      </w:r>
      <w:hyperlink r:id="rId148">
        <w:r>
          <w:rPr>
            <w:rFonts w:ascii="Times New Roman" w:cs="Times New Roman" w:eastAsia="Times New Roman" w:hAnsi="Times New Roman"/>
            <w:sz w:val="17"/>
            <w:szCs w:val="17"/>
            <w:color w:val="auto"/>
          </w:rPr>
          <w:t>Officers with Retirement Provisions, incorporated herein by reference to Exhibit 10.27 of Form 10-K (File No. 001-34057), filed February 26,</w:t>
        </w:r>
      </w:hyperlink>
      <w:r>
        <w:rPr>
          <w:rFonts w:ascii="Times New Roman" w:cs="Times New Roman" w:eastAsia="Times New Roman" w:hAnsi="Times New Roman"/>
          <w:sz w:val="17"/>
          <w:szCs w:val="17"/>
          <w:color w:val="auto"/>
        </w:rPr>
        <w:t xml:space="preserve"> </w:t>
      </w:r>
      <w:hyperlink r:id="rId148">
        <w:r>
          <w:rPr>
            <w:rFonts w:ascii="Times New Roman" w:cs="Times New Roman" w:eastAsia="Times New Roman" w:hAnsi="Times New Roman"/>
            <w:sz w:val="17"/>
            <w:szCs w:val="17"/>
            <w:color w:val="auto"/>
          </w:rPr>
          <w:t>2021.</w:t>
        </w:r>
      </w:hyperlink>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85" w:name="page86"/>
    <w:bookmarkEnd w:id="85"/>
    <w:p>
      <w:pPr>
        <w:ind w:left="780" w:right="460" w:hanging="1254"/>
        <w:spacing w:after="0" w:line="295" w:lineRule="auto"/>
        <w:tabs>
          <w:tab w:leader="none" w:pos="760" w:val="left"/>
        </w:tabs>
        <w:rPr>
          <w:rFonts w:ascii="Times New Roman" w:cs="Times New Roman" w:eastAsia="Times New Roman" w:hAnsi="Times New Roman"/>
          <w:sz w:val="17"/>
          <w:szCs w:val="17"/>
          <w:color w:val="auto"/>
        </w:rPr>
      </w:pPr>
      <w:hyperlink r:id="rId150">
        <w:r>
          <w:rPr>
            <w:rFonts w:ascii="Times New Roman" w:cs="Times New Roman" w:eastAsia="Times New Roman" w:hAnsi="Times New Roman"/>
            <w:sz w:val="17"/>
            <w:szCs w:val="17"/>
            <w:color w:val="auto"/>
          </w:rPr>
          <w:t>†* 10.19</w:t>
        </w:r>
      </w:hyperlink>
      <w:r>
        <w:rPr>
          <w:rFonts w:ascii="Times New Roman" w:cs="Times New Roman" w:eastAsia="Times New Roman" w:hAnsi="Times New Roman"/>
          <w:sz w:val="17"/>
          <w:szCs w:val="17"/>
          <w:color w:val="auto"/>
        </w:rPr>
        <w:tab/>
      </w:r>
      <w:hyperlink r:id="rId150">
        <w:r>
          <w:rPr>
            <w:rFonts w:ascii="Times New Roman" w:cs="Times New Roman" w:eastAsia="Times New Roman" w:hAnsi="Times New Roman"/>
            <w:sz w:val="17"/>
            <w:szCs w:val="17"/>
            <w:color w:val="auto"/>
          </w:rPr>
          <w:t>Form of AGNC Investment Corp. 2016 Equity and Incentive Compensation Plan Restricted Stock Unit Agreement for Section 16 Officers with</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color w:val="auto"/>
          </w:rPr>
          <w:t>Employment Contracts, incorporated herein by reference to Exhibit 10.28 of Form 10-K (File No. 001-34057), filed February 26, 2021.</w:t>
        </w:r>
      </w:hyperlink>
    </w:p>
    <w:p>
      <w:pPr>
        <w:spacing w:after="0" w:line="94" w:lineRule="exact"/>
        <w:rPr>
          <w:rFonts w:ascii="Times New Roman" w:cs="Times New Roman" w:eastAsia="Times New Roman" w:hAnsi="Times New Roman"/>
          <w:sz w:val="17"/>
          <w:szCs w:val="17"/>
          <w:color w:val="auto"/>
        </w:rPr>
      </w:pPr>
    </w:p>
    <w:p>
      <w:pPr>
        <w:jc w:val="both"/>
        <w:ind w:left="780" w:hanging="1254"/>
        <w:spacing w:after="0" w:line="288" w:lineRule="auto"/>
        <w:tabs>
          <w:tab w:leader="none" w:pos="760" w:val="left"/>
        </w:tabs>
        <w:rPr>
          <w:rFonts w:ascii="Times New Roman" w:cs="Times New Roman" w:eastAsia="Times New Roman" w:hAnsi="Times New Roman"/>
          <w:sz w:val="17"/>
          <w:szCs w:val="17"/>
          <w:color w:val="auto"/>
        </w:rPr>
      </w:pPr>
      <w:hyperlink r:id="rId151">
        <w:r>
          <w:rPr>
            <w:rFonts w:ascii="Times New Roman" w:cs="Times New Roman" w:eastAsia="Times New Roman" w:hAnsi="Times New Roman"/>
            <w:sz w:val="17"/>
            <w:szCs w:val="17"/>
            <w:color w:val="auto"/>
          </w:rPr>
          <w:t>†* 10.20</w:t>
        </w:r>
      </w:hyperlink>
      <w:r>
        <w:rPr>
          <w:rFonts w:ascii="Times New Roman" w:cs="Times New Roman" w:eastAsia="Times New Roman" w:hAnsi="Times New Roman"/>
          <w:sz w:val="17"/>
          <w:szCs w:val="17"/>
          <w:color w:val="auto"/>
        </w:rPr>
        <w:tab/>
      </w:r>
      <w:hyperlink r:id="rId151">
        <w:r>
          <w:rPr>
            <w:rFonts w:ascii="Times New Roman" w:cs="Times New Roman" w:eastAsia="Times New Roman" w:hAnsi="Times New Roman"/>
            <w:sz w:val="17"/>
            <w:szCs w:val="17"/>
            <w:color w:val="auto"/>
          </w:rPr>
          <w:t>Form of AGNC Investment Corp. 2016 Equity and Incentive Compensation Plan Performance-Based Restricted Stock Unit Agreement for Section 16</w:t>
        </w:r>
      </w:hyperlink>
      <w:r>
        <w:rPr>
          <w:rFonts w:ascii="Times New Roman" w:cs="Times New Roman" w:eastAsia="Times New Roman" w:hAnsi="Times New Roman"/>
          <w:sz w:val="17"/>
          <w:szCs w:val="17"/>
          <w:color w:val="auto"/>
        </w:rPr>
        <w:t xml:space="preserve"> </w:t>
      </w:r>
      <w:hyperlink r:id="rId151">
        <w:r>
          <w:rPr>
            <w:rFonts w:ascii="Times New Roman" w:cs="Times New Roman" w:eastAsia="Times New Roman" w:hAnsi="Times New Roman"/>
            <w:sz w:val="17"/>
            <w:szCs w:val="17"/>
            <w:color w:val="auto"/>
          </w:rPr>
          <w:t>Officers with Employment Contracts, incorporated herein by reference to Exhibit 10.29 of Form 10-K (File No. 001-34057), filed February 26,</w:t>
        </w:r>
      </w:hyperlink>
      <w:r>
        <w:rPr>
          <w:rFonts w:ascii="Times New Roman" w:cs="Times New Roman" w:eastAsia="Times New Roman" w:hAnsi="Times New Roman"/>
          <w:sz w:val="17"/>
          <w:szCs w:val="17"/>
          <w:color w:val="auto"/>
        </w:rPr>
        <w:t xml:space="preserve"> </w:t>
      </w:r>
      <w:hyperlink r:id="rId151">
        <w:r>
          <w:rPr>
            <w:rFonts w:ascii="Times New Roman" w:cs="Times New Roman" w:eastAsia="Times New Roman" w:hAnsi="Times New Roman"/>
            <w:sz w:val="17"/>
            <w:szCs w:val="17"/>
            <w:color w:val="auto"/>
          </w:rPr>
          <w:t>2021.</w:t>
        </w:r>
      </w:hyperlink>
    </w:p>
    <w:p>
      <w:pPr>
        <w:spacing w:after="0" w:line="315" w:lineRule="exact"/>
        <w:rPr>
          <w:rFonts w:ascii="Times New Roman" w:cs="Times New Roman" w:eastAsia="Times New Roman" w:hAnsi="Times New Roman"/>
          <w:sz w:val="17"/>
          <w:szCs w:val="17"/>
          <w:color w:val="auto"/>
        </w:rPr>
      </w:pPr>
    </w:p>
    <w:p>
      <w:pPr>
        <w:ind w:left="780" w:right="280" w:hanging="1254"/>
        <w:spacing w:after="0" w:line="295" w:lineRule="auto"/>
        <w:tabs>
          <w:tab w:leader="none" w:pos="760" w:val="left"/>
        </w:tabs>
        <w:rPr>
          <w:rFonts w:ascii="Times New Roman" w:cs="Times New Roman" w:eastAsia="Times New Roman" w:hAnsi="Times New Roman"/>
          <w:sz w:val="17"/>
          <w:szCs w:val="17"/>
          <w:color w:val="auto"/>
        </w:rPr>
      </w:pPr>
      <w:hyperlink r:id="rId152">
        <w:r>
          <w:rPr>
            <w:rFonts w:ascii="Times New Roman" w:cs="Times New Roman" w:eastAsia="Times New Roman" w:hAnsi="Times New Roman"/>
            <w:sz w:val="17"/>
            <w:szCs w:val="17"/>
            <w:color w:val="auto"/>
          </w:rPr>
          <w:t>†* 10.21</w:t>
        </w:r>
      </w:hyperlink>
      <w:r>
        <w:rPr>
          <w:rFonts w:ascii="Times New Roman" w:cs="Times New Roman" w:eastAsia="Times New Roman" w:hAnsi="Times New Roman"/>
          <w:sz w:val="17"/>
          <w:szCs w:val="17"/>
          <w:color w:val="auto"/>
        </w:rPr>
        <w:tab/>
      </w:r>
      <w:hyperlink r:id="rId152">
        <w:r>
          <w:rPr>
            <w:rFonts w:ascii="Times New Roman" w:cs="Times New Roman" w:eastAsia="Times New Roman" w:hAnsi="Times New Roman"/>
            <w:sz w:val="17"/>
            <w:szCs w:val="17"/>
            <w:color w:val="auto"/>
          </w:rPr>
          <w:t>Form of AGNC Investment Corp. 2016 Equity and Incentive Compensation Plan Restricted Stock Unit Agreement for Section 16 Officers with</w:t>
        </w:r>
      </w:hyperlink>
      <w:r>
        <w:rPr>
          <w:rFonts w:ascii="Times New Roman" w:cs="Times New Roman" w:eastAsia="Times New Roman" w:hAnsi="Times New Roman"/>
          <w:sz w:val="17"/>
          <w:szCs w:val="17"/>
          <w:color w:val="auto"/>
        </w:rPr>
        <w:t xml:space="preserve"> </w:t>
      </w:r>
      <w:hyperlink r:id="rId152">
        <w:r>
          <w:rPr>
            <w:rFonts w:ascii="Times New Roman" w:cs="Times New Roman" w:eastAsia="Times New Roman" w:hAnsi="Times New Roman"/>
            <w:sz w:val="17"/>
            <w:szCs w:val="17"/>
            <w:color w:val="auto"/>
          </w:rPr>
          <w:t>Retirement Plan Language, incorporated herein by reference to Exhibit 10.20 of Form 10-K (File No. 001-34057), filed February 22, 2024.</w:t>
        </w:r>
      </w:hyperlink>
    </w:p>
    <w:p>
      <w:pPr>
        <w:spacing w:after="0" w:line="94" w:lineRule="exact"/>
        <w:rPr>
          <w:rFonts w:ascii="Times New Roman" w:cs="Times New Roman" w:eastAsia="Times New Roman" w:hAnsi="Times New Roman"/>
          <w:sz w:val="17"/>
          <w:szCs w:val="17"/>
          <w:color w:val="auto"/>
        </w:rPr>
      </w:pPr>
    </w:p>
    <w:p>
      <w:pPr>
        <w:jc w:val="both"/>
        <w:ind w:left="780" w:hanging="1254"/>
        <w:spacing w:after="0" w:line="288" w:lineRule="auto"/>
        <w:tabs>
          <w:tab w:leader="none" w:pos="760" w:val="left"/>
        </w:tabs>
        <w:rPr>
          <w:rFonts w:ascii="Times New Roman" w:cs="Times New Roman" w:eastAsia="Times New Roman" w:hAnsi="Times New Roman"/>
          <w:sz w:val="17"/>
          <w:szCs w:val="17"/>
          <w:color w:val="auto"/>
        </w:rPr>
      </w:pPr>
      <w:hyperlink r:id="rId153">
        <w:r>
          <w:rPr>
            <w:rFonts w:ascii="Times New Roman" w:cs="Times New Roman" w:eastAsia="Times New Roman" w:hAnsi="Times New Roman"/>
            <w:sz w:val="17"/>
            <w:szCs w:val="17"/>
            <w:color w:val="auto"/>
          </w:rPr>
          <w:t>†* 10.22</w:t>
        </w:r>
      </w:hyperlink>
      <w:r>
        <w:rPr>
          <w:rFonts w:ascii="Times New Roman" w:cs="Times New Roman" w:eastAsia="Times New Roman" w:hAnsi="Times New Roman"/>
          <w:sz w:val="17"/>
          <w:szCs w:val="17"/>
          <w:color w:val="auto"/>
        </w:rPr>
        <w:tab/>
      </w:r>
      <w:hyperlink r:id="rId153">
        <w:r>
          <w:rPr>
            <w:rFonts w:ascii="Times New Roman" w:cs="Times New Roman" w:eastAsia="Times New Roman" w:hAnsi="Times New Roman"/>
            <w:sz w:val="17"/>
            <w:szCs w:val="17"/>
            <w:color w:val="auto"/>
          </w:rPr>
          <w:t>Form of AGNC Investment Corp. 2016 Equity and Incentive Compensation Plan Performance-Based Restricted Stock Unit Agreement for Section 16</w:t>
        </w:r>
      </w:hyperlink>
      <w:r>
        <w:rPr>
          <w:rFonts w:ascii="Times New Roman" w:cs="Times New Roman" w:eastAsia="Times New Roman" w:hAnsi="Times New Roman"/>
          <w:sz w:val="17"/>
          <w:szCs w:val="17"/>
          <w:color w:val="auto"/>
        </w:rPr>
        <w:t xml:space="preserve"> </w:t>
      </w:r>
      <w:hyperlink r:id="rId153">
        <w:r>
          <w:rPr>
            <w:rFonts w:ascii="Times New Roman" w:cs="Times New Roman" w:eastAsia="Times New Roman" w:hAnsi="Times New Roman"/>
            <w:sz w:val="17"/>
            <w:szCs w:val="17"/>
            <w:color w:val="auto"/>
          </w:rPr>
          <w:t>Officers with Retirement Plan Language, incorporated herein by reference to Exhibit 10.21 of Form 10-K (File No. 001-34057), filed February</w:t>
        </w:r>
      </w:hyperlink>
      <w:r>
        <w:rPr>
          <w:rFonts w:ascii="Times New Roman" w:cs="Times New Roman" w:eastAsia="Times New Roman" w:hAnsi="Times New Roman"/>
          <w:sz w:val="17"/>
          <w:szCs w:val="17"/>
          <w:color w:val="auto"/>
        </w:rPr>
        <w:t xml:space="preserve"> </w:t>
      </w:r>
      <w:hyperlink r:id="rId153">
        <w:r>
          <w:rPr>
            <w:rFonts w:ascii="Times New Roman" w:cs="Times New Roman" w:eastAsia="Times New Roman" w:hAnsi="Times New Roman"/>
            <w:sz w:val="17"/>
            <w:szCs w:val="17"/>
            <w:color w:val="auto"/>
          </w:rPr>
          <w:t>22, 2024.</w:t>
        </w:r>
      </w:hyperlink>
    </w:p>
    <w:p>
      <w:pPr>
        <w:spacing w:after="0" w:line="315" w:lineRule="exact"/>
        <w:rPr>
          <w:rFonts w:ascii="Times New Roman" w:cs="Times New Roman" w:eastAsia="Times New Roman" w:hAnsi="Times New Roman"/>
          <w:sz w:val="17"/>
          <w:szCs w:val="17"/>
          <w:color w:val="auto"/>
        </w:rPr>
      </w:pPr>
    </w:p>
    <w:p>
      <w:pPr>
        <w:spacing w:after="0"/>
        <w:tabs>
          <w:tab w:leader="none" w:pos="4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w:t>
        <w:tab/>
      </w:r>
      <w:hyperlink r:id="rId154">
        <w:r>
          <w:rPr>
            <w:rFonts w:ascii="Times New Roman" w:cs="Times New Roman" w:eastAsia="Times New Roman" w:hAnsi="Times New Roman"/>
            <w:sz w:val="17"/>
            <w:szCs w:val="17"/>
            <w:color w:val="auto"/>
          </w:rPr>
          <w:t>AGNC Investment Corp. Code of Ethics and Conduct, adopted July 18, 2024, incorporated herein by reference to Exhibit 14 of Form 10-Q (File No. 001-</w:t>
        </w:r>
      </w:hyperlink>
    </w:p>
    <w:p>
      <w:pPr>
        <w:spacing w:after="0" w:line="3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hyperlink r:id="rId154">
        <w:r>
          <w:rPr>
            <w:rFonts w:ascii="Times New Roman" w:cs="Times New Roman" w:eastAsia="Times New Roman" w:hAnsi="Times New Roman"/>
            <w:sz w:val="17"/>
            <w:szCs w:val="17"/>
            <w:color w:val="auto"/>
          </w:rPr>
          <w:t>34057) filed August 5, 2024.</w:t>
        </w:r>
      </w:hyperlink>
    </w:p>
    <w:p>
      <w:pPr>
        <w:spacing w:after="0" w:line="152"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AGNC Investment Corp. Policy on Insider Trading, adopted July 18, 2024, filed herewith.</w:t>
      </w:r>
    </w:p>
    <w:p>
      <w:pPr>
        <w:spacing w:after="0" w:line="170"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 of the Company and jurisdiction of incorporation:</w:t>
      </w:r>
    </w:p>
    <w:p>
      <w:pPr>
        <w:spacing w:after="0" w:line="170" w:lineRule="exact"/>
        <w:rPr>
          <w:rFonts w:ascii="Times New Roman" w:cs="Times New Roman" w:eastAsia="Times New Roman" w:hAnsi="Times New Roman"/>
          <w:sz w:val="17"/>
          <w:szCs w:val="17"/>
          <w:color w:val="auto"/>
        </w:rPr>
      </w:pPr>
    </w:p>
    <w:p>
      <w:pPr>
        <w:ind w:left="1480" w:hanging="221"/>
        <w:spacing w:after="0"/>
        <w:tabs>
          <w:tab w:leader="none" w:pos="14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AGNC TRS, LLC, a Delaware limited liability company</w:t>
      </w:r>
    </w:p>
    <w:p>
      <w:pPr>
        <w:spacing w:after="0" w:line="170" w:lineRule="exact"/>
        <w:rPr>
          <w:rFonts w:ascii="Times New Roman" w:cs="Times New Roman" w:eastAsia="Times New Roman" w:hAnsi="Times New Roman"/>
          <w:sz w:val="17"/>
          <w:szCs w:val="17"/>
          <w:color w:val="auto"/>
        </w:rPr>
      </w:pPr>
    </w:p>
    <w:p>
      <w:pPr>
        <w:ind w:left="1480" w:hanging="221"/>
        <w:spacing w:after="0"/>
        <w:tabs>
          <w:tab w:leader="none" w:pos="14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Bethesda Securities, LLC, a Delaware limited liability company</w:t>
      </w:r>
    </w:p>
    <w:p>
      <w:pPr>
        <w:spacing w:after="0" w:line="170" w:lineRule="exact"/>
        <w:rPr>
          <w:rFonts w:ascii="Times New Roman" w:cs="Times New Roman" w:eastAsia="Times New Roman" w:hAnsi="Times New Roman"/>
          <w:sz w:val="17"/>
          <w:szCs w:val="17"/>
          <w:color w:val="auto"/>
        </w:rPr>
      </w:pPr>
    </w:p>
    <w:p>
      <w:pPr>
        <w:ind w:left="1480" w:hanging="221"/>
        <w:spacing w:after="0"/>
        <w:tabs>
          <w:tab w:leader="none" w:pos="14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AGNC Mortgage Management, LLC, a Delaware limited liability company</w:t>
      </w:r>
    </w:p>
    <w:p>
      <w:pPr>
        <w:spacing w:after="0" w:line="170"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of Ernst &amp; Young LLP, filed herewith.</w:t>
      </w:r>
    </w:p>
    <w:p>
      <w:pPr>
        <w:spacing w:after="0" w:line="170"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Powers of Attorney of directors, filed herewith.</w:t>
      </w:r>
    </w:p>
    <w:p>
      <w:pPr>
        <w:spacing w:after="0" w:line="17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31.1  Certification of CEO Pursuant to Section 302(a) of the Sarbanes-Oxley Act of 2002.</w:t>
      </w:r>
    </w:p>
    <w:p>
      <w:pPr>
        <w:spacing w:after="0" w:line="17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  Certification of CFO Pursuant to Section 302(a) of the Sarbanes-Oxley Act of 2002.</w:t>
      </w:r>
    </w:p>
    <w:p>
      <w:pPr>
        <w:spacing w:after="0" w:line="170"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 of CEO and CFO Pursuant to Section 906 of the Sarbanes-Oxley Act of 2002.</w:t>
      </w:r>
    </w:p>
    <w:p>
      <w:pPr>
        <w:spacing w:after="0" w:line="170" w:lineRule="exact"/>
        <w:rPr>
          <w:rFonts w:ascii="Times New Roman" w:cs="Times New Roman" w:eastAsia="Times New Roman" w:hAnsi="Times New Roman"/>
          <w:sz w:val="17"/>
          <w:szCs w:val="17"/>
          <w:color w:val="auto"/>
        </w:rPr>
      </w:pPr>
    </w:p>
    <w:p>
      <w:pPr>
        <w:ind w:left="600" w:hanging="1254"/>
        <w:spacing w:after="0" w:line="295" w:lineRule="auto"/>
        <w:tabs>
          <w:tab w:leader="none" w:pos="580" w:val="left"/>
        </w:tabs>
        <w:rPr>
          <w:rFonts w:ascii="Times New Roman" w:cs="Times New Roman" w:eastAsia="Times New Roman" w:hAnsi="Times New Roman"/>
          <w:sz w:val="17"/>
          <w:szCs w:val="17"/>
          <w:color w:val="auto"/>
        </w:rPr>
      </w:pPr>
      <w:hyperlink r:id="rId155">
        <w:r>
          <w:rPr>
            <w:rFonts w:ascii="Times New Roman" w:cs="Times New Roman" w:eastAsia="Times New Roman" w:hAnsi="Times New Roman"/>
            <w:sz w:val="17"/>
            <w:szCs w:val="17"/>
            <w:color w:val="auto"/>
          </w:rPr>
          <w:t>*97.1</w:t>
        </w:r>
      </w:hyperlink>
      <w:r>
        <w:rPr>
          <w:rFonts w:ascii="Times New Roman" w:cs="Times New Roman" w:eastAsia="Times New Roman" w:hAnsi="Times New Roman"/>
          <w:sz w:val="17"/>
          <w:szCs w:val="17"/>
          <w:color w:val="auto"/>
        </w:rPr>
        <w:tab/>
      </w:r>
      <w:hyperlink r:id="rId155">
        <w:r>
          <w:rPr>
            <w:rFonts w:ascii="Times New Roman" w:cs="Times New Roman" w:eastAsia="Times New Roman" w:hAnsi="Times New Roman"/>
            <w:sz w:val="17"/>
            <w:szCs w:val="17"/>
            <w:color w:val="auto"/>
          </w:rPr>
          <w:t>AGNC Investment Corp. Compensation Clawback Policy, incorporated herein by reference to Exhibit 97.1 of Form 10-K (File No. 001-34057), filed</w:t>
        </w:r>
      </w:hyperlink>
      <w:r>
        <w:rPr>
          <w:rFonts w:ascii="Times New Roman" w:cs="Times New Roman" w:eastAsia="Times New Roman" w:hAnsi="Times New Roman"/>
          <w:sz w:val="17"/>
          <w:szCs w:val="17"/>
          <w:color w:val="auto"/>
        </w:rPr>
        <w:t xml:space="preserve"> </w:t>
      </w:r>
      <w:hyperlink r:id="rId155">
        <w:r>
          <w:rPr>
            <w:rFonts w:ascii="Times New Roman" w:cs="Times New Roman" w:eastAsia="Times New Roman" w:hAnsi="Times New Roman"/>
            <w:sz w:val="17"/>
            <w:szCs w:val="17"/>
            <w:color w:val="auto"/>
          </w:rPr>
          <w:t>Februrary 22, 2024.</w:t>
        </w:r>
      </w:hyperlink>
    </w:p>
    <w:p>
      <w:pPr>
        <w:sectPr>
          <w:pgSz w:w="11900" w:h="16838" w:orient="portrait"/>
          <w:cols w:equalWidth="0" w:num="1">
            <w:col w:w="11240"/>
          </w:cols>
          <w:pgMar w:left="320" w:top="1023" w:right="339" w:bottom="1440" w:gutter="0" w:footer="0" w:header="0"/>
        </w:sectPr>
      </w:pPr>
    </w:p>
    <w:p>
      <w:pPr>
        <w:spacing w:after="0" w:line="9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7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The instance document does not appear in the interactive data file because its XBRL tags are embedded within the inline XBRL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760" w:space="180"/>
            <w:col w:w="1030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20" w:space="180"/>
            <w:col w:w="1024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40" w:space="160"/>
            <w:col w:w="1024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40" w:space="160"/>
            <w:col w:w="1024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170" w:lineRule="exact"/>
        <w:rPr>
          <w:rFonts w:ascii="Times New Roman" w:cs="Times New Roman" w:eastAsia="Times New Roman" w:hAnsi="Times New Roman"/>
          <w:sz w:val="17"/>
          <w:szCs w:val="17"/>
          <w:color w:val="auto"/>
        </w:rPr>
      </w:pPr>
    </w:p>
    <w:p>
      <w:pPr>
        <w:sectPr>
          <w:pgSz w:w="11900" w:h="16838" w:orient="portrait"/>
          <w:cols w:equalWidth="0" w:num="2">
            <w:col w:w="800" w:space="180"/>
            <w:col w:w="1026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32" w:lineRule="exact"/>
        <w:rPr>
          <w:rFonts w:ascii="Times New Roman" w:cs="Times New Roman" w:eastAsia="Times New Roman" w:hAnsi="Times New Roman"/>
          <w:sz w:val="17"/>
          <w:szCs w:val="17"/>
          <w:color w:val="auto"/>
        </w:rPr>
      </w:pPr>
    </w:p>
    <w:p>
      <w:pPr>
        <w:sectPr>
          <w:pgSz w:w="11900" w:h="16838" w:orient="portrait"/>
          <w:cols w:equalWidth="0" w:num="2">
            <w:col w:w="820" w:space="160"/>
            <w:col w:w="10260"/>
          </w:cols>
          <w:pgMar w:left="320" w:top="10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________________________________</w:t>
      </w:r>
    </w:p>
    <w:p>
      <w:pPr>
        <w:spacing w:after="0" w:line="7" w:lineRule="exact"/>
        <w:rPr>
          <w:rFonts w:ascii="Times New Roman" w:cs="Times New Roman" w:eastAsia="Times New Roman" w:hAnsi="Times New Roman"/>
          <w:sz w:val="17"/>
          <w:szCs w:val="17"/>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Previously filed</w:t>
      </w:r>
    </w:p>
    <w:p>
      <w:pPr>
        <w:spacing w:after="0" w:line="23" w:lineRule="exact"/>
        <w:rPr>
          <w:rFonts w:ascii="Times New Roman" w:cs="Times New Roman" w:eastAsia="Times New Roman" w:hAnsi="Times New Roman"/>
          <w:sz w:val="17"/>
          <w:szCs w:val="17"/>
          <w:color w:val="auto"/>
        </w:rPr>
      </w:pPr>
    </w:p>
    <w:p>
      <w:pPr>
        <w:ind w:left="640" w:right="720" w:hanging="635"/>
        <w:spacing w:after="0" w:line="256" w:lineRule="auto"/>
        <w:tabs>
          <w:tab w:leader="none" w:pos="35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is being furnished rather than filed, and shall not be deemed incorporated by reference into any filing, in accordance with Item 601 of Regulation S-K</w:t>
      </w:r>
    </w:p>
    <w:p>
      <w:pPr>
        <w:spacing w:after="0" w:line="1" w:lineRule="exact"/>
        <w:rPr>
          <w:rFonts w:ascii="Times New Roman" w:cs="Times New Roman" w:eastAsia="Times New Roman" w:hAnsi="Times New Roman"/>
          <w:sz w:val="17"/>
          <w:szCs w:val="17"/>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w:t>
      </w:r>
    </w:p>
    <w:p>
      <w:pPr>
        <w:spacing w:after="0" w:line="100" w:lineRule="exact"/>
        <w:rPr>
          <w:rFonts w:ascii="Times New Roman" w:cs="Times New Roman" w:eastAsia="Times New Roman" w:hAnsi="Times New Roman"/>
          <w:sz w:val="17"/>
          <w:szCs w:val="17"/>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17"/>
          <w:szCs w:val="17"/>
          <w:color w:val="auto"/>
        </w:rPr>
        <w:t>(b)</w:t>
        <w:tab/>
        <w:t>Exhibits</w:t>
      </w:r>
    </w:p>
    <w:p>
      <w:pPr>
        <w:spacing w:after="0" w:line="32" w:lineRule="exact"/>
        <w:rPr>
          <w:rFonts w:ascii="Times New Roman" w:cs="Times New Roman" w:eastAsia="Times New Roman" w:hAnsi="Times New Roman"/>
          <w:sz w:val="17"/>
          <w:szCs w:val="17"/>
          <w:color w:val="auto"/>
        </w:rPr>
      </w:pPr>
    </w:p>
    <w:p>
      <w:pPr>
        <w:ind w:left="780"/>
        <w:spacing w:after="0"/>
        <w:rPr>
          <w:sz w:val="20"/>
          <w:szCs w:val="20"/>
          <w:color w:val="auto"/>
        </w:rPr>
      </w:pPr>
      <w:r>
        <w:rPr>
          <w:rFonts w:ascii="Times New Roman" w:cs="Times New Roman" w:eastAsia="Times New Roman" w:hAnsi="Times New Roman"/>
          <w:sz w:val="17"/>
          <w:szCs w:val="17"/>
          <w:color w:val="auto"/>
        </w:rPr>
        <w:t>See the exhibits filed herewith.</w:t>
      </w:r>
    </w:p>
    <w:p>
      <w:pPr>
        <w:spacing w:after="0" w:line="100" w:lineRule="exact"/>
        <w:rPr>
          <w:rFonts w:ascii="Times New Roman" w:cs="Times New Roman" w:eastAsia="Times New Roman" w:hAnsi="Times New Roman"/>
          <w:sz w:val="17"/>
          <w:szCs w:val="17"/>
          <w:color w:val="auto"/>
        </w:rPr>
      </w:pPr>
    </w:p>
    <w:p>
      <w:pPr>
        <w:ind w:left="660" w:right="7620" w:hanging="224"/>
        <w:spacing w:after="0" w:line="295" w:lineRule="auto"/>
        <w:tabs>
          <w:tab w:leader="none" w:pos="8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financial statement schedules None.</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2" w:lineRule="exact"/>
        <w:rPr>
          <w:sz w:val="20"/>
          <w:szCs w:val="20"/>
          <w:color w:val="auto"/>
        </w:rPr>
      </w:pPr>
    </w:p>
    <w:p>
      <w:pPr>
        <w:ind w:right="220" w:firstLine="431"/>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AGNC I</w:t>
      </w:r>
      <w:r>
        <w:rPr>
          <w:rFonts w:ascii="Times New Roman" w:cs="Times New Roman" w:eastAsia="Times New Roman" w:hAnsi="Times New Roman"/>
          <w:sz w:val="13"/>
          <w:szCs w:val="13"/>
          <w:color w:val="auto"/>
        </w:rPr>
        <w:t>NVESTMENT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ORP</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ind w:left="5540"/>
        <w:spacing w:after="0"/>
        <w:tabs>
          <w:tab w:leader="none" w:pos="7780" w:val="left"/>
          <w:tab w:leader="none" w:pos="81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28575</wp:posOffset>
            </wp:positionV>
            <wp:extent cx="3269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3269615" cy="8255"/>
                    </a:xfrm>
                    <a:prstGeom prst="rect">
                      <a:avLst/>
                    </a:prstGeom>
                    <a:noFill/>
                  </pic:spPr>
                </pic:pic>
              </a:graphicData>
            </a:graphic>
          </wp:anchor>
        </w:drawing>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40"/>
        <w:spacing w:after="0" w:line="215" w:lineRule="auto"/>
        <w:rPr>
          <w:sz w:val="20"/>
          <w:szCs w:val="20"/>
          <w:color w:val="auto"/>
        </w:rPr>
      </w:pPr>
      <w:r>
        <w:rPr>
          <w:rFonts w:ascii="Times New Roman" w:cs="Times New Roman" w:eastAsia="Times New Roman" w:hAnsi="Times New Roman"/>
          <w:sz w:val="14"/>
          <w:szCs w:val="14"/>
          <w:b w:val="1"/>
          <w:bCs w:val="1"/>
          <w:color w:val="auto"/>
        </w:rPr>
        <w:t>President and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10"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7"/>
          <w:szCs w:val="17"/>
          <w:color w:val="auto"/>
        </w:rPr>
        <w:t>Date:</w:t>
        <w:tab/>
        <w:t>February 21, 2025</w:t>
      </w:r>
    </w:p>
    <w:p>
      <w:pPr>
        <w:spacing w:after="0" w:line="210" w:lineRule="exact"/>
        <w:rPr>
          <w:sz w:val="20"/>
          <w:szCs w:val="20"/>
          <w:color w:val="auto"/>
        </w:rPr>
      </w:pPr>
    </w:p>
    <w:p>
      <w:pPr>
        <w:ind w:firstLine="42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tbl>
      <w:tblPr>
        <w:tblLayout w:type="fixed"/>
        <w:tblInd w:w="124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80" w:type="dxa"/>
            <w:vAlign w:val="bottom"/>
            <w:gridSpan w:val="3"/>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48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8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auto"/>
              </w:rPr>
              <w:t>Director, President and Chief Executive</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w:t>
            </w:r>
          </w:p>
        </w:tc>
        <w:tc>
          <w:tcPr>
            <w:tcW w:w="2280" w:type="dxa"/>
            <w:vAlign w:val="bottom"/>
            <w:tcBorders>
              <w:bottom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Officer (Principal Executive Officer)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Peter J. Federico</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32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E. B</w:t>
            </w:r>
            <w:r>
              <w:rPr>
                <w:rFonts w:ascii="Times New Roman" w:cs="Times New Roman" w:eastAsia="Times New Roman" w:hAnsi="Times New Roman"/>
                <w:sz w:val="13"/>
                <w:szCs w:val="13"/>
                <w:color w:val="auto"/>
              </w:rPr>
              <w:t>ELL</w:t>
            </w:r>
          </w:p>
        </w:tc>
        <w:tc>
          <w:tcPr>
            <w:tcW w:w="308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auto"/>
              </w:rPr>
              <w:t>Financial Officer (Principal Financial</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vMerge w:val="continue"/>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Officer and Principal Accounting Officer)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Bernice E. Bell</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3"/>
                <w:szCs w:val="13"/>
                <w:color w:val="auto"/>
              </w:rPr>
              <w:t>ARY</w:t>
            </w:r>
            <w:r>
              <w:rPr>
                <w:rFonts w:ascii="Times New Roman" w:cs="Times New Roman" w:eastAsia="Times New Roman" w:hAnsi="Times New Roman"/>
                <w:sz w:val="17"/>
                <w:szCs w:val="17"/>
                <w:color w:val="auto"/>
              </w:rPr>
              <w:t xml:space="preserve"> D. K</w:t>
            </w:r>
            <w:r>
              <w:rPr>
                <w:rFonts w:ascii="Times New Roman" w:cs="Times New Roman" w:eastAsia="Times New Roman" w:hAnsi="Times New Roman"/>
                <w:sz w:val="13"/>
                <w:szCs w:val="13"/>
                <w:color w:val="auto"/>
              </w:rPr>
              <w:t>AIN</w:t>
            </w: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 Executive Chair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Gary D. Kain</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Donna J. Blank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Morris A. Davis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0"/>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John D. Fisk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Andrew A. Johnson, Jr.</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Prue B. Larocca</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Paul E. Mullings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February 21, 2025</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Frances R. Spark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3"/>
        </w:trPr>
        <w:tc>
          <w:tcPr>
            <w:tcW w:w="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/s/</w:t>
            </w:r>
          </w:p>
        </w:tc>
        <w:tc>
          <w:tcPr>
            <w:tcW w:w="228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K</w:t>
            </w:r>
            <w:r>
              <w:rPr>
                <w:rFonts w:ascii="Times New Roman" w:cs="Times New Roman" w:eastAsia="Times New Roman" w:hAnsi="Times New Roman"/>
                <w:sz w:val="13"/>
                <w:szCs w:val="13"/>
                <w:color w:val="auto"/>
              </w:rPr>
              <w:t>ENNETH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OLLACK</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gridSpan w:val="3"/>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Kenneth L. Pollack</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3"/>
          </w:tcPr>
          <w:p>
            <w:pPr>
              <w:jc w:val="center"/>
              <w:ind w:right="960"/>
              <w:spacing w:after="0"/>
              <w:rPr>
                <w:sz w:val="20"/>
                <w:szCs w:val="20"/>
                <w:color w:val="auto"/>
              </w:rPr>
            </w:pPr>
            <w:r>
              <w:rPr>
                <w:rFonts w:ascii="Times New Roman" w:cs="Times New Roman" w:eastAsia="Times New Roman" w:hAnsi="Times New Roman"/>
                <w:sz w:val="12"/>
                <w:szCs w:val="12"/>
                <w:b w:val="1"/>
                <w:bCs w:val="1"/>
                <w:i w:val="1"/>
                <w:iCs w:val="1"/>
                <w:color w:val="auto"/>
              </w:rPr>
              <w:t>Attorney-in-fact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2"/>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85</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color w:val="auto"/>
        </w:rPr>
        <w:t>Exhibit 4.19</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THE REGISTRANT’S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REGISTERED PURSUANT TO SECTION 12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00" w:lineRule="exact"/>
        <w:rPr>
          <w:sz w:val="20"/>
          <w:szCs w:val="20"/>
          <w:color w:val="auto"/>
        </w:rPr>
      </w:pPr>
    </w:p>
    <w:p>
      <w:pPr>
        <w:spacing w:after="0" w:line="26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9"/>
          <w:szCs w:val="19"/>
          <w:color w:val="auto"/>
        </w:rPr>
        <w:t>The following description sets forth certain material terms and provisions of AGNC Investment Corp.’s securities that are registered under Section 12 of the Securities Exchange Act of 1934, as amended.</w:t>
      </w:r>
    </w:p>
    <w:p>
      <w:pPr>
        <w:spacing w:after="0" w:line="2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9"/>
          <w:szCs w:val="19"/>
          <w:color w:val="auto"/>
        </w:rPr>
        <w:t>The description below does not purport to be complete and is qualified in its entirety by reference to our Amended and Restated Certificate of Incorporation, as filed with the Secretary of State of Delaware on April 23, 2020 (the “Charter”), our Amended and Restated Bylaws (the “Bylaws”), as in effect since July 20, 2023 and each prospectus, prospectus supplement and certificate of designations which was filed with the U.S. Securities and Exchange Commission (“SEC”), as applicable, at or prior to the time of sale of the related security. If so indicated in the applicable prospectus supplement, the terms of any such security may differ from the terms set forth below. If there are differences between the prospectus supplement relating to a particular security and the applicable prospectus, the prospectus supplement controls. When used in this exhibit, the terms “AGNC,” “we,” “our” and “us” refer solely to AGNC Investment Corp. and not to its subsidiaries. We urge you to read our Charter, as amended, our Bylaws and each prospectus, prospectus supplement and certificate of designations applicable to the related security in their entirety.</w:t>
      </w:r>
    </w:p>
    <w:p>
      <w:pPr>
        <w:spacing w:after="0" w:line="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As of December 31, 2024, we had six classes of registered securities listed on The Nasdaq Global Select Market, our common stock and 7.000%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Our Charter provides that we may issue up to 1,500,000,000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Rate Cumulative Redeemable Preferred Stock (“Series E Preferred Stock”), 23,000 shares have been designated as our 6.125% Series F Fixed-to-Floating Rate Cumulative Redeemable Preferred Stock (“Series F Preferred Stock”), and 6,900 shares have been designated as our</w:t>
      </w:r>
    </w:p>
    <w:p>
      <w:pPr>
        <w:spacing w:after="0" w:line="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7.75% Series G Fixed-Rate Reset Cumulative Redeemable Preferred Stock (“Series G Preferred Stock”). As of December 31, 2024, 897,402,910 shares of our common stock, 13,000 shares of our Series C Preferred Stock, 9,400 shares of our Series D Preferred Stock, 16,100 shares of our Series E Preferred Stock, 23,000 shares of our Series F Preferred Stock, and 6,000 shares of our Series G Preferred Stock were issued and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Voting Rights</w:t>
      </w:r>
    </w:p>
    <w:p>
      <w:pPr>
        <w:spacing w:after="0" w:line="112"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9"/>
          <w:szCs w:val="19"/>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870" w:right="339" w:bottom="1440" w:gutter="0" w:footer="0" w:header="0"/>
        </w:sectPr>
      </w:pPr>
    </w:p>
    <w:bookmarkStart w:id="88" w:name="page89"/>
    <w:bookmarkEnd w:id="88"/>
    <w:p>
      <w:pPr>
        <w:ind w:right="80"/>
        <w:spacing w:after="0" w:line="265" w:lineRule="auto"/>
        <w:rPr>
          <w:sz w:val="20"/>
          <w:szCs w:val="20"/>
          <w:color w:val="auto"/>
        </w:rPr>
      </w:pPr>
      <w:r>
        <w:rPr>
          <w:rFonts w:ascii="Times New Roman" w:cs="Times New Roman" w:eastAsia="Times New Roman" w:hAnsi="Times New Roman"/>
          <w:sz w:val="19"/>
          <w:szCs w:val="19"/>
          <w:color w:val="auto"/>
        </w:rPr>
        <w:t>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 Rights</w:t>
      </w:r>
    </w:p>
    <w:p>
      <w:pPr>
        <w:spacing w:after="0" w:line="125"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9"/>
          <w:szCs w:val="19"/>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Liquidation Rights</w:t>
      </w:r>
    </w:p>
    <w:p>
      <w:pPr>
        <w:spacing w:after="0" w:line="12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On our liquidation, dissolution or winding up, each of our common stockholders will be entitled to a pro rata dividend of any assets available for distribution to common stockholders.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Matters</w:t>
      </w:r>
    </w:p>
    <w:p>
      <w:pPr>
        <w:spacing w:after="0" w:line="11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9"/>
          <w:szCs w:val="19"/>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C Preferred Stock Underlying Our Depositary Shares</w:t>
      </w:r>
    </w:p>
    <w:p>
      <w:pPr>
        <w:spacing w:after="0" w:line="1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On August 17, 2017, we filed a certificate of designations (the “Series C Certificate of Designations”) with the Secretary of State of the State of Delaware to designate 13,800 shares of our Series C Preferred Stock with the powers, designations, preferences and other rights set forth in the Series C Certificate of Designations. The Series C Certificate of Designations became effective upon filing on August 17, 2017.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December 31, 2024. Each depositary share represents 1/1,000th of a share of Series C Preferred Stock. The depositary shares underlying the Series C Preferred Stock are listed on the Nasdaq Global Select Market under the symbol “AGNCN.”</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C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C Preferred Stock are entitled to receive, when, as and if declared by our Board of Directors, out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funds legally available for the payment of dividends, cumulative cash dividends. The initial dividend rate for the Series C Preferred Stock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including the date of original issuance to, but not including, October 15, 2022 (the “Fixed Rate Period”) was at the rate of 7.00%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$25,000 liquidation preference per share of Series C Preferred Stock per annum (equivalent to $1,750 per annum per share of Series C Preferred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or $1.75 per annum per depositary share). On and after October 15, 2022 (the “Floating Rate Period”) to, but not including, July 15,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dividends on the Series C Preferred Stock accumulated at a percentage of the $25,000 liquidation preference per share of Series C Preferred Stock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equal to an annual floating rate of the Three-Month LIBOR Rate plus a spread of 5.111%. As a result of the termination of publication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Three-Month LIBOR Rate, on and after July 15, 2023, dividends on the Series C Preferred Stock began accumulating at a percentage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$25,000 liquidation preference per share of Series C Preferred Stock equal to Three-Month CME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861" w:right="339" w:bottom="1440" w:gutter="0" w:footer="0" w:header="0"/>
        </w:sectPr>
      </w:pPr>
    </w:p>
    <w:bookmarkStart w:id="89" w:name="page90"/>
    <w:bookmarkEnd w:id="89"/>
    <w:p>
      <w:pPr>
        <w:ind w:right="20"/>
        <w:spacing w:after="0" w:line="252" w:lineRule="auto"/>
        <w:rPr>
          <w:sz w:val="20"/>
          <w:szCs w:val="20"/>
          <w:color w:val="auto"/>
        </w:rPr>
      </w:pPr>
      <w:r>
        <w:rPr>
          <w:rFonts w:ascii="Times New Roman" w:cs="Times New Roman" w:eastAsia="Times New Roman" w:hAnsi="Times New Roman"/>
          <w:sz w:val="19"/>
          <w:szCs w:val="19"/>
          <w:color w:val="auto"/>
        </w:rPr>
        <w:t>Term SOFR plus 0.26161% plus a spread of 5.111%. Dividends on the Series C Preferred Stock accumulate daily and are cumulative from, and including, the date of original issue (August 22, 2017) and are payable quarterly in arrears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C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7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C Preferred Stock became redeemable on October 15, 2022. We may, at our option, redeem any or all of the shares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Series C Preferred Stock at $25,000 per share ($25.00 per depositary share) plus any accumulated and unpaid dividends to, but not including, the redemption date. In addition, upon the occurrence of a Change of Control (as defined in the Series C Certificate of Designations),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spacing w:after="0" w:line="5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C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C Preferred Stock.</w:t>
      </w:r>
    </w:p>
    <w:p>
      <w:pPr>
        <w:spacing w:after="0" w:line="4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C Preferred Stock will generally have no voting rights. However, if we do not pay dividends on the Series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C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862"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D Preferred Stock Underlying Our Depositary Shares</w:t>
      </w:r>
    </w:p>
    <w:p>
      <w:pPr>
        <w:spacing w:after="0" w:line="1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On March 5, 2019, we filed a certificate of designations (the “Series D Certificate of Designations”) with the Secretary of State of the State of Delaware to designate 10,350 shares of our Series D Preferred Stock with the powers, designations, preferences and other rights set forth in the Series D Certificate of Designations. The Series D Certificate of Designations became effective upon filing on March 5, 2019. On March 6, 2019, we issued 9,000 shares of the Series D Preferred Stock, which shares were deposited with Computershare Inc. and Computershare Trust Company, N.A., jointly as depositary, against which depositary receipts evidencing 9,000,000 depositary shares were issued, and on March 20, 2019, we subsequently issued an additional 400 shares of the Series D Preferred Stock, which shares were deposited with Computershare Inc. and Computershare Trust Company, N.A., jointly as depositary, against which depositary receipts evidencing 400,000 depositary shares were issued, all of which remain outstanding as of December 31, 2024. Each depositary share represents 1/1,000th of a share of Series D Preferred Stock. The depositary shares underlying the Series D Preferred Stock are listed on the Nasdaq Global Select Market under the symbol “AGNCM.”</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D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D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D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D Preferred Stock from and including the date of original issuance to, but not including, April 15, 2024 (the “Fixed Rate Period”) was at the rate of 6.875% of the $25,000 liquidation preference per share of Series D Preferred Stock per annum (equivalent to $1,718.75 per annum per share of Series D Preferred Stock or $ 1.71875 per annum per depositary share). On and after April 15, 2024 (the “Floating Rate Period”), dividends on the Series D Preferred Stock began accumulating at a percentage of the $25,000 liquidation preference per share of Series D Preferred Stock equal to an annual floating rate of Three-Month CME Term SOFR plus 0.26161% plus a spread of 4.332%. Dividends on the Series D Preferred Stock accumulate daily and are cumulative from, and including, the date of original issue (March 6, 2019) and are payable quarterly in arrears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D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858" w:right="339" w:bottom="1440" w:gutter="0" w:footer="0" w:header="0"/>
        </w:sectPr>
      </w:pPr>
    </w:p>
    <w:bookmarkStart w:id="91" w:name="page92"/>
    <w:bookmarkEnd w:id="91"/>
    <w:p>
      <w:pPr>
        <w:ind w:right="120"/>
        <w:spacing w:after="0" w:line="260"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D Preferred Stock became redeemable on April 15, 2024. We may, at our option, redeem any or all of the shares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Series D Preferred Stock at $25,000 per share ($25.00 per depositary share) plus any accumulated and unpaid dividends to, but not including, the redemption date. In addition, upon the occurrence of a Change of Control, we may, at our option, redeem any or all of the shares of Series D Preferred Stock within 120 days after the first date on which such Change of Control occurred at $25,000 per share ($25.00 per depositary share) plus any accumulated and unpaid dividends to, but not including, the redemption date.</w:t>
      </w:r>
    </w:p>
    <w:p>
      <w:pPr>
        <w:spacing w:after="0" w:line="7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D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D Preferred Stock.</w:t>
      </w:r>
    </w:p>
    <w:p>
      <w:pPr>
        <w:spacing w:after="0" w:line="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D Preferred Stock will generally have no voting rights. However, if we do not pay dividends on the Series 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D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D Preferred Stock in whole 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E Preferred Stock Underlying Our Depositary Shares</w:t>
      </w:r>
    </w:p>
    <w:p>
      <w:pPr>
        <w:spacing w:after="0" w:line="1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On October 2, 2019, we filed a certificate of designations (the “Series E Certificate of Designations”) with the Secretary of State of the State of Delaware to designate 16,100 shares of our Series E Preferred Stock with the powers, designations, preferences and other rights set forth in the Series E Certificate of Designations. The Series E Certificate of Designations became effective upon filing on October 2, 2019.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December 31, 2024. Each depositary share represents 1/1,000th of a share of Series E Preferred Stock. The depositary shares underlying the Series E Preferred Stock are listed on the Nasdaq Global Select Market under the symbol “AGNCO.”</w:t>
      </w:r>
    </w:p>
    <w:p>
      <w:pPr>
        <w:spacing w:after="0" w:line="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E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E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85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E Preferred Stock are entitled to receive, when, as and if declared by our Board of Directors, out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funds legally available for the payment of dividends, cumulative cash dividends. The initial dividend rate for the Series E Preferred Stock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including the date of original issuance to, but not including, October 15, 2024 (the “Fixed Rate Period”) was at the rate of 6.50%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$25,000 liquidation preference per share of Series E Preferred Stock per annum (equivalent to $1,625 per annum per share of Series E Preferred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or $1.625 per annum per depositary share). On and after October 15, 2024 (the “Floating Rate Period”), dividends on the Series E Preferred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began accumulating at a percentage of the $25,000 liquidation preference per share of Series E Preferred Stock equal to an annual floating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 of Three-Month CME Term SOFR plus 0.26161% plus a spread of 4.993%. Dividends on the Series E Preferred Stock accumulate daily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are cumulative from, and including, the date of original issue (October 3, 2019) and are payable quarterly in arrears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day of each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April, July and October; provided that if any dividend payment date is not a business day, then the dividend which would otherwise have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been payable on that dividend payment date may be paid on the next succeeding business day. Dividends accumulate and are cumulative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including, the date of original issuance. Dividends payable for any dividend period during the Fixed Rate Period will be calculated 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basis of a 360-day year consisting of twelve 30-day months, and dividends payable for any dividend period during the Floating Rate Period will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calculated on the basis of a 360-day year and the number of days actually elapsed. Dividends will be payable to holders of record as they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appear in our stock records for the Series E Preferred Stock at the close of business on the applicable record date, which shall be the first day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calendar month, in which the applicable dividend payment date falls.</w:t>
      </w:r>
    </w:p>
    <w:p>
      <w:pPr>
        <w:spacing w:after="0" w:line="9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E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E Preferred Stock became redeemable on October 15, 2024. We may, at our option, redeem any or all of the shares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spacing w:after="0" w:line="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E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E Preferred Stock.</w:t>
      </w:r>
    </w:p>
    <w:p>
      <w:pPr>
        <w:spacing w:after="0" w:line="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E Preferred Stock will generally have no voting rights. However, if we do not pay dividends on the Series 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 dissolution or winding up, to amend any provision of our Charter so as to materially and adversely affect any rights of the Series E Preferred Stock or to take certain other actions.</w:t>
      </w:r>
    </w:p>
    <w:p>
      <w:pPr>
        <w:spacing w:after="0" w:line="7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E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E Preferred Stock in whole or in part, as described above, prior to the Change of Control Conversion Date (as defined in the Series E Certificate of Designations)) to convert some or</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860" w:right="359" w:bottom="1440" w:gutter="0" w:footer="0" w:header="0"/>
        </w:sectPr>
      </w:pPr>
    </w:p>
    <w:bookmarkStart w:id="93" w:name="page94"/>
    <w:bookmarkEnd w:id="93"/>
    <w:p>
      <w:pPr>
        <w:jc w:val="both"/>
        <w:ind w:right="220"/>
        <w:spacing w:after="0" w:line="268" w:lineRule="auto"/>
        <w:rPr>
          <w:sz w:val="20"/>
          <w:szCs w:val="20"/>
          <w:color w:val="auto"/>
        </w:rPr>
      </w:pPr>
      <w:r>
        <w:rPr>
          <w:rFonts w:ascii="Times New Roman" w:cs="Times New Roman" w:eastAsia="Times New Roman" w:hAnsi="Times New Roman"/>
          <w:sz w:val="19"/>
          <w:szCs w:val="19"/>
          <w:color w:val="auto"/>
        </w:rPr>
        <w:t>all of the 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F Preferred Stock Underlying Our Depositary Shares</w:t>
      </w:r>
    </w:p>
    <w:p>
      <w:pPr>
        <w:spacing w:after="0" w:line="1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On February 10, 2020, we filed a certificate of designations (the “Series F Certificate of Designations”) with the Secretary of State of the State of Delaware to designate 23,000 shares of our Series F Preferred Stock with the powers, designations, preferences and other rights set forth in the Series F Certificate of Designations. The Series F Certificate of Designations became effective upon filing on February 10, 2020.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December 31, 2024. Each depositary share represents 1/1,000th of a share of Series F Preferred Stock. The depositary shares underlying the Series F Preferred Stock are listed on the Nasdaq Global Select Market under the symbol “AGNCP.”</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F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F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F Preferred Stock from and including the date of original issuance to, but not including, April 15, 2025 (the “Fixed Rate Period”) is at the rate of 6.125% of the $25,000 liquidation preference per share of Series F Preferred Stock per annum (equivalent to $1,531.25 per annum per share of Series F Preferred Stock or $ 1.53125 per annum per depositary share). On and after April 15, 2025 (the “Floating Rate Period”), dividends on the Series F Preferred Stock will accumulate at a percentage of the $25,000 liquidation preference per share of Series F Preferred Stock equal to an annual floating rate of Three-Month CME Term SOFR plus 0.26161% plus a spread of 4.697%. Dividends on the Series F Preferred Stock accumulate daily and are cumulative from, and including, the date of original issue (February 11, 2020) and are payable quarterly in arrears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spacing w:after="0" w:line="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F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861" w:right="339" w:bottom="1440" w:gutter="0" w:footer="0" w:header="0"/>
        </w:sectPr>
      </w:pPr>
    </w:p>
    <w:bookmarkStart w:id="94" w:name="page95"/>
    <w:bookmarkEnd w:id="94"/>
    <w:p>
      <w:pPr>
        <w:ind w:right="280"/>
        <w:spacing w:after="0" w:line="293" w:lineRule="auto"/>
        <w:rPr>
          <w:sz w:val="20"/>
          <w:szCs w:val="20"/>
          <w:color w:val="auto"/>
        </w:rPr>
      </w:pPr>
      <w:r>
        <w:rPr>
          <w:rFonts w:ascii="Times New Roman" w:cs="Times New Roman" w:eastAsia="Times New Roman" w:hAnsi="Times New Roman"/>
          <w:sz w:val="19"/>
          <w:szCs w:val="19"/>
          <w:color w:val="auto"/>
        </w:rPr>
        <w:t>distribution of assets is made to holders of our common stock or any other class or series of our stock that we may issue that ranks junior to the Series F Preferred Stock as to liquidation rights.</w:t>
      </w:r>
    </w:p>
    <w:p>
      <w:pPr>
        <w:spacing w:after="0" w:line="2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F Preferred Stock will not be redeemable by us prior to April 15, 2025, except under circumstances intended to preserve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qualification as a REIT for federal income tax purposes and except upon the occurrence of a Change of Control (as defined in the Series F Certificate of Designations). On or after April 15, 2025, we may, at our option, redeem any or all of the shares of the Series F Preferred Stock at $25,000 per share ($25.00 per depositary share) plus any accumulated and unpaid dividends to, but not including, the redemption date. In addition, upon the occurrence of a Change of Control, we may, at our option, redeem any or all of the shares of Series F Preferred Stock within 120 days after the first date on which such Change of Control occurred at $25,000 per share ($25.00 per depositary share) plus any accumulated and unpaid dividends to, but not including, the redemption date.</w:t>
      </w:r>
    </w:p>
    <w:p>
      <w:pPr>
        <w:spacing w:after="0" w:line="6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F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F Preferred Stock.</w:t>
      </w:r>
    </w:p>
    <w:p>
      <w:pPr>
        <w:spacing w:after="0" w:line="4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F Preferred Stock will generally have no voting rights. However, if we do not pay dividends on the Series 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F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F Preferred Stock in whole 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Series G Preferred Stock Underlying Our Depositary Shares</w:t>
      </w:r>
    </w:p>
    <w:p>
      <w:pPr>
        <w:spacing w:after="0" w:line="1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On September 13, 2022, we filed a certificate of designations (the “Series G Certificate of Designations”) with the Secretary of State of the State of Delaware to designate 6,900 shares of our Series G Preferred Stock with the powers, designations, preferences and other rights set forth in the Series G Certificate of Designations. The Series G Certificate of Designations became effective upon filing on September 13, 2022. On September 14, 2022, we issued 6,000 shares of the Series G Preferred Stock, which shares were deposited with Computershare Inc. and Computershare Trust Company, N.A., jointly as depositary, against which depositary receipts evidencing 6,000,000 depositary shares were issued, all of which remain outstanding as of December 31, 2024. Each depositary share represents 1/1,000th of a share of Series G Preferred Stock. The depositary shares underlying the Series G Preferred Stock are listed on the Nasdaq Global Select Market under the symbol “AGNCL.”</w:t>
      </w:r>
    </w:p>
    <w:p>
      <w:pPr>
        <w:spacing w:after="0" w:line="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i w:val="1"/>
          <w:iCs w:val="1"/>
          <w:color w:val="auto"/>
        </w:rPr>
        <w:t>Ranking</w:t>
      </w:r>
      <w:r>
        <w:rPr>
          <w:rFonts w:ascii="Times New Roman" w:cs="Times New Roman" w:eastAsia="Times New Roman" w:hAnsi="Times New Roman"/>
          <w:sz w:val="19"/>
          <w:szCs w:val="19"/>
          <w:color w:val="auto"/>
        </w:rPr>
        <w:t>. The Series G Preferred Stock ranks, with respect to rights to the payment of dividends and the distribution of assets upon our liquidation,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G Preferred Stock with respect to rights to the payment of dividends and the distribution of assets upon our liquidation, dissolution or winding up, including the Series G Preferred Stock; (3) junior to all equity securities issued by us with terms specifically providing that those equity securities rank senior to the Series 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861" w:right="339" w:bottom="1440" w:gutter="0" w:footer="0" w:header="0"/>
        </w:sectPr>
      </w:pPr>
    </w:p>
    <w:bookmarkStart w:id="95" w:name="page96"/>
    <w:bookmarkEnd w:id="95"/>
    <w:p>
      <w:pPr>
        <w:ind w:right="220"/>
        <w:spacing w:after="0" w:line="268" w:lineRule="auto"/>
        <w:rPr>
          <w:sz w:val="20"/>
          <w:szCs w:val="20"/>
          <w:color w:val="auto"/>
        </w:rPr>
      </w:pPr>
      <w:r>
        <w:rPr>
          <w:rFonts w:ascii="Times New Roman" w:cs="Times New Roman" w:eastAsia="Times New Roman" w:hAnsi="Times New Roman"/>
          <w:sz w:val="19"/>
          <w:szCs w:val="19"/>
          <w:color w:val="auto"/>
        </w:rPr>
        <w:t>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 Holders of shares of the Series G Preferred Stock are entitled to receive, when, as and if declared by our Board of Directors,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legally available for the payment of dividends, cumulative cash dividends. The initial dividend rate for the Series G Preferred Stock from and including the date of original issuance to, but not including, October 15, 2027 is at the rate of 7.75% of the $25,000 liquidation preference per share of Series G Preferred Stock per annum (equivalent to $1,937.50 per annum per share of Series G Preferred Stock or $1.93750 per annum per depositary share). On and after October 15, 2027, dividends on the Series G Preferred Stock will accumulate at a percentage of the $25,000 liquidation preference per share of Series G Preferred Stock during each reset period at a rate per annum equal to the five-year U.S. Treasury Rate as of the most recent dividend determination date plus a spread of 4.39% per annum. The “reset period” means the period from, and including, the first reset date and each date falling on the fifth anniversary of the preceding reset date but excluding the next following reset date. Dividends on the Series G Preferred Stock are payable quarterly in arrears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will be calculated on the basis of a 360-day year consisting of twelve 30-day months. Dividends will be payable to holders of record as they appear in our stock records for the Series G Preferred Stock at the close of business on the applicable record date, which shall be the first day of the calendar month, in which the applicable dividend payment date falls.</w:t>
      </w:r>
    </w:p>
    <w:p>
      <w:pPr>
        <w:spacing w:after="0" w:line="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i w:val="1"/>
          <w:iCs w:val="1"/>
          <w:color w:val="auto"/>
        </w:rPr>
        <w:t>Liquidation Preference</w:t>
      </w:r>
      <w:r>
        <w:rPr>
          <w:rFonts w:ascii="Times New Roman" w:cs="Times New Roman" w:eastAsia="Times New Roman" w:hAnsi="Times New Roman"/>
          <w:sz w:val="19"/>
          <w:szCs w:val="19"/>
          <w:color w:val="auto"/>
        </w:rPr>
        <w:t>. In the event of our voluntary or involuntary liquidation, dissolution or winding up, holders of the Series G Preferred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be entitled to be paid out of the assets we have legally available for distribution to our stockholders, subject to the preferential rights of the holders of any class or series of our capital stock we may issue ranking senior to the Series G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G Preferred Stock as to liquidation rights.</w:t>
      </w:r>
    </w:p>
    <w:p>
      <w:pPr>
        <w:spacing w:after="0" w:line="6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i w:val="1"/>
          <w:iCs w:val="1"/>
          <w:color w:val="auto"/>
        </w:rPr>
        <w:t>Redemption</w:t>
      </w:r>
      <w:r>
        <w:rPr>
          <w:rFonts w:ascii="Times New Roman" w:cs="Times New Roman" w:eastAsia="Times New Roman" w:hAnsi="Times New Roman"/>
          <w:sz w:val="19"/>
          <w:szCs w:val="19"/>
          <w:color w:val="auto"/>
        </w:rPr>
        <w:t>. The Series G Preferred Stock will not be redeemable by us prior to October 15, 2027, except under circumstances intended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preserve our qualification as a REIT for federal income tax purposes and except upon the occurrence of a Change of Control (as defined in the Series G Certificate of Designations). On or after October 15, 2027, we may, at our option, redeem any or all of the shares of the Series G Preferred Stock at $25,000 per share ($25.00 per depositary share) plus any accumulated and unpaid dividends to, but not including, the redemption date. In addition, upon the occurrence of a Change of Control, we may, at our option, redeem any or all of the shares of Series G Preferred Stock within 120 days after the first date on which such Change of Control occurred at $25,000 per share ($25.00 per depositary share) plus any accumulated and unpaid dividends to, but not including, the redemption date.</w:t>
      </w:r>
    </w:p>
    <w:p>
      <w:pPr>
        <w:spacing w:after="0" w:line="6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The Series G Preferred Stock has no stated maturity, is not subject to any sinking fund or mandatory redemption and will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indefinitely unless repurchased or redeemed by us or converted into our common stock in connection with a Change of Control by the holders of Series G Preferred Stock.</w:t>
      </w:r>
    </w:p>
    <w:p>
      <w:pPr>
        <w:spacing w:after="0" w:line="4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i w:val="1"/>
          <w:iCs w:val="1"/>
          <w:color w:val="auto"/>
        </w:rPr>
        <w:t>Voting Rights</w:t>
      </w:r>
      <w:r>
        <w:rPr>
          <w:rFonts w:ascii="Times New Roman" w:cs="Times New Roman" w:eastAsia="Times New Roman" w:hAnsi="Times New Roman"/>
          <w:sz w:val="19"/>
          <w:szCs w:val="19"/>
          <w:color w:val="auto"/>
        </w:rPr>
        <w:t>. Holders of Series G Preferred Stock will generally have no voting rights. However, if we do not pay dividends on the Series 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for six or more quarterly dividend periods (whether or not consecutive), the holders of the Series G Preferred Stock (voting separately as a class with the holders of all other classes or series of our preferred stock we may issue upon which like voting rights have been conferred and are exercisable and which are entitled to vote as a class with the Series G Preferred Stock in the election referred to below) will be entitled to vote for the election of two additional directors to serve on our Board of Directors until we pay, or declare and set aside funds for the payment of, all dividends that we owe on the Series G Preferred Stock, subject to certain limitations. In addition, the affirmative vote of the holders of at least two-thirds of the outstanding shares of Series G Preferred Stock is required for us to authorize or issue any class or series of stock ranking senior to the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862" w:right="339" w:bottom="1440" w:gutter="0" w:footer="0" w:header="0"/>
        </w:sectPr>
      </w:pPr>
    </w:p>
    <w:bookmarkStart w:id="96" w:name="page97"/>
    <w:bookmarkEnd w:id="96"/>
    <w:p>
      <w:pPr>
        <w:ind w:right="20"/>
        <w:spacing w:after="0" w:line="293" w:lineRule="auto"/>
        <w:rPr>
          <w:sz w:val="20"/>
          <w:szCs w:val="20"/>
          <w:color w:val="auto"/>
        </w:rPr>
      </w:pPr>
      <w:r>
        <w:rPr>
          <w:rFonts w:ascii="Times New Roman" w:cs="Times New Roman" w:eastAsia="Times New Roman" w:hAnsi="Times New Roman"/>
          <w:sz w:val="19"/>
          <w:szCs w:val="19"/>
          <w:color w:val="auto"/>
        </w:rPr>
        <w:t>Series G Preferred Stock with respect to the payment of dividends or the distribution of assets on liquidation, dissolution or winding up, to amend any provision of our Charter so as to materially and adversely affect any rights of the Series G Preferred Stock or to take certain other actions.</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i w:val="1"/>
          <w:iCs w:val="1"/>
          <w:color w:val="auto"/>
        </w:rPr>
        <w:t>Conversion</w:t>
      </w:r>
      <w:r>
        <w:rPr>
          <w:rFonts w:ascii="Times New Roman" w:cs="Times New Roman" w:eastAsia="Times New Roman" w:hAnsi="Times New Roman"/>
          <w:sz w:val="19"/>
          <w:szCs w:val="19"/>
          <w:color w:val="auto"/>
        </w:rPr>
        <w:t>. Upon the occurrence of a Change of Control, each holder of Series G Preferred Stock will have the right (subject to our election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redeem the Series G Preferred Stock in whole or in part, as described above, prior to the Change of Control Conversion Date (as defined in the Series G Certificate of Designations)) to convert some or all of the Series G Preferred Stock held by such holder on the Change of Control Conversion Date into a number of shares of our common stock per share of Series G Preferred Stock determined by a formula, in each case, on the terms and subject to the conditions described in the Series G Certificate of Designations, including provisions for the receipt, under specified circumstances, of alternative consideration.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Restrictions on Ownership and Transfer of Our Capital Stock</w:t>
      </w:r>
    </w:p>
    <w:p>
      <w:pPr>
        <w:spacing w:after="0" w:line="11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30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00"/>
          </w:cols>
          <w:pgMar w:left="320" w:top="862" w:right="379" w:bottom="1440" w:gutter="0" w:footer="0" w:header="0"/>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9"/>
          <w:szCs w:val="19"/>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6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861" w:right="339" w:bottom="1440" w:gutter="0" w:footer="0" w:header="0"/>
        </w:sectPr>
      </w:pPr>
    </w:p>
    <w:bookmarkStart w:id="98" w:name="page99"/>
    <w:bookmarkEnd w:id="98"/>
    <w:p>
      <w:pPr>
        <w:ind w:right="20"/>
        <w:spacing w:after="0" w:line="293" w:lineRule="auto"/>
        <w:rPr>
          <w:sz w:val="20"/>
          <w:szCs w:val="20"/>
          <w:color w:val="auto"/>
        </w:rPr>
      </w:pPr>
      <w:r>
        <w:rPr>
          <w:rFonts w:ascii="Times New Roman" w:cs="Times New Roman" w:eastAsia="Times New Roman" w:hAnsi="Times New Roman"/>
          <w:sz w:val="19"/>
          <w:szCs w:val="19"/>
          <w:color w:val="auto"/>
        </w:rPr>
        <w:t>These ownership limitations could delay, defer or prevent a transaction or a change in control that might involve a premium price for our common stock or might otherwise be in the best interests of our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Anti-Takeover Effects of Delaware Law and Our Charter and Bylaws</w:t>
      </w:r>
    </w:p>
    <w:p>
      <w:pPr>
        <w:spacing w:after="0" w:line="12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Action by Written Consent</w:t>
      </w:r>
    </w:p>
    <w:p>
      <w:pPr>
        <w:spacing w:after="0" w:line="12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9"/>
          <w:szCs w:val="19"/>
          <w:color w:val="auto"/>
        </w:rPr>
        <w:t>Our Charter provides that stockholder action may not be taken by written consent in lieu of a meeting and that stockholder action may be taken only at an annual or special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Elimination of the Ability to Call Special Meetings</w:t>
      </w:r>
    </w:p>
    <w:p>
      <w:pPr>
        <w:spacing w:after="0" w:line="125"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9"/>
          <w:szCs w:val="19"/>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Removal of Directors; Board of Directors Vacancies</w:t>
      </w:r>
    </w:p>
    <w:p>
      <w:pPr>
        <w:spacing w:after="0" w:line="1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Our Charter provides that members of our Board of Directors may be removed at any time with or without cause,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Amendment of Certificate of Incorporation and By-laws</w:t>
      </w:r>
    </w:p>
    <w:p>
      <w:pPr>
        <w:spacing w:after="0" w:line="1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8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862"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color w:val="auto"/>
        </w:rPr>
        <w:t>Section 203 of the DGCL</w:t>
      </w:r>
    </w:p>
    <w:p>
      <w:pPr>
        <w:spacing w:after="0" w:line="1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60"/>
          </w:cols>
          <w:pgMar w:left="320" w:top="860" w:right="4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color w:val="auto"/>
        </w:rPr>
        <w:t>Exhibit 19</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AGNC Investment Corp. Policy on Insider Trading</w:t>
      </w:r>
    </w:p>
    <w:p>
      <w:pPr>
        <w:spacing w:after="0" w:line="200" w:lineRule="exact"/>
        <w:rPr>
          <w:sz w:val="20"/>
          <w:szCs w:val="20"/>
          <w:color w:val="auto"/>
        </w:rPr>
      </w:pPr>
    </w:p>
    <w:p>
      <w:pPr>
        <w:spacing w:after="0" w:line="25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1"/>
          <w:szCs w:val="21"/>
          <w:color w:val="auto"/>
        </w:rPr>
        <w:t>AGNC Investment Corp. (“AGNC”) has adopted this Insider Trading Policy (the “Policy”) to describe the standards of AGNC (together with its wholly-owned subsidiaries, the “Company”) on trading, and causing the trading of, the Company’s securities or securities of certain other publicly traded companies while in possession of material information about the Company or other entities that is not available to the investing public (referenced herein as “material nonpublic information,” as explained in this Policy under Part I, Section 3 below).</w:t>
      </w:r>
    </w:p>
    <w:p>
      <w:pPr>
        <w:spacing w:after="0" w:line="6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1"/>
          <w:szCs w:val="21"/>
          <w:color w:val="auto"/>
        </w:rPr>
        <w:t>This Policy is divided into two parts. The first part prohibits trading securities of the Company or certain other publicly traded companies in certain circumstances and applies to all directors, officers, employees and independent contractors of the Company (collectively, “AGNC People” or each an “AGNC Person”) and their respective immediate family members, such as spouses, minor children, adult family members who share the same household, and any other person or entity whose securities trading decisions are influenced or controlled by the AGNC Person (collectively, “Related Persons”). The second part imposes additional trading restrictions on all (i) directors of the Company, (ii) executive officers of the Company (together with the directors, “Company Insiders”), (iii) certain other employees that the Company may designate from time to time as a result of their position, responsibilities, or their actual or potential access to material nonpublic information (together with Company Insiders, “Covered Persons”), and (iv) such Covered Persons’ Related Persons.</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1"/>
          <w:szCs w:val="21"/>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other companies or to provide that information to others outside the Company. The prohibitions against insider trading apply to trades, tips, and recommendations by all AGNC People and their Related Persons. It is also the policy of the Company that the Company will not engage in transactions in Company securities while aware of material nonpublic information relating to the Company or Company securities.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177" w:lineRule="exact"/>
        <w:rPr>
          <w:sz w:val="20"/>
          <w:szCs w:val="20"/>
          <w:color w:val="auto"/>
        </w:rPr>
      </w:pPr>
    </w:p>
    <w:p>
      <w:pPr>
        <w:ind w:left="220" w:hanging="215"/>
        <w:spacing w:after="0"/>
        <w:tabs>
          <w:tab w:leader="none" w:pos="22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Applicability</w:t>
      </w:r>
    </w:p>
    <w:p>
      <w:pPr>
        <w:spacing w:after="0" w:line="2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color w:val="auto"/>
        </w:rPr>
        <w:t>This Policy applies to transactions in the Company’s securities, including common stock, preferred stock, options, and any other securities that the Company may issue, such as notes, bonds, and convertible securities, as well as derivative securities relating to any of the Company’s securities, whether or not issued by the Company. This Policy also prohibits trading in securities of certain other companies, as explained below in Section 2(c).</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applies to all AGNC People and their respective Related Persons.</w:t>
      </w:r>
    </w:p>
    <w:p>
      <w:pPr>
        <w:spacing w:after="0" w:line="200" w:lineRule="exact"/>
        <w:rPr>
          <w:sz w:val="20"/>
          <w:szCs w:val="20"/>
          <w:color w:val="auto"/>
        </w:rPr>
      </w:pPr>
    </w:p>
    <w:p>
      <w:pPr>
        <w:spacing w:after="0" w:line="247" w:lineRule="exact"/>
        <w:rPr>
          <w:sz w:val="20"/>
          <w:szCs w:val="20"/>
          <w:color w:val="auto"/>
        </w:rPr>
      </w:pPr>
    </w:p>
    <w:p>
      <w:pPr>
        <w:ind w:left="220" w:hanging="215"/>
        <w:spacing w:after="0"/>
        <w:tabs>
          <w:tab w:leader="none" w:pos="22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Policy: No Trading or Causing Trading While in Possession of Material Nonpublic Information</w:t>
      </w:r>
    </w:p>
    <w:p>
      <w:pPr>
        <w:sectPr>
          <w:pgSz w:w="11900" w:h="16838" w:orient="portrait"/>
          <w:cols w:equalWidth="0" w:num="1">
            <w:col w:w="11240"/>
          </w:cols>
          <w:pgMar w:left="320" w:top="870" w:right="339" w:bottom="1440" w:gutter="0" w:footer="0" w:header="0"/>
        </w:sectPr>
      </w:pPr>
    </w:p>
    <w:bookmarkStart w:id="101" w:name="page102"/>
    <w:bookmarkEnd w:id="101"/>
    <w:p>
      <w:pPr>
        <w:ind w:right="80" w:firstLine="632"/>
        <w:spacing w:after="0" w:line="277" w:lineRule="auto"/>
        <w:tabs>
          <w:tab w:leader="none" w:pos="911"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AGNC Person or any of his or her Related Persons may purchase or sell, offer to purchase or sell, or gift or donate any Company security while in possession of material nonpublic information about the Company.</w:t>
      </w:r>
    </w:p>
    <w:p>
      <w:pPr>
        <w:spacing w:after="0" w:line="43" w:lineRule="exact"/>
        <w:rPr>
          <w:rFonts w:ascii="Times New Roman" w:cs="Times New Roman" w:eastAsia="Times New Roman" w:hAnsi="Times New Roman"/>
          <w:sz w:val="21"/>
          <w:szCs w:val="21"/>
          <w:color w:val="auto"/>
        </w:rPr>
      </w:pPr>
    </w:p>
    <w:p>
      <w:pPr>
        <w:ind w:right="100" w:firstLine="632"/>
        <w:spacing w:after="0" w:line="255" w:lineRule="auto"/>
        <w:tabs>
          <w:tab w:leader="none" w:pos="92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AGNC Person or any of his or her Related Persons who are in possession of any material nonpublic information about the Company may communicate that information to, or tip, any other person, including family members and friends, or otherwise disclose such information without the Company’s authorization. You should only disclose or discuss material nonpublic information with other AGNC Persons who need to know, or use, the information as part of their employment or service for the Company. You should discuss with your supervisor or the Compliance Officer any questions you may have about sharing information within or outside the Company.</w:t>
      </w:r>
    </w:p>
    <w:p>
      <w:pPr>
        <w:spacing w:after="0" w:line="81" w:lineRule="exact"/>
        <w:rPr>
          <w:rFonts w:ascii="Times New Roman" w:cs="Times New Roman" w:eastAsia="Times New Roman" w:hAnsi="Times New Roman"/>
          <w:sz w:val="21"/>
          <w:szCs w:val="21"/>
          <w:color w:val="auto"/>
        </w:rPr>
      </w:pPr>
    </w:p>
    <w:p>
      <w:pPr>
        <w:ind w:firstLine="632"/>
        <w:spacing w:after="0" w:line="252" w:lineRule="auto"/>
        <w:tabs>
          <w:tab w:leader="none" w:pos="911"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no AGNC Person or any of his or her Related Persons may purchase or sell any security of any other company with which the Company does business or is involved in a potential transaction or business relationship with the Company, while in possession of material nonpublic information relevant to such other company that was obtained in the course of the AGNC Person’s employment or service with the Company. No AGNC Person or any of his or her Related Persons who is in possession of any such material nonpublic information may communicate that information to, or tip, any other person, including family members and friends, or otherwise disclose such information without the Company’s prior written authorization.</w:t>
      </w:r>
    </w:p>
    <w:p>
      <w:pPr>
        <w:spacing w:after="0" w:line="86" w:lineRule="exact"/>
        <w:rPr>
          <w:rFonts w:ascii="Times New Roman" w:cs="Times New Roman" w:eastAsia="Times New Roman" w:hAnsi="Times New Roman"/>
          <w:sz w:val="21"/>
          <w:szCs w:val="21"/>
          <w:color w:val="auto"/>
        </w:rPr>
      </w:pPr>
    </w:p>
    <w:p>
      <w:pPr>
        <w:jc w:val="both"/>
        <w:ind w:right="340" w:firstLine="632"/>
        <w:spacing w:after="0" w:line="256" w:lineRule="auto"/>
        <w:tabs>
          <w:tab w:leader="none" w:pos="92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compliance purposes, no AGNC Person or any of his or her Related Persons should ever trade, tip, or recommend securities (or otherwise cause the purchase or sale of securities) of the Company or any other company as described in Section 1 above while in possession of information that the AGNC Person or Related Person has reason to believe is material and nonpublic unless the AGNC Person first consults with, and obtains the advance approval of, the Compliance Officer.</w:t>
      </w:r>
    </w:p>
    <w:p>
      <w:pPr>
        <w:spacing w:after="0" w:line="67" w:lineRule="exact"/>
        <w:rPr>
          <w:rFonts w:ascii="Times New Roman" w:cs="Times New Roman" w:eastAsia="Times New Roman" w:hAnsi="Times New Roman"/>
          <w:sz w:val="21"/>
          <w:szCs w:val="21"/>
          <w:color w:val="auto"/>
        </w:rPr>
      </w:pPr>
    </w:p>
    <w:p>
      <w:pPr>
        <w:ind w:right="240" w:firstLine="632"/>
        <w:spacing w:after="0" w:line="290" w:lineRule="auto"/>
        <w:tabs>
          <w:tab w:leader="none" w:pos="911"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Persons must “pre-clear” all trading in securities of the Company in accordance with the procedures set forth in Part II, Section 2 below.</w:t>
      </w:r>
    </w:p>
    <w:p>
      <w:pPr>
        <w:spacing w:after="0" w:line="366" w:lineRule="exact"/>
        <w:rPr>
          <w:rFonts w:ascii="Times New Roman" w:cs="Times New Roman" w:eastAsia="Times New Roman" w:hAnsi="Times New Roman"/>
          <w:sz w:val="21"/>
          <w:szCs w:val="21"/>
          <w:color w:val="auto"/>
        </w:rPr>
      </w:pPr>
    </w:p>
    <w:p>
      <w:pPr>
        <w:ind w:left="220" w:hanging="215"/>
        <w:spacing w:after="0"/>
        <w:tabs>
          <w:tab w:leader="none" w:pos="22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350" w:lineRule="exact"/>
        <w:rPr>
          <w:rFonts w:ascii="Times New Roman" w:cs="Times New Roman" w:eastAsia="Times New Roman" w:hAnsi="Times New Roman"/>
          <w:sz w:val="21"/>
          <w:szCs w:val="21"/>
          <w:b w:val="1"/>
          <w:bCs w:val="1"/>
          <w:color w:val="auto"/>
        </w:rPr>
      </w:pPr>
    </w:p>
    <w:p>
      <w:pPr>
        <w:ind w:right="100" w:firstLine="632"/>
        <w:spacing w:after="0" w:line="261" w:lineRule="auto"/>
        <w:tabs>
          <w:tab w:leader="none" w:pos="91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Insider trading restrictions come into play only if the information you possess is “material.” Information is generally regarded as “material” if there is a substantial likelihood that a reasonable investor would consider it important in making a decision to buy, sell, or hold a security or where the fact is likely to have a significant effect on the market price of the security. Both positive and negative information may be material.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Possible information or events that may be material include, but are not limited to:</w:t>
      </w:r>
    </w:p>
    <w:p>
      <w:pPr>
        <w:spacing w:after="0" w:line="59" w:lineRule="exact"/>
        <w:rPr>
          <w:sz w:val="20"/>
          <w:szCs w:val="20"/>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information and quarterly results;</w:t>
      </w:r>
    </w:p>
    <w:p>
      <w:pPr>
        <w:spacing w:after="0" w:line="59" w:lineRule="exact"/>
        <w:rPr>
          <w:rFonts w:ascii="Times New Roman" w:cs="Times New Roman" w:eastAsia="Times New Roman" w:hAnsi="Times New Roman"/>
          <w:sz w:val="21"/>
          <w:szCs w:val="21"/>
          <w:color w:val="auto"/>
        </w:rPr>
      </w:pPr>
    </w:p>
    <w:p>
      <w:pPr>
        <w:ind w:left="560" w:right="460" w:hanging="242"/>
        <w:spacing w:after="0" w:line="272" w:lineRule="auto"/>
        <w:tabs>
          <w:tab w:leader="none" w:pos="45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Guidance/statements on earnings estimates, including confirmation or any update as to whether performance will be higher, lower or the same as any guidance or estimates;</w:t>
      </w:r>
    </w:p>
    <w:p>
      <w:pPr>
        <w:spacing w:after="0" w:line="1"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Portfolio performance;</w:t>
      </w:r>
    </w:p>
    <w:p>
      <w:pPr>
        <w:spacing w:after="0" w:line="72"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Mergers, acquisitions, tender offers, joint ventures, or significant changes in assets;</w:t>
      </w:r>
    </w:p>
    <w:p>
      <w:pPr>
        <w:spacing w:after="0" w:line="5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new business lines, contracts or arrangements;</w:t>
      </w:r>
    </w:p>
    <w:p>
      <w:pPr>
        <w:spacing w:after="0" w:line="5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changes to the Company’s leverage levels or risk position;</w:t>
      </w:r>
    </w:p>
    <w:p>
      <w:pPr>
        <w:spacing w:after="0" w:line="5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executive officers or management of the Company;</w:t>
      </w:r>
    </w:p>
    <w:p>
      <w:pPr>
        <w:spacing w:after="0" w:line="5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auditors or auditor notification that the issuer may no longer rely on an audit report;</w:t>
      </w:r>
    </w:p>
    <w:p>
      <w:pPr>
        <w:spacing w:after="0" w:line="72"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risks and incidents;</w:t>
      </w:r>
    </w:p>
    <w:p>
      <w:pPr>
        <w:sectPr>
          <w:pgSz w:w="11900" w:h="16838" w:orient="portrait"/>
          <w:cols w:equalWidth="0" w:num="1">
            <w:col w:w="11240"/>
          </w:cols>
          <w:pgMar w:left="320" w:top="870" w:right="339" w:bottom="1440" w:gutter="0" w:footer="0" w:header="0"/>
        </w:sectPr>
      </w:pPr>
    </w:p>
    <w:bookmarkStart w:id="102" w:name="page103"/>
    <w:bookmarkEnd w:id="102"/>
    <w:p>
      <w:pPr>
        <w:ind w:left="480" w:right="160" w:hanging="162"/>
        <w:spacing w:after="0" w:line="262" w:lineRule="auto"/>
        <w:tabs>
          <w:tab w:leader="none" w:pos="44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regarding the Company’s securities (such as calls of securities for redemption, repurchase plans, stock splits or changes in dividends, changes to the rights of securityholders, public or private sales of additional securities, defaults on senior securities, or information related to any additional funding);</w:t>
      </w:r>
    </w:p>
    <w:p>
      <w:pPr>
        <w:spacing w:after="0" w:line="1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Bankruptcies or receiverships;</w:t>
      </w:r>
    </w:p>
    <w:p>
      <w:pPr>
        <w:spacing w:after="0" w:line="5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Investigations, litigation or similar proceedings; and</w:t>
      </w:r>
    </w:p>
    <w:p>
      <w:pPr>
        <w:spacing w:after="0" w:line="59" w:lineRule="exact"/>
        <w:rPr>
          <w:rFonts w:ascii="Times New Roman" w:cs="Times New Roman" w:eastAsia="Times New Roman" w:hAnsi="Times New Roman"/>
          <w:sz w:val="21"/>
          <w:szCs w:val="21"/>
          <w:color w:val="auto"/>
        </w:rPr>
      </w:pPr>
    </w:p>
    <w:p>
      <w:pPr>
        <w:ind w:left="440" w:hanging="122"/>
        <w:spacing w:after="0"/>
        <w:tabs>
          <w:tab w:leader="none" w:pos="4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Regulatory approvals or changes in regulations and any analysis of how they affect the Company.</w:t>
      </w:r>
    </w:p>
    <w:p>
      <w:pPr>
        <w:spacing w:after="0" w:line="11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1"/>
          <w:szCs w:val="21"/>
          <w:color w:val="auto"/>
        </w:rPr>
        <w:t>Material information is not limited to historical facts but may also include projections and forecasts. With respect to a future event, such as a merger or acquisition the point at which negotiations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w:t>
      </w:r>
    </w:p>
    <w:p>
      <w:pPr>
        <w:spacing w:after="0" w:line="303" w:lineRule="exact"/>
        <w:rPr>
          <w:sz w:val="20"/>
          <w:szCs w:val="20"/>
          <w:color w:val="auto"/>
        </w:rPr>
      </w:pPr>
    </w:p>
    <w:p>
      <w:pPr>
        <w:ind w:firstLine="632"/>
        <w:spacing w:after="0" w:line="265" w:lineRule="auto"/>
        <w:tabs>
          <w:tab w:leader="none" w:pos="92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Nonpublic</w:t>
      </w:r>
      <w:r>
        <w:rPr>
          <w:rFonts w:ascii="Times New Roman" w:cs="Times New Roman" w:eastAsia="Times New Roman" w:hAnsi="Times New Roman"/>
          <w:sz w:val="20"/>
          <w:szCs w:val="20"/>
          <w:color w:val="auto"/>
        </w:rPr>
        <w:t>. Insider trading prohibitions come into play only when you possess information that is material and “nonpublic.” To be “public” the information must have been disseminated in a manner designed to reach investors generally, and sufficient time must have passed for the investors to absorb the information. You should presume that information about the Company is nonpublic, unless you can point to the official public release of that information by the Company in publicly available filings with the Securities and Exchange Commission or any other disclosure method that complies with Securities and Exchange Commission Regulation FD. These methods include (i) press releases made via major newswire such as PRNewswire, Dow Jones, or Reuters and</w:t>
      </w:r>
    </w:p>
    <w:p>
      <w:pPr>
        <w:spacing w:after="0" w:line="3" w:lineRule="exact"/>
        <w:rPr>
          <w:rFonts w:ascii="Times New Roman" w:cs="Times New Roman" w:eastAsia="Times New Roman" w:hAnsi="Times New Roman"/>
          <w:sz w:val="20"/>
          <w:szCs w:val="20"/>
          <w:color w:val="auto"/>
        </w:rPr>
      </w:pPr>
    </w:p>
    <w:p>
      <w:pPr>
        <w:ind w:right="40" w:firstLine="5"/>
        <w:spacing w:after="0" w:line="253" w:lineRule="auto"/>
        <w:tabs>
          <w:tab w:leader="none" w:pos="30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investor presentation (in written or other form of media as presented), provided that the Company has publicly announced the presentation via major newswire, including the date and time of such presentation and the availability on the Company’s website of any presentation materials and any recording of such presentation. Other forms of disclosure may not make information public, and you should consult with the Company’s Legal Department if you have any question whether information is public or nonpublic.</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Nonpublic information may include:</w:t>
      </w:r>
    </w:p>
    <w:p>
      <w:pPr>
        <w:spacing w:after="0" w:line="59" w:lineRule="exact"/>
        <w:rPr>
          <w:sz w:val="20"/>
          <w:szCs w:val="20"/>
          <w:color w:val="auto"/>
        </w:rPr>
      </w:pPr>
    </w:p>
    <w:p>
      <w:pPr>
        <w:ind w:left="880" w:hanging="248"/>
        <w:spacing w:after="0"/>
        <w:tabs>
          <w:tab w:leader="none" w:pos="8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undisclosed facts that are the subject of rumors, even if the rumors are widely circulated; and</w:t>
      </w:r>
    </w:p>
    <w:p>
      <w:pPr>
        <w:spacing w:after="0" w:line="72" w:lineRule="exact"/>
        <w:rPr>
          <w:rFonts w:ascii="Times New Roman" w:cs="Times New Roman" w:eastAsia="Times New Roman" w:hAnsi="Times New Roman"/>
          <w:sz w:val="21"/>
          <w:szCs w:val="21"/>
          <w:color w:val="auto"/>
        </w:rPr>
      </w:pPr>
    </w:p>
    <w:p>
      <w:pPr>
        <w:ind w:left="940" w:hanging="308"/>
        <w:spacing w:after="0"/>
        <w:tabs>
          <w:tab w:leader="none" w:pos="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has been entrusted to the Company on a confidential basis until a public announcement of the information</w:t>
      </w:r>
    </w:p>
    <w:p>
      <w:pPr>
        <w:spacing w:after="0" w:line="42" w:lineRule="exact"/>
        <w:rPr>
          <w:rFonts w:ascii="Times New Roman" w:cs="Times New Roman" w:eastAsia="Times New Roman" w:hAnsi="Times New Roman"/>
          <w:sz w:val="20"/>
          <w:szCs w:val="20"/>
          <w:color w:val="auto"/>
        </w:rPr>
      </w:pPr>
    </w:p>
    <w:p>
      <w:pPr>
        <w:ind w:left="1260" w:right="32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has been made and enough time has elapsed for the market to respond to a public announcement of the information (normally one trading day).</w:t>
      </w:r>
    </w:p>
    <w:p>
      <w:pPr>
        <w:spacing w:after="0" w:line="19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1"/>
          <w:szCs w:val="21"/>
          <w:color w:val="auto"/>
        </w:rPr>
        <w:t>Even after public disclosure of information about the Company, you must wait until the close of business on the first full trading day after the information was publicly disclosed before you can treat the information as public.</w:t>
      </w:r>
    </w:p>
    <w:p>
      <w:pPr>
        <w:spacing w:after="0" w:line="17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1"/>
          <w:szCs w:val="21"/>
          <w:b w:val="1"/>
          <w:bCs w:val="1"/>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53" w:lineRule="exact"/>
        <w:rPr>
          <w:sz w:val="20"/>
          <w:szCs w:val="20"/>
          <w:color w:val="auto"/>
        </w:rPr>
      </w:pPr>
    </w:p>
    <w:p>
      <w:pPr>
        <w:ind w:left="220" w:hanging="215"/>
        <w:spacing w:after="0"/>
        <w:tabs>
          <w:tab w:leader="none" w:pos="22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Prohibited Transactions</w:t>
      </w:r>
    </w:p>
    <w:p>
      <w:pPr>
        <w:sectPr>
          <w:pgSz w:w="11900" w:h="16838" w:orient="portrait"/>
          <w:cols w:equalWidth="0" w:num="1">
            <w:col w:w="11220"/>
          </w:cols>
          <w:pgMar w:left="320" w:top="870" w:right="359" w:bottom="1440" w:gutter="0" w:footer="0" w:header="0"/>
        </w:sectPr>
      </w:pPr>
    </w:p>
    <w:bookmarkStart w:id="103" w:name="page104"/>
    <w:bookmarkEnd w:id="103"/>
    <w:p>
      <w:pPr>
        <w:ind w:right="40"/>
        <w:spacing w:after="0" w:line="272" w:lineRule="auto"/>
        <w:rPr>
          <w:sz w:val="20"/>
          <w:szCs w:val="20"/>
          <w:color w:val="auto"/>
        </w:rPr>
      </w:pPr>
      <w:r>
        <w:rPr>
          <w:rFonts w:ascii="Times New Roman" w:cs="Times New Roman" w:eastAsia="Times New Roman" w:hAnsi="Times New Roman"/>
          <w:sz w:val="21"/>
          <w:szCs w:val="21"/>
          <w:color w:val="auto"/>
        </w:rPr>
        <w:t>All AGNC Persons and their Related Persons may not engage in the following transactions due to the heightened legal risk associated with them:</w:t>
      </w:r>
    </w:p>
    <w:p>
      <w:pPr>
        <w:spacing w:after="0" w:line="2" w:lineRule="exact"/>
        <w:rPr>
          <w:sz w:val="20"/>
          <w:szCs w:val="20"/>
          <w:color w:val="auto"/>
        </w:rPr>
      </w:pPr>
    </w:p>
    <w:p>
      <w:pPr>
        <w:ind w:left="920" w:hanging="288"/>
        <w:spacing w:after="0"/>
        <w:tabs>
          <w:tab w:leader="none" w:pos="9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Short Sales</w:t>
      </w:r>
      <w:r>
        <w:rPr>
          <w:rFonts w:ascii="Times New Roman" w:cs="Times New Roman" w:eastAsia="Times New Roman" w:hAnsi="Times New Roman"/>
          <w:sz w:val="21"/>
          <w:szCs w:val="21"/>
          <w:color w:val="auto"/>
        </w:rPr>
        <w:t>. You may not sell the Company’s securities short.</w:t>
      </w:r>
    </w:p>
    <w:p>
      <w:pPr>
        <w:spacing w:after="0" w:line="124" w:lineRule="exact"/>
        <w:rPr>
          <w:rFonts w:ascii="Times New Roman" w:cs="Times New Roman" w:eastAsia="Times New Roman" w:hAnsi="Times New Roman"/>
          <w:sz w:val="21"/>
          <w:szCs w:val="21"/>
          <w:color w:val="auto"/>
        </w:rPr>
      </w:pPr>
    </w:p>
    <w:p>
      <w:pPr>
        <w:ind w:right="580" w:firstLine="632"/>
        <w:spacing w:after="0" w:line="277" w:lineRule="auto"/>
        <w:tabs>
          <w:tab w:leader="none" w:pos="92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Derivative Transactions</w:t>
      </w:r>
      <w:r>
        <w:rPr>
          <w:rFonts w:ascii="Times New Roman" w:cs="Times New Roman" w:eastAsia="Times New Roman" w:hAnsi="Times New Roman"/>
          <w:sz w:val="21"/>
          <w:szCs w:val="21"/>
          <w:color w:val="auto"/>
        </w:rPr>
        <w:t>. You may not trade in any options, warrants, puts, calls, collars, forwards, futures, swaps, or similar instruments on Company securities.</w:t>
      </w:r>
    </w:p>
    <w:p>
      <w:pPr>
        <w:spacing w:after="0" w:line="43" w:lineRule="exact"/>
        <w:rPr>
          <w:rFonts w:ascii="Times New Roman" w:cs="Times New Roman" w:eastAsia="Times New Roman" w:hAnsi="Times New Roman"/>
          <w:sz w:val="21"/>
          <w:szCs w:val="21"/>
          <w:color w:val="auto"/>
        </w:rPr>
      </w:pPr>
    </w:p>
    <w:p>
      <w:pPr>
        <w:ind w:right="160" w:firstLine="632"/>
        <w:spacing w:after="0" w:line="277" w:lineRule="auto"/>
        <w:tabs>
          <w:tab w:leader="none" w:pos="91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on Margin or Pledging</w:t>
      </w:r>
      <w:r>
        <w:rPr>
          <w:rFonts w:ascii="Times New Roman" w:cs="Times New Roman" w:eastAsia="Times New Roman" w:hAnsi="Times New Roman"/>
          <w:sz w:val="21"/>
          <w:szCs w:val="21"/>
          <w:color w:val="auto"/>
        </w:rPr>
        <w:t>. You may not hold Company securities in a margin account or pledge Company securities as collateral for a loan.</w:t>
      </w:r>
    </w:p>
    <w:p>
      <w:pPr>
        <w:spacing w:after="0" w:line="43" w:lineRule="exact"/>
        <w:rPr>
          <w:rFonts w:ascii="Times New Roman" w:cs="Times New Roman" w:eastAsia="Times New Roman" w:hAnsi="Times New Roman"/>
          <w:sz w:val="21"/>
          <w:szCs w:val="21"/>
          <w:color w:val="auto"/>
        </w:rPr>
      </w:pPr>
    </w:p>
    <w:p>
      <w:pPr>
        <w:ind w:right="120" w:firstLine="632"/>
        <w:spacing w:after="0" w:line="290" w:lineRule="auto"/>
        <w:tabs>
          <w:tab w:leader="none" w:pos="92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Hedging</w:t>
      </w:r>
      <w:r>
        <w:rPr>
          <w:rFonts w:ascii="Times New Roman" w:cs="Times New Roman" w:eastAsia="Times New Roman" w:hAnsi="Times New Roman"/>
          <w:sz w:val="21"/>
          <w:szCs w:val="21"/>
          <w:color w:val="auto"/>
        </w:rPr>
        <w:t>. You may not enter into hedging or monetization transactions or similar arrangements that hedge or offset, or are designed to hedge or offset, any decrease in the market value of Company securities.</w:t>
      </w:r>
    </w:p>
    <w:p>
      <w:pPr>
        <w:spacing w:after="0" w:line="30" w:lineRule="exact"/>
        <w:rPr>
          <w:rFonts w:ascii="Times New Roman" w:cs="Times New Roman" w:eastAsia="Times New Roman" w:hAnsi="Times New Roman"/>
          <w:sz w:val="21"/>
          <w:szCs w:val="21"/>
          <w:color w:val="auto"/>
        </w:rPr>
      </w:pPr>
    </w:p>
    <w:p>
      <w:pPr>
        <w:ind w:right="240" w:firstLine="632"/>
        <w:spacing w:after="0" w:line="262" w:lineRule="auto"/>
        <w:tabs>
          <w:tab w:leader="none" w:pos="91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Standing and Limit Orders</w:t>
      </w:r>
      <w:r>
        <w:rPr>
          <w:rFonts w:ascii="Times New Roman" w:cs="Times New Roman" w:eastAsia="Times New Roman" w:hAnsi="Times New Roman"/>
          <w:sz w:val="21"/>
          <w:szCs w:val="21"/>
          <w:color w:val="auto"/>
        </w:rPr>
        <w:t>. Unless executed as part of an Approved 10b5-1 Plan, you may not place limit orders to be in effect for longer than five business days or, if shorter, the remaining term of an applicable pre-clearance or trading window. “Standing” orders outside of an Approved 10b5-1 Plan are not permitted.</w:t>
      </w:r>
    </w:p>
    <w:p>
      <w:pPr>
        <w:spacing w:after="0" w:line="394" w:lineRule="exact"/>
        <w:rPr>
          <w:sz w:val="20"/>
          <w:szCs w:val="20"/>
          <w:color w:val="auto"/>
        </w:rPr>
      </w:pPr>
    </w:p>
    <w:p>
      <w:pPr>
        <w:ind w:left="220" w:hanging="215"/>
        <w:spacing w:after="0"/>
        <w:tabs>
          <w:tab w:leader="none" w:pos="22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Exceptions</w:t>
      </w:r>
    </w:p>
    <w:p>
      <w:pPr>
        <w:spacing w:after="0" w:line="1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The trading restrictions of this Policy do not apply to the delivery of shares of restricted stock units upon vesting or the withholding of shares for tax liabilities related to the distribution of restricted stock units under AGNC’s Amended and Restated 2016 Equity and Incentive Compensation Plan. Transactions completed under an Approved 10b5-1 Plan are also exempt as discussed further herein.</w:t>
      </w:r>
    </w:p>
    <w:p>
      <w:pPr>
        <w:spacing w:after="0" w:line="285" w:lineRule="exact"/>
        <w:rPr>
          <w:sz w:val="20"/>
          <w:szCs w:val="20"/>
          <w:color w:val="auto"/>
        </w:rPr>
      </w:pPr>
    </w:p>
    <w:p>
      <w:pPr>
        <w:ind w:left="220" w:hanging="215"/>
        <w:spacing w:after="0"/>
        <w:tabs>
          <w:tab w:leader="none" w:pos="22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Post-Termination Transaction</w:t>
      </w:r>
      <w:r>
        <w:rPr>
          <w:rFonts w:ascii="Times New Roman" w:cs="Times New Roman" w:eastAsia="Times New Roman" w:hAnsi="Times New Roman"/>
          <w:sz w:val="21"/>
          <w:szCs w:val="21"/>
          <w:u w:val="single" w:color="auto"/>
          <w:color w:val="auto"/>
        </w:rPr>
        <w:t>s</w:t>
      </w:r>
    </w:p>
    <w:p>
      <w:pPr>
        <w:spacing w:after="0" w:line="11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1"/>
          <w:szCs w:val="21"/>
          <w:color w:val="auto"/>
        </w:rPr>
        <w:t>This Policy continues to apply to transactions in Company securities even after an AGNC Person’s service with the Company ends. If an AGNC Person is in possession of material nonpublic information when his or her service terminates, that individual may not trade in Company securities until that information has become public or is no longer material. Although the pre-clearance procedures specified below in Part II, Section 2 will cease to apply upon termination of service, individuals subject to a quarterly blackout period at the time of termination of service may not trade in Company securities until after the end of the blackout period.</w:t>
      </w:r>
    </w:p>
    <w:p>
      <w:pPr>
        <w:spacing w:after="0" w:line="297" w:lineRule="exact"/>
        <w:rPr>
          <w:sz w:val="20"/>
          <w:szCs w:val="20"/>
          <w:color w:val="auto"/>
        </w:rPr>
      </w:pPr>
    </w:p>
    <w:p>
      <w:pPr>
        <w:ind w:left="220" w:hanging="215"/>
        <w:spacing w:after="0"/>
        <w:tabs>
          <w:tab w:leader="none" w:pos="22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Violations of Insider Trading Laws</w:t>
      </w:r>
    </w:p>
    <w:p>
      <w:pPr>
        <w:spacing w:after="0" w:line="11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1"/>
          <w:szCs w:val="21"/>
          <w:color w:val="auto"/>
        </w:rPr>
        <w:t>Penalties for trading on or communicating material nonpublic information can be severe, both for individuals involved in such unlawful conduct and their employers and supervisors, and may include jail terms, criminal fines, civil penalties of up to three times the amount of profits gained or losses avoided, and civil enforcement injunctions. A person who tips others may be subject to penalties and sanctions for transactions by the tippees. Given the severity of the potential penalties, compliance with this Policy is mandatory.</w:t>
      </w:r>
    </w:p>
    <w:p>
      <w:pPr>
        <w:spacing w:after="0" w:line="14"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21"/>
          <w:szCs w:val="21"/>
          <w:color w:val="auto"/>
        </w:rPr>
        <w:t>Employees who violate this Policy may be subject to disciplinary action by the Company, including dismissal for cause. Any exceptions to the Policy, if permitted, may only be granted by the Compliance Officer and must be provided before any activity contrary to the above requirements takes place.</w:t>
      </w:r>
    </w:p>
    <w:p>
      <w:pPr>
        <w:spacing w:after="0" w:line="285" w:lineRule="exact"/>
        <w:rPr>
          <w:sz w:val="20"/>
          <w:szCs w:val="20"/>
          <w:color w:val="auto"/>
        </w:rPr>
      </w:pPr>
    </w:p>
    <w:p>
      <w:pPr>
        <w:ind w:left="220" w:hanging="215"/>
        <w:spacing w:after="0"/>
        <w:tabs>
          <w:tab w:leader="none" w:pos="22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 of This Policy</w:t>
      </w:r>
    </w:p>
    <w:p>
      <w:pPr>
        <w:sectPr>
          <w:pgSz w:w="11900" w:h="16838" w:orient="portrait"/>
          <w:cols w:equalWidth="0" w:num="1">
            <w:col w:w="11240"/>
          </w:cols>
          <w:pgMar w:left="320" w:top="870" w:right="339" w:bottom="1440" w:gutter="0" w:footer="0" w:header="0"/>
        </w:sectPr>
      </w:pPr>
    </w:p>
    <w:bookmarkStart w:id="104" w:name="page105"/>
    <w:bookmarkEnd w:id="104"/>
    <w:p>
      <w:pPr>
        <w:ind w:right="120" w:firstLine="632"/>
        <w:spacing w:after="0" w:line="254" w:lineRule="auto"/>
        <w:tabs>
          <w:tab w:leader="none" w:pos="91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Officer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Company has appointed AGNC’s Chief Compliance Officer as the Compliance Officer for this Policy, who shall have authority to implement, administer and enforce this policy, including without limitation oversight of a process for pre-clearing trading in Company securities by Covered Persons in accordance with the procedures set forth in Part II, Section 2 below, designation of any blackout periods, and providing approvals when required on the part of the Company hereunder with respect to Rule 10b5-1 trading plans. All determinations and interpretations by the Compliance Officer are final and not subject to further review. Approval of any transaction submitted for pre-clearance does not constitute legal advice or confirmation that you do not possess material nonpublic information and does not relieve you of any of your legal obligations.</w:t>
      </w:r>
    </w:p>
    <w:p>
      <w:pPr>
        <w:spacing w:after="0" w:line="70" w:lineRule="exact"/>
        <w:rPr>
          <w:rFonts w:ascii="Times New Roman" w:cs="Times New Roman" w:eastAsia="Times New Roman" w:hAnsi="Times New Roman"/>
          <w:sz w:val="21"/>
          <w:szCs w:val="21"/>
          <w:color w:val="auto"/>
        </w:rPr>
      </w:pPr>
    </w:p>
    <w:p>
      <w:pPr>
        <w:ind w:right="20" w:firstLine="632"/>
        <w:spacing w:after="0" w:line="255" w:lineRule="auto"/>
        <w:tabs>
          <w:tab w:leader="none" w:pos="92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Ongoing Review and Compliance</w:t>
      </w:r>
      <w:r>
        <w:rPr>
          <w:rFonts w:ascii="Times New Roman" w:cs="Times New Roman" w:eastAsia="Times New Roman" w:hAnsi="Times New Roman"/>
          <w:sz w:val="21"/>
          <w:szCs w:val="21"/>
          <w:color w:val="auto"/>
        </w:rPr>
        <w:t>. The Company requires all AGNC People to comply with this Policy. Upon your receipt of this Policy, and also from time to time as we deem to be necessary, we may require you to sign an acknowledgement or certification confirming that you have read and understood this Policy and agree to comply with its provisions. We reserve the right to monitor your continuing compliance with the provisions of this Policy and to investigate any suspected violations. If substantiated, these violations could result in disciplinary action, up to and including termination of your employment without warning and referral for criminal prosecution and fines.</w:t>
      </w:r>
    </w:p>
    <w:p>
      <w:pPr>
        <w:spacing w:after="0" w:line="67" w:lineRule="exact"/>
        <w:rPr>
          <w:rFonts w:ascii="Times New Roman" w:cs="Times New Roman" w:eastAsia="Times New Roman" w:hAnsi="Times New Roman"/>
          <w:sz w:val="21"/>
          <w:szCs w:val="21"/>
          <w:color w:val="auto"/>
        </w:rPr>
      </w:pPr>
    </w:p>
    <w:p>
      <w:pPr>
        <w:ind w:right="160" w:firstLine="632"/>
        <w:spacing w:after="0" w:line="253" w:lineRule="auto"/>
        <w:tabs>
          <w:tab w:leader="none" w:pos="91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of Suspected Violations</w:t>
      </w:r>
      <w:r>
        <w:rPr>
          <w:rFonts w:ascii="Times New Roman" w:cs="Times New Roman" w:eastAsia="Times New Roman" w:hAnsi="Times New Roman"/>
          <w:sz w:val="21"/>
          <w:szCs w:val="21"/>
          <w:color w:val="auto"/>
        </w:rPr>
        <w:t>. You must bring to the attention of the Compliance Officer (or any people that the Compliance Officer designates) information about suspected violations of this Policy by any AGNC Person as promptly as practicable. The Company also maintains a third-party hotline to which AGNC Persons may report information about suspected violations of the Policy anonymously. You should feel safe in reporting this information, without regard to the identity or position of the suspected offender. The Company will treat the information in a confidential manner (consistent with appropriate evaluation and investigation) and will not take any acts of retribution or retaliation against you for making a report in good faith. Because failure to report criminal activity can itself be understood to condone the crime, we emphasize the importance of prompt reporting. For both criminal activity and other violations of this Policy, failure to report knowledge of wrongdoing may result in disciplinary action against those who fail to report.</w:t>
      </w:r>
    </w:p>
    <w:p>
      <w:pPr>
        <w:spacing w:after="0" w:line="200" w:lineRule="exact"/>
        <w:rPr>
          <w:sz w:val="20"/>
          <w:szCs w:val="20"/>
          <w:color w:val="auto"/>
        </w:rPr>
      </w:pPr>
    </w:p>
    <w:p>
      <w:pPr>
        <w:spacing w:after="0" w:line="210" w:lineRule="exact"/>
        <w:rPr>
          <w:sz w:val="20"/>
          <w:szCs w:val="20"/>
          <w:color w:val="auto"/>
        </w:rPr>
      </w:pPr>
    </w:p>
    <w:p>
      <w:pPr>
        <w:ind w:left="220" w:hanging="215"/>
        <w:spacing w:after="0"/>
        <w:tabs>
          <w:tab w:leader="none" w:pos="22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Inquiries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have any questions regarding any of the provisions of this Policy, please contact the Compliance Officer.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00" w:lineRule="exact"/>
        <w:rPr>
          <w:sz w:val="20"/>
          <w:szCs w:val="20"/>
          <w:color w:val="auto"/>
        </w:rPr>
      </w:pPr>
    </w:p>
    <w:p>
      <w:pPr>
        <w:spacing w:after="0" w:line="251" w:lineRule="exact"/>
        <w:rPr>
          <w:sz w:val="20"/>
          <w:szCs w:val="20"/>
          <w:color w:val="auto"/>
        </w:rPr>
      </w:pPr>
    </w:p>
    <w:p>
      <w:pPr>
        <w:ind w:left="220" w:hanging="215"/>
        <w:spacing w:after="0"/>
        <w:tabs>
          <w:tab w:leader="none" w:pos="22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Blackout Periods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All Covered Persons and their Related Persons are prohibited from trading in the Company’s securities during blackout periods made applicable to them. The Company regularly establishes blackout periods in connection with its quarterly reporting cycle. The Company may also establish additional blackout periods in connection with other non-routine events, including, but not limited to, the negotiation of mergers or acquisitions or stock offerings. The Company will notify Covered Persons of the start and end of applicable blackout periods via email. In addition, employees may confirm the status of the trading window in the Company’s electronic system for preclearing trades.</w:t>
      </w:r>
    </w:p>
    <w:p>
      <w:pPr>
        <w:spacing w:after="0" w:line="68"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21"/>
          <w:szCs w:val="21"/>
          <w:color w:val="auto"/>
        </w:rPr>
        <w:t>Subjection to Section 2 below, Covered Persons are permitted to trade in the Company’s securities when no applicable blackout period is in effect. However, even during this open trading window period, a</w:t>
      </w:r>
    </w:p>
    <w:p>
      <w:pPr>
        <w:sectPr>
          <w:pgSz w:w="11900" w:h="16838" w:orient="portrait"/>
          <w:cols w:equalWidth="0" w:num="1">
            <w:col w:w="11240"/>
          </w:cols>
          <w:pgMar w:left="320" w:top="866" w:right="339" w:bottom="1440" w:gutter="0" w:footer="0" w:header="0"/>
        </w:sectPr>
      </w:pPr>
    </w:p>
    <w:bookmarkStart w:id="105" w:name="page106"/>
    <w:bookmarkEnd w:id="105"/>
    <w:p>
      <w:pPr>
        <w:ind w:right="540"/>
        <w:spacing w:after="0" w:line="277" w:lineRule="auto"/>
        <w:rPr>
          <w:sz w:val="20"/>
          <w:szCs w:val="20"/>
          <w:color w:val="auto"/>
        </w:rPr>
      </w:pPr>
      <w:r>
        <w:rPr>
          <w:rFonts w:ascii="Times New Roman" w:cs="Times New Roman" w:eastAsia="Times New Roman" w:hAnsi="Times New Roman"/>
          <w:sz w:val="21"/>
          <w:szCs w:val="21"/>
          <w:color w:val="auto"/>
        </w:rPr>
        <w:t>Covered Person who is in possession of any material nonpublic information may not trade in the Company’s securities until the information has been made publicly available or is no longer material.</w:t>
      </w:r>
    </w:p>
    <w:p>
      <w:pPr>
        <w:spacing w:after="0" w:line="44" w:lineRule="exact"/>
        <w:rPr>
          <w:sz w:val="20"/>
          <w:szCs w:val="20"/>
          <w:color w:val="auto"/>
        </w:rPr>
      </w:pPr>
    </w:p>
    <w:p>
      <w:pPr>
        <w:jc w:val="both"/>
        <w:ind w:firstLine="632"/>
        <w:spacing w:after="0" w:line="266" w:lineRule="exact"/>
        <w:tabs>
          <w:tab w:leader="none" w:pos="91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w:t>
      </w:r>
      <w:r>
        <w:rPr>
          <w:rFonts w:ascii="Times New Roman" w:cs="Times New Roman" w:eastAsia="Times New Roman" w:hAnsi="Times New Roman"/>
          <w:sz w:val="21"/>
          <w:szCs w:val="21"/>
          <w:color w:val="auto"/>
        </w:rPr>
        <w:t>. These trading restrictions do not apply to transactions under a pre-existing written plan, contract, instruction, or arrangement under Rule 10b5-1 under the Securities Exchange Act of 1934 that (i) meets the requirements of Rule 10b5-1, including applicable waiting periods, (ii) complies with the Company’s guidelines for trading plans, and (iii) has been reviewed and approved by the Company’s Legal Department (an “Approved 10b5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 Plan”).</w:t>
      </w:r>
    </w:p>
    <w:p>
      <w:pPr>
        <w:spacing w:after="0" w:line="28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1"/>
          <w:szCs w:val="21"/>
          <w:color w:val="auto"/>
        </w:rPr>
        <w:t>AGNC Persons may not adopt a trading plan during a blackout period or while in possession of material nonpublic information about the Company or its securities.</w:t>
      </w:r>
    </w:p>
    <w:p>
      <w:pPr>
        <w:spacing w:after="0" w:line="2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auto"/>
        </w:rPr>
        <w:t>If you are considering entering into, modifying or terminating an Approved 10b5-1 Plan or have any questions regarding Approved Rule 10b5-1 Plans, please contact the Compliance Officer. Company Insiders must notify the Company’s Legal Department at least two business days in advance of any planned amendment or termination of an Approved 10b5-1 Plan. You should consult your own legal and tax advisors before entering into, modifying, or terminating, an Approved 10b5-1 Plan. A trading plan, contract, instruction, or arrangement will not qualify as an Approved 10b5-1 Plan without prior review and approval by the Company’s Legal Department.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Pre-Clearance of Securities Transactions</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The Company requires all Covered Persons to pre-clear all transactions in the Company’s securities by contacting the Compliance Officer, by utilizing the Company’s electronic system for pre-clearance, or such other methods as the Compliance Officer shall establish. In addition, because they may be in possession of material nonpublic information on a regular basis, Company Insiders must also directly notify the Compliance Officer prior to purchasing or selling directly or indirectly (or otherwise making any transfer or gift) any Company security. These procedures also apply to transactions by such person’s Related Persons.</w:t>
      </w:r>
    </w:p>
    <w:p>
      <w:pPr>
        <w:spacing w:after="0" w:line="21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1"/>
          <w:szCs w:val="21"/>
          <w:color w:val="auto"/>
        </w:rPr>
        <w:t>A pre-clearance will normally remain valid until the close of trading five business days following the day on which it was granted. If the transaction does not occur during the five-day period, pre-clearance of the transaction must be re-requested. However, all pre-clearances are invalidated if the Compliance Officer notifies Covered Persons that a blackout period has commenced or the Covered Person otherwise comes into possession of material nonpublic information. If a request for pre-clearance is denied, the fact of such denial must be kept confidential by the person requesting such pre-clearance. Other than those executed pursuant to an Approved 10b5-1 Plan, limit orders for the sale or purchase of Company securities may not be in effect for longer than the pre-clearance period applicable to the transaction.</w:t>
      </w:r>
    </w:p>
    <w:p>
      <w:pPr>
        <w:spacing w:after="0" w:line="152"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Pre-clearance is not required for purchases and sales of securities pursuant to an Approved 10b5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 Plan.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July 18, 2024</w:t>
      </w:r>
    </w:p>
    <w:p>
      <w:pPr>
        <w:sectPr>
          <w:pgSz w:w="11900" w:h="16838" w:orient="portrait"/>
          <w:cols w:equalWidth="0" w:num="1">
            <w:col w:w="11200"/>
          </w:cols>
          <w:pgMar w:left="320" w:top="870"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49" w:lineRule="exact"/>
        <w:rPr>
          <w:sz w:val="20"/>
          <w:szCs w:val="20"/>
          <w:color w:val="auto"/>
        </w:rPr>
      </w:pPr>
    </w:p>
    <w:p>
      <w:pPr>
        <w:ind w:left="260" w:hanging="255"/>
        <w:spacing w:after="0"/>
        <w:tabs>
          <w:tab w:leader="none" w:pos="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333-151027),</w:t>
      </w:r>
    </w:p>
    <w:p>
      <w:pPr>
        <w:spacing w:after="0" w:line="31"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333-216282),</w:t>
      </w:r>
    </w:p>
    <w:p>
      <w:pPr>
        <w:spacing w:after="0" w:line="13"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333-255904), and</w:t>
      </w:r>
    </w:p>
    <w:p>
      <w:pPr>
        <w:spacing w:after="0" w:line="13"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S-3 (No. 333-279249);</w:t>
      </w:r>
    </w:p>
    <w:p>
      <w:pPr>
        <w:spacing w:after="0" w:line="200" w:lineRule="exact"/>
        <w:rPr>
          <w:sz w:val="20"/>
          <w:szCs w:val="20"/>
          <w:color w:val="auto"/>
        </w:rPr>
      </w:pPr>
    </w:p>
    <w:p>
      <w:pPr>
        <w:spacing w:after="0" w:line="266" w:lineRule="exact"/>
        <w:rPr>
          <w:sz w:val="20"/>
          <w:szCs w:val="20"/>
          <w:color w:val="auto"/>
        </w:rPr>
      </w:pPr>
    </w:p>
    <w:p>
      <w:pPr>
        <w:jc w:val="both"/>
        <w:ind w:right="520"/>
        <w:spacing w:after="0" w:line="276" w:lineRule="auto"/>
        <w:rPr>
          <w:sz w:val="20"/>
          <w:szCs w:val="20"/>
          <w:color w:val="auto"/>
        </w:rPr>
      </w:pPr>
      <w:r>
        <w:rPr>
          <w:rFonts w:ascii="Times New Roman" w:cs="Times New Roman" w:eastAsia="Times New Roman" w:hAnsi="Times New Roman"/>
          <w:sz w:val="17"/>
          <w:szCs w:val="17"/>
          <w:color w:val="auto"/>
        </w:rPr>
        <w:t>of our reports dated February 21, 2025, with respect to the consolidated financial statements of AGNC Investment Corp., and the effectiveness of internal control over financial reporting of AGNC Investment Corp., included in this Annual Report (Form 10-K) of AGNC Investment Corp.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2025</w:t>
      </w:r>
    </w:p>
    <w:p>
      <w:pPr>
        <w:sectPr>
          <w:pgSz w:w="11900" w:h="16838" w:orient="portrait"/>
          <w:cols w:equalWidth="0" w:num="1">
            <w:col w:w="11240"/>
          </w:cols>
          <w:pgMar w:left="320" w:top="86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1"/>
          <w:szCs w:val="21"/>
          <w:color w:val="auto"/>
        </w:rPr>
        <w:t>Exhibit 24</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jc w:val="both"/>
        <w:ind w:firstLine="221"/>
        <w:spacing w:after="0" w:line="252" w:lineRule="exact"/>
        <w:rPr>
          <w:sz w:val="20"/>
          <w:szCs w:val="20"/>
          <w:color w:val="auto"/>
        </w:rPr>
      </w:pPr>
      <w:r>
        <w:rPr>
          <w:rFonts w:ascii="Times New Roman" w:cs="Times New Roman" w:eastAsia="Times New Roman" w:hAnsi="Times New Roman"/>
          <w:sz w:val="21"/>
          <w:szCs w:val="21"/>
          <w:color w:val="auto"/>
        </w:rPr>
        <w:t>KNOW ALL MEN BY THESE PRESENTS, that the undersigned directors and officers of AGNC Investment Corp., a corporation organized under the laws of the state of Delaware (the “Corporation”), hereby constitute and appoint Bernice Bell, Kenneth Pollack and Kasey Reisman and each of them (with full power to each of them to act alone), his/her true and lawful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2024,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and agents, or any of them, may lawfully do or cause to be done by virtue hereof.</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color w:val="auto"/>
        </w:rPr>
        <w:t>IN WITNESS WHEREOF, each of the undersigned directors and/or officers has hereunto set his/her hand and seal, as of the date specified.</w:t>
      </w:r>
    </w:p>
    <w:p>
      <w:pPr>
        <w:spacing w:after="0" w:line="1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b w:val="1"/>
          <w:bCs w:val="1"/>
          <w:color w:val="auto"/>
        </w:rPr>
        <w:t>AGNC INVESTMENT CORP.</w:t>
      </w:r>
    </w:p>
    <w:p>
      <w:pPr>
        <w:spacing w:after="0" w:line="200" w:lineRule="exact"/>
        <w:rPr>
          <w:sz w:val="20"/>
          <w:szCs w:val="20"/>
          <w:color w:val="auto"/>
        </w:rPr>
      </w:pPr>
    </w:p>
    <w:p>
      <w:pPr>
        <w:spacing w:after="0" w:line="281"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19"/>
          <w:szCs w:val="19"/>
          <w:color w:val="auto"/>
        </w:rPr>
        <w:t>January 23, 2025</w:t>
      </w:r>
      <w:r>
        <w:rPr>
          <w:sz w:val="20"/>
          <w:szCs w:val="20"/>
          <w:color w:val="auto"/>
        </w:rPr>
        <w:tab/>
      </w:r>
      <w:r>
        <w:rPr>
          <w:rFonts w:ascii="Times New Roman" w:cs="Times New Roman" w:eastAsia="Times New Roman" w:hAnsi="Times New Roman"/>
          <w:sz w:val="19"/>
          <w:szCs w:val="19"/>
          <w:u w:val="single" w:color="auto"/>
          <w:color w:val="auto"/>
        </w:rPr>
        <w:t>/s/ Peter J. Federico</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Peter J. Federico</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ectPr>
          <w:pgSz w:w="11900" w:h="16838" w:orient="portrait"/>
          <w:cols w:equalWidth="0" w:num="1">
            <w:col w:w="11240"/>
          </w:cols>
          <w:pgMar w:left="320" w:top="1118" w:right="339" w:bottom="1440" w:gutter="0" w:footer="0" w:header="0"/>
        </w:sectPr>
      </w:pPr>
    </w:p>
    <w:bookmarkStart w:id="108" w:name="page109"/>
    <w:bookmarkEnd w:id="108"/>
    <w:p>
      <w:pPr>
        <w:spacing w:after="0" w:line="14"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21"/>
          <w:szCs w:val="21"/>
          <w:b w:val="1"/>
          <w:bCs w:val="1"/>
          <w:u w:val="single" w:color="auto"/>
          <w:color w:val="auto"/>
        </w:rPr>
        <w:t>Signature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Donna J. Blank</w:t>
      </w:r>
    </w:p>
    <w:p>
      <w:pPr>
        <w:spacing w:after="0"/>
        <w:rPr>
          <w:sz w:val="20"/>
          <w:szCs w:val="20"/>
          <w:color w:val="auto"/>
        </w:rPr>
      </w:pPr>
      <w:r>
        <w:rPr>
          <w:rFonts w:ascii="Times New Roman" w:cs="Times New Roman" w:eastAsia="Times New Roman" w:hAnsi="Times New Roman"/>
          <w:sz w:val="19"/>
          <w:szCs w:val="19"/>
          <w:color w:val="auto"/>
        </w:rPr>
        <w:t>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586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Morris A. Davis</w:t>
      </w:r>
    </w:p>
    <w:p>
      <w:pPr>
        <w:spacing w:after="0"/>
        <w:rPr>
          <w:sz w:val="20"/>
          <w:szCs w:val="20"/>
          <w:color w:val="auto"/>
        </w:rPr>
      </w:pPr>
      <w:r>
        <w:rPr>
          <w:rFonts w:ascii="Times New Roman" w:cs="Times New Roman" w:eastAsia="Times New Roman" w:hAnsi="Times New Roman"/>
          <w:sz w:val="19"/>
          <w:szCs w:val="19"/>
          <w:color w:val="auto"/>
        </w:rPr>
        <w:t>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68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Peter J. Federico</w:t>
      </w:r>
    </w:p>
    <w:p>
      <w:pPr>
        <w:spacing w:after="0"/>
        <w:rPr>
          <w:sz w:val="20"/>
          <w:szCs w:val="20"/>
          <w:color w:val="auto"/>
        </w:rPr>
      </w:pPr>
      <w:r>
        <w:rPr>
          <w:rFonts w:ascii="Times New Roman" w:cs="Times New Roman" w:eastAsia="Times New Roman" w:hAnsi="Times New Roman"/>
          <w:sz w:val="19"/>
          <w:szCs w:val="19"/>
          <w:color w:val="auto"/>
        </w:rPr>
        <w:t>Peter J.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891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John D. Fisk</w:t>
      </w:r>
    </w:p>
    <w:p>
      <w:pPr>
        <w:spacing w:after="0"/>
        <w:rPr>
          <w:sz w:val="20"/>
          <w:szCs w:val="20"/>
          <w:color w:val="auto"/>
        </w:rPr>
      </w:pPr>
      <w:r>
        <w:rPr>
          <w:rFonts w:ascii="Times New Roman" w:cs="Times New Roman" w:eastAsia="Times New Roman" w:hAnsi="Times New Roman"/>
          <w:sz w:val="19"/>
          <w:szCs w:val="19"/>
          <w:color w:val="auto"/>
        </w:rPr>
        <w:t>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4935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Andrew A. Johnson, Jr.</w:t>
      </w:r>
    </w:p>
    <w:p>
      <w:pPr>
        <w:spacing w:after="0"/>
        <w:rPr>
          <w:sz w:val="20"/>
          <w:szCs w:val="20"/>
          <w:color w:val="auto"/>
        </w:rPr>
      </w:pPr>
      <w:r>
        <w:rPr>
          <w:rFonts w:ascii="Times New Roman" w:cs="Times New Roman" w:eastAsia="Times New Roman" w:hAnsi="Times New Roman"/>
          <w:sz w:val="19"/>
          <w:szCs w:val="19"/>
          <w:color w:val="auto"/>
        </w:rPr>
        <w:t>Andrew A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430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Gary D. Kain</w:t>
      </w:r>
    </w:p>
    <w:p>
      <w:pPr>
        <w:spacing w:after="0"/>
        <w:rPr>
          <w:sz w:val="20"/>
          <w:szCs w:val="20"/>
          <w:color w:val="auto"/>
        </w:rPr>
      </w:pPr>
      <w:r>
        <w:rPr>
          <w:rFonts w:ascii="Times New Roman" w:cs="Times New Roman" w:eastAsia="Times New Roman" w:hAnsi="Times New Roman"/>
          <w:sz w:val="19"/>
          <w:szCs w:val="19"/>
          <w:color w:val="auto"/>
        </w:rPr>
        <w:t>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554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165544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Prue B. Larocca</w:t>
      </w:r>
    </w:p>
    <w:p>
      <w:pPr>
        <w:spacing w:after="0"/>
        <w:rPr>
          <w:sz w:val="20"/>
          <w:szCs w:val="20"/>
          <w:color w:val="auto"/>
        </w:rPr>
      </w:pPr>
      <w:r>
        <w:rPr>
          <w:rFonts w:ascii="Times New Roman" w:cs="Times New Roman" w:eastAsia="Times New Roman" w:hAnsi="Times New Roman"/>
          <w:sz w:val="19"/>
          <w:szCs w:val="19"/>
          <w:color w:val="auto"/>
        </w:rPr>
        <w:t>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22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Paul E. Mullings</w:t>
      </w:r>
    </w:p>
    <w:p>
      <w:pPr>
        <w:spacing w:after="0"/>
        <w:rPr>
          <w:sz w:val="20"/>
          <w:szCs w:val="20"/>
          <w:color w:val="auto"/>
        </w:rPr>
      </w:pPr>
      <w:r>
        <w:rPr>
          <w:rFonts w:ascii="Times New Roman" w:cs="Times New Roman" w:eastAsia="Times New Roman" w:hAnsi="Times New Roman"/>
          <w:sz w:val="19"/>
          <w:szCs w:val="19"/>
          <w:color w:val="auto"/>
        </w:rPr>
        <w:t>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26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Frances R. Spark</w:t>
      </w:r>
    </w:p>
    <w:p>
      <w:pPr>
        <w:spacing w:after="0"/>
        <w:rPr>
          <w:sz w:val="20"/>
          <w:szCs w:val="20"/>
          <w:color w:val="auto"/>
        </w:rPr>
      </w:pPr>
      <w:r>
        <w:rPr>
          <w:rFonts w:ascii="Times New Roman" w:cs="Times New Roman" w:eastAsia="Times New Roman" w:hAnsi="Times New Roman"/>
          <w:sz w:val="19"/>
          <w:szCs w:val="19"/>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7399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Title</w:t>
            </w: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21"/>
                <w:szCs w:val="21"/>
                <w:b w:val="1"/>
                <w:bCs w:val="1"/>
                <w:color w:val="auto"/>
                <w:w w:val="99"/>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752"/>
        </w:trPr>
        <w:tc>
          <w:tcPr>
            <w:tcW w:w="3460" w:type="dxa"/>
            <w:vAlign w:val="bottom"/>
            <w:gridSpan w:val="3"/>
          </w:tcPr>
          <w:p>
            <w:pPr>
              <w:jc w:val="center"/>
              <w:ind w:right="400"/>
              <w:spacing w:after="0"/>
              <w:rPr>
                <w:sz w:val="20"/>
                <w:szCs w:val="20"/>
                <w:color w:val="auto"/>
              </w:rPr>
            </w:pPr>
            <w:r>
              <w:rPr>
                <w:rFonts w:ascii="Times New Roman" w:cs="Times New Roman" w:eastAsia="Times New Roman" w:hAnsi="Times New Roman"/>
                <w:sz w:val="19"/>
                <w:szCs w:val="19"/>
                <w:color w:val="auto"/>
              </w:rPr>
              <w:t>Director, President and Chief Executive</w:t>
            </w:r>
          </w:p>
        </w:tc>
        <w:tc>
          <w:tcPr>
            <w:tcW w:w="1720" w:type="dxa"/>
            <w:vAlign w:val="bottom"/>
            <w:gridSpan w:val="3"/>
            <w:vMerge w:val="restart"/>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9"/>
                <w:szCs w:val="19"/>
                <w:color w:val="auto"/>
                <w:w w:val="98"/>
              </w:rPr>
              <w:t>Officer</w:t>
            </w:r>
          </w:p>
        </w:tc>
        <w:tc>
          <w:tcPr>
            <w:tcW w:w="1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1"/>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 Executive Chair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r>
        <w:trPr>
          <w:trHeight w:val="902"/>
        </w:trPr>
        <w:tc>
          <w:tcPr>
            <w:tcW w:w="346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color w:val="auto"/>
              </w:rPr>
              <w:t>Director</w:t>
            </w:r>
          </w:p>
        </w:tc>
        <w:tc>
          <w:tcPr>
            <w:tcW w:w="1720" w:type="dxa"/>
            <w:vAlign w:val="bottom"/>
            <w:gridSpan w:val="3"/>
          </w:tcPr>
          <w:p>
            <w:pPr>
              <w:jc w:val="center"/>
              <w:ind w:left="304"/>
              <w:spacing w:after="0"/>
              <w:rPr>
                <w:sz w:val="20"/>
                <w:szCs w:val="20"/>
                <w:color w:val="auto"/>
              </w:rPr>
            </w:pPr>
            <w:r>
              <w:rPr>
                <w:rFonts w:ascii="Times New Roman" w:cs="Times New Roman" w:eastAsia="Times New Roman" w:hAnsi="Times New Roman"/>
                <w:sz w:val="19"/>
                <w:szCs w:val="19"/>
                <w:color w:val="auto"/>
              </w:rPr>
              <w:t>January 23, 2025</w:t>
            </w:r>
          </w:p>
        </w:tc>
        <w:tc>
          <w:tcPr>
            <w:tcW w:w="0" w:type="dxa"/>
            <w:vAlign w:val="bottom"/>
          </w:tcPr>
          <w:p>
            <w:pPr>
              <w:spacing w:after="0"/>
              <w:rPr>
                <w:sz w:val="1"/>
                <w:szCs w:val="1"/>
                <w:color w:val="auto"/>
              </w:rPr>
            </w:pPr>
          </w:p>
        </w:tc>
      </w:tr>
    </w:tbl>
    <w:p>
      <w:pPr>
        <w:sectPr>
          <w:pgSz w:w="11900" w:h="16838" w:orient="portrait"/>
          <w:cols w:equalWidth="0" w:num="2">
            <w:col w:w="3480" w:space="720"/>
            <w:col w:w="5180"/>
          </w:cols>
          <w:pgMar w:left="1100" w:top="970" w:right="14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J. Federico, certify that:</w:t>
      </w:r>
    </w:p>
    <w:p>
      <w:pPr>
        <w:spacing w:after="0" w:line="157" w:lineRule="exact"/>
        <w:rPr>
          <w:sz w:val="20"/>
          <w:szCs w:val="20"/>
          <w:color w:val="auto"/>
        </w:rPr>
      </w:pPr>
    </w:p>
    <w:p>
      <w:pPr>
        <w:ind w:left="740" w:hanging="304"/>
        <w:spacing w:after="0"/>
        <w:tabs>
          <w:tab w:leader="none" w:pos="7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AGNC Investment Corp.;</w:t>
      </w:r>
    </w:p>
    <w:p>
      <w:pPr>
        <w:spacing w:after="0" w:line="157" w:lineRule="exact"/>
        <w:rPr>
          <w:rFonts w:ascii="Times New Roman" w:cs="Times New Roman" w:eastAsia="Times New Roman" w:hAnsi="Times New Roman"/>
          <w:sz w:val="17"/>
          <w:szCs w:val="17"/>
          <w:color w:val="auto"/>
        </w:rPr>
      </w:pPr>
    </w:p>
    <w:p>
      <w:pPr>
        <w:jc w:val="both"/>
        <w:ind w:left="820" w:hanging="384"/>
        <w:spacing w:after="0" w:line="288" w:lineRule="auto"/>
        <w:tabs>
          <w:tab w:leader="none" w:pos="78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820" w:hanging="384"/>
        <w:spacing w:after="0" w:line="295" w:lineRule="auto"/>
        <w:tabs>
          <w:tab w:leader="none" w:pos="78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7"/>
          <w:szCs w:val="17"/>
          <w:color w:val="auto"/>
        </w:rPr>
      </w:pPr>
    </w:p>
    <w:p>
      <w:pPr>
        <w:jc w:val="both"/>
        <w:ind w:left="820" w:hanging="384"/>
        <w:spacing w:after="0" w:line="276" w:lineRule="auto"/>
        <w:tabs>
          <w:tab w:leader="none" w:pos="83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55"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431"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left="1380" w:hanging="395"/>
        <w:spacing w:after="0" w:line="295" w:lineRule="auto"/>
        <w:tabs>
          <w:tab w:leader="none" w:pos="144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7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820" w:hanging="384"/>
        <w:spacing w:after="0" w:line="295" w:lineRule="auto"/>
        <w:tabs>
          <w:tab w:leader="none" w:pos="77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47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425"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21, 2025</w:t>
      </w:r>
    </w:p>
    <w:p>
      <w:pPr>
        <w:spacing w:after="0" w:line="223"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7"/>
          <w:szCs w:val="17"/>
          <w:color w:val="auto"/>
        </w:rPr>
        <w:t>/s/</w:t>
        <w:tab/>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28575</wp:posOffset>
            </wp:positionV>
            <wp:extent cx="23482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Peter J. Federico</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President and Chief Executive Officer (Principal</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Officer)</w:t>
      </w:r>
    </w:p>
    <w:p>
      <w:pPr>
        <w:sectPr>
          <w:pgSz w:w="11900" w:h="16838" w:orient="portrait"/>
          <w:cols w:equalWidth="0" w:num="1">
            <w:col w:w="11240"/>
          </w:cols>
          <w:pgMar w:left="320" w:top="86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Bernice E. Bell, certify that:</w:t>
      </w:r>
    </w:p>
    <w:p>
      <w:pPr>
        <w:spacing w:after="0" w:line="157" w:lineRule="exact"/>
        <w:rPr>
          <w:sz w:val="20"/>
          <w:szCs w:val="20"/>
          <w:color w:val="auto"/>
        </w:rPr>
      </w:pPr>
    </w:p>
    <w:p>
      <w:pPr>
        <w:ind w:left="740" w:hanging="304"/>
        <w:spacing w:after="0"/>
        <w:tabs>
          <w:tab w:leader="none" w:pos="7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AGNC Investment Corp;</w:t>
      </w:r>
    </w:p>
    <w:p>
      <w:pPr>
        <w:spacing w:after="0" w:line="157" w:lineRule="exact"/>
        <w:rPr>
          <w:rFonts w:ascii="Times New Roman" w:cs="Times New Roman" w:eastAsia="Times New Roman" w:hAnsi="Times New Roman"/>
          <w:sz w:val="17"/>
          <w:szCs w:val="17"/>
          <w:color w:val="auto"/>
        </w:rPr>
      </w:pPr>
    </w:p>
    <w:p>
      <w:pPr>
        <w:jc w:val="both"/>
        <w:ind w:left="820" w:hanging="384"/>
        <w:spacing w:after="0" w:line="288" w:lineRule="auto"/>
        <w:tabs>
          <w:tab w:leader="none" w:pos="78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820" w:hanging="384"/>
        <w:spacing w:after="0" w:line="295" w:lineRule="auto"/>
        <w:tabs>
          <w:tab w:leader="none" w:pos="78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7"/>
          <w:szCs w:val="17"/>
          <w:color w:val="auto"/>
        </w:rPr>
      </w:pPr>
    </w:p>
    <w:p>
      <w:pPr>
        <w:jc w:val="both"/>
        <w:ind w:left="820" w:hanging="384"/>
        <w:spacing w:after="0" w:line="276" w:lineRule="auto"/>
        <w:tabs>
          <w:tab w:leader="none" w:pos="8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55"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43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left="1380" w:hanging="395"/>
        <w:spacing w:after="0" w:line="295" w:lineRule="auto"/>
        <w:tabs>
          <w:tab w:leader="none" w:pos="1448"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380" w:hanging="395"/>
        <w:spacing w:after="0" w:line="276" w:lineRule="auto"/>
        <w:tabs>
          <w:tab w:leader="none" w:pos="137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820" w:hanging="384"/>
        <w:spacing w:after="0" w:line="295" w:lineRule="auto"/>
        <w:tabs>
          <w:tab w:leader="none" w:pos="77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357"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1380" w:hanging="395"/>
        <w:spacing w:after="0" w:line="295" w:lineRule="auto"/>
        <w:tabs>
          <w:tab w:leader="none" w:pos="1425"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21, 2025</w:t>
      </w:r>
    </w:p>
    <w:p>
      <w:pPr>
        <w:spacing w:after="0" w:line="223"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7"/>
          <w:szCs w:val="17"/>
          <w:color w:val="auto"/>
        </w:rPr>
        <w:t>/s/</w:t>
        <w:tab/>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7"/>
          <w:szCs w:val="17"/>
          <w:color w:val="auto"/>
        </w:rPr>
        <w:t xml:space="preserve"> E. B</w:t>
      </w:r>
      <w:r>
        <w:rPr>
          <w:rFonts w:ascii="Times New Roman" w:cs="Times New Roman" w:eastAsia="Times New Roman" w:hAnsi="Times New Roman"/>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28575</wp:posOffset>
            </wp:positionV>
            <wp:extent cx="23482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Bernice E. Bell</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7"/>
          <w:szCs w:val="17"/>
          <w:color w:val="auto"/>
        </w:rPr>
        <w:t>Officer (Principal Financial Officer)</w:t>
      </w:r>
    </w:p>
    <w:p>
      <w:pPr>
        <w:sectPr>
          <w:pgSz w:w="11900" w:h="16838" w:orient="portrait"/>
          <w:cols w:equalWidth="0" w:num="1">
            <w:col w:w="11240"/>
          </w:cols>
          <w:pgMar w:left="320" w:top="86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color w:val="auto"/>
        </w:rPr>
        <w:t>Exhibit 32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AGNC Investment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52" w:lineRule="exact"/>
        <w:rPr>
          <w:sz w:val="20"/>
          <w:szCs w:val="20"/>
          <w:color w:val="auto"/>
        </w:rPr>
      </w:pPr>
    </w:p>
    <w:p>
      <w:pPr>
        <w:ind w:right="720" w:firstLine="314"/>
        <w:spacing w:after="0" w:line="295" w:lineRule="auto"/>
        <w:rPr>
          <w:sz w:val="20"/>
          <w:szCs w:val="20"/>
          <w:color w:val="auto"/>
        </w:rPr>
      </w:pPr>
      <w:r>
        <w:rPr>
          <w:rFonts w:ascii="Times New Roman" w:cs="Times New Roman" w:eastAsia="Times New Roman" w:hAnsi="Times New Roman"/>
          <w:sz w:val="17"/>
          <w:szCs w:val="17"/>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94" w:lineRule="exact"/>
        <w:rPr>
          <w:sz w:val="20"/>
          <w:szCs w:val="20"/>
          <w:color w:val="auto"/>
        </w:rPr>
      </w:pPr>
    </w:p>
    <w:p>
      <w:pPr>
        <w:ind w:left="640" w:right="80" w:hanging="322"/>
        <w:spacing w:after="0" w:line="295" w:lineRule="auto"/>
        <w:tabs>
          <w:tab w:leader="none" w:pos="6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fiscal year ended December 31, 2024 (the “Report”) fully complies with the requirements of Section 13(a) of the Securities Exchange Act of 1934 (15 U.S.C. 78m); and</w:t>
      </w:r>
    </w:p>
    <w:p>
      <w:pPr>
        <w:spacing w:after="0" w:line="94"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7"/>
                <w:szCs w:val="17"/>
                <w:color w:val="auto"/>
              </w:rPr>
              <w:t xml:space="preserve"> J. F</w:t>
            </w:r>
            <w:r>
              <w:rPr>
                <w:rFonts w:ascii="Times New Roman" w:cs="Times New Roman" w:eastAsia="Times New Roman" w:hAnsi="Times New Roman"/>
                <w:sz w:val="13"/>
                <w:szCs w:val="13"/>
                <w:color w:val="auto"/>
              </w:rPr>
              <w:t>EDERICO</w:t>
            </w:r>
          </w:p>
        </w:tc>
      </w:tr>
      <w:tr>
        <w:trPr>
          <w:trHeight w:val="21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Peter J. Federico</w:t>
            </w:r>
          </w:p>
        </w:tc>
      </w:tr>
      <w:tr>
        <w:trPr>
          <w:trHeight w:val="183"/>
        </w:trPr>
        <w:tc>
          <w:tcPr>
            <w:tcW w:w="7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Title:</w:t>
            </w:r>
          </w:p>
        </w:tc>
        <w:tc>
          <w:tcPr>
            <w:tcW w:w="62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color w:val="auto"/>
              </w:rPr>
              <w:t>President and</w:t>
            </w:r>
          </w:p>
        </w:tc>
      </w:tr>
      <w:tr>
        <w:trPr>
          <w:trHeight w:val="222"/>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r>
        <w:trPr>
          <w:trHeight w:val="22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21, 2025</w:t>
            </w:r>
          </w:p>
        </w:tc>
      </w:tr>
      <w:tr>
        <w:trPr>
          <w:trHeight w:val="477"/>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7"/>
                <w:szCs w:val="17"/>
                <w:color w:val="auto"/>
              </w:rPr>
              <w:t xml:space="preserve"> E. B</w:t>
            </w:r>
            <w:r>
              <w:rPr>
                <w:rFonts w:ascii="Times New Roman" w:cs="Times New Roman" w:eastAsia="Times New Roman" w:hAnsi="Times New Roman"/>
                <w:sz w:val="13"/>
                <w:szCs w:val="13"/>
                <w:color w:val="auto"/>
              </w:rPr>
              <w:t>ELL</w:t>
            </w:r>
          </w:p>
        </w:tc>
      </w:tr>
      <w:tr>
        <w:trPr>
          <w:trHeight w:val="21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Bernice E. Bell</w:t>
            </w:r>
          </w:p>
        </w:tc>
      </w:tr>
      <w:tr>
        <w:trPr>
          <w:trHeight w:val="183"/>
        </w:trPr>
        <w:tc>
          <w:tcPr>
            <w:tcW w:w="7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Title:</w:t>
            </w:r>
          </w:p>
        </w:tc>
        <w:tc>
          <w:tcPr>
            <w:tcW w:w="62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color w:val="auto"/>
              </w:rPr>
              <w:t>Executive Vice President and</w:t>
            </w:r>
          </w:p>
        </w:tc>
      </w:tr>
      <w:tr>
        <w:trPr>
          <w:trHeight w:val="222"/>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r>
        <w:trPr>
          <w:trHeight w:val="22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21, 2025</w:t>
            </w:r>
          </w:p>
        </w:tc>
      </w:tr>
    </w:tbl>
    <w:p>
      <w:pPr>
        <w:spacing w:after="0" w:line="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lowerRoman"/>
      <w:start w:val="3"/>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3"/>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4"/>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lowerRoman"/>
      <w:start w:val="4"/>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lowerLetter"/>
      <w:start w:val="1"/>
    </w:lvl>
    <w:lvl w:ilvl="1">
      <w:lvlJc w:val="left"/>
      <w:lvlText w:val="(%2)"/>
      <w:numFmt w:val="decimal"/>
      <w:start w:val="1"/>
    </w:lvl>
  </w:abstractNum>
  <w:abstractNum w:abstractNumId="57">
    <w:nsid w:val="42C296BD"/>
    <w:multiLevelType w:val="hybridMultilevel"/>
    <w:lvl w:ilvl="0">
      <w:lvlJc w:val="left"/>
      <w:lvlText w:val="%1"/>
      <w:numFmt w:val="decimal"/>
      <w:start w:val="19"/>
    </w:lvl>
    <w:lvl w:ilvl="1">
      <w:lvlJc w:val="left"/>
      <w:lvlText w:val="%2"/>
      <w:numFmt w:val="decimal"/>
      <w:start w:val="1"/>
    </w:lvl>
  </w:abstractNum>
  <w:abstractNum w:abstractNumId="58">
    <w:nsid w:val="168E121F"/>
    <w:multiLevelType w:val="hybridMultilevel"/>
    <w:lvl w:ilvl="0">
      <w:lvlJc w:val="left"/>
      <w:lvlText w:val="%1"/>
      <w:numFmt w:val="decimal"/>
      <w:start w:val="21"/>
    </w:lvl>
    <w:lvl w:ilvl="1">
      <w:lvlJc w:val="left"/>
      <w:lvlText w:val="%2)"/>
      <w:numFmt w:val="decimal"/>
      <w:start w:val="1"/>
    </w:lvl>
  </w:abstractNum>
  <w:abstractNum w:abstractNumId="59">
    <w:nsid w:val="1EBA5D23"/>
    <w:multiLevelType w:val="hybridMultilevel"/>
    <w:lvl w:ilvl="0">
      <w:lvlJc w:val="left"/>
      <w:lvlText w:val="%1"/>
      <w:numFmt w:val="decimal"/>
      <w:start w:val="23"/>
    </w:lvl>
    <w:lvl w:ilvl="1">
      <w:lvlJc w:val="left"/>
      <w:lvlText w:val="%2"/>
      <w:numFmt w:val="decimal"/>
      <w:start w:val="1"/>
    </w:lvl>
  </w:abstractNum>
  <w:abstractNum w:abstractNumId="60">
    <w:nsid w:val="661E3F1E"/>
    <w:multiLevelType w:val="hybridMultilevel"/>
    <w:lvl w:ilvl="0">
      <w:lvlJc w:val="left"/>
      <w:lvlText w:val="%1"/>
      <w:numFmt w:val="decimal"/>
      <w:start w:val="32"/>
    </w:lvl>
    <w:lvl w:ilvl="1">
      <w:lvlJc w:val="left"/>
      <w:lvlText w:val="%2"/>
      <w:numFmt w:val="decimal"/>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lowerLetter"/>
      <w:start w:val="3"/>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2"/>
    </w:lvl>
  </w:abstractNum>
  <w:abstractNum w:abstractNumId="65">
    <w:nsid w:val="613EFDC5"/>
    <w:multiLevelType w:val="hybridMultilevel"/>
    <w:lvl w:ilvl="0">
      <w:lvlJc w:val="left"/>
      <w:lvlText w:val="%1"/>
      <w:numFmt w:val="decimal"/>
      <w:start w:val="1"/>
    </w:lvl>
    <w:lvl w:ilvl="1">
      <w:lvlJc w:val="left"/>
      <w:lvlText w:val="(%2)"/>
      <w:numFmt w:val="lowerLetter"/>
      <w:start w:val="1"/>
    </w:lvl>
  </w:abstractNum>
  <w:abstractNum w:abstractNumId="66">
    <w:nsid w:val="BF72B14"/>
    <w:multiLevelType w:val="hybridMultilevel"/>
    <w:lvl w:ilvl="0">
      <w:lvlJc w:val="left"/>
      <w:lvlText w:val="%1."/>
      <w:numFmt w:val="decimal"/>
      <w:start w:val="3"/>
    </w:lvl>
    <w:lvl w:ilvl="1">
      <w:lvlJc w:val="left"/>
      <w:lvlText w:val="(%2)"/>
      <w:numFmt w:val="lowerLetter"/>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1"/>
      <w:numFmt w:val="lowerLetter"/>
      <w:start w:val="1"/>
    </w:lvl>
    <w:lvl w:ilvl="1">
      <w:lvlJc w:val="left"/>
      <w:lvlText w:val="(%2)"/>
      <w:numFmt w:val="lowerLetter"/>
      <w:start w:val="2"/>
    </w:lvl>
  </w:abstractNum>
  <w:abstractNum w:abstractNumId="70">
    <w:nsid w:val="8F2B15E"/>
    <w:multiLevelType w:val="hybridMultilevel"/>
    <w:lvl w:ilvl="0">
      <w:lvlJc w:val="left"/>
      <w:lvlText w:val="(%1)"/>
      <w:numFmt w:val="lowerLetter"/>
      <w:start w:val="35"/>
    </w:lvl>
    <w:lvl w:ilvl="1">
      <w:lvlJc w:val="left"/>
      <w:lvlText w:val="%2"/>
      <w:numFmt w:val="lowerLetter"/>
      <w:start w:val="1"/>
    </w:lvl>
  </w:abstractNum>
  <w:abstractNum w:abstractNumId="71">
    <w:nsid w:val="1A32234B"/>
    <w:multiLevelType w:val="hybridMultilevel"/>
    <w:lvl w:ilvl="0">
      <w:lvlJc w:val="left"/>
      <w:lvlText w:val="(%1)"/>
      <w:numFmt w:val="lowerRoman"/>
      <w:start w:val="1"/>
    </w:lvl>
  </w:abstractNum>
  <w:abstractNum w:abstractNumId="72">
    <w:nsid w:val="3B0FD379"/>
    <w:multiLevelType w:val="hybridMultilevel"/>
    <w:lvl w:ilvl="0">
      <w:lvlJc w:val="left"/>
      <w:lvlText w:val="%1."/>
      <w:numFmt w:val="decimal"/>
      <w:start w:val="4"/>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decimal"/>
      <w:start w:val="5"/>
    </w:lvl>
  </w:abstractNum>
  <w:abstractNum w:abstractNumId="75">
    <w:nsid w:val="60B6DF70"/>
    <w:multiLevelType w:val="hybridMultilevel"/>
    <w:lvl w:ilvl="0">
      <w:lvlJc w:val="left"/>
      <w:lvlText w:val="%1."/>
      <w:numFmt w:val="decimal"/>
      <w:start w:val="6"/>
    </w:lvl>
  </w:abstractNum>
  <w:abstractNum w:abstractNumId="76">
    <w:nsid w:val="6A5EE64"/>
    <w:multiLevelType w:val="hybridMultilevel"/>
    <w:lvl w:ilvl="0">
      <w:lvlJc w:val="left"/>
      <w:lvlText w:val="%1."/>
      <w:numFmt w:val="decimal"/>
      <w:start w:val="7"/>
    </w:lvl>
  </w:abstractNum>
  <w:abstractNum w:abstractNumId="77">
    <w:nsid w:val="14330624"/>
    <w:multiLevelType w:val="hybridMultilevel"/>
    <w:lvl w:ilvl="0">
      <w:lvlJc w:val="left"/>
      <w:lvlText w:val="%1."/>
      <w:numFmt w:val="decimal"/>
      <w:start w:val="8"/>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decimal"/>
      <w:start w:val="9"/>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32" Type="http://schemas.openxmlformats.org/officeDocument/2006/relationships/image" Target="media/image101.png"/><Relationship Id="rId149"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07" Type="http://schemas.openxmlformats.org/officeDocument/2006/relationships/hyperlink" Target="https://www.sec.gov/Archives/edgar/data/1423689/000142368922000014/agncexhibit3112312110-k.htm" TargetMode="External"/><Relationship Id="rId108" Type="http://schemas.openxmlformats.org/officeDocument/2006/relationships/hyperlink" Target="https://www.sec.gov/Archives/edgar/data/1423689/000142368921000017/arbylaws-march2021vrevised.htm" TargetMode="External"/><Relationship Id="rId109" Type="http://schemas.openxmlformats.org/officeDocument/2006/relationships/hyperlink" Target="https://www.sec.gov/Archives/edgar/data/1423689/000142368923000046/bylaws72023-ex.htm" TargetMode="External"/><Relationship Id="rId110" Type="http://schemas.openxmlformats.org/officeDocument/2006/relationships/hyperlink" Target="https://www.sec.gov/Archives/edgar/data/1423689/000142368917000044/ex35certificateofdesignati.htm" TargetMode="External"/><Relationship Id="rId111" Type="http://schemas.openxmlformats.org/officeDocument/2006/relationships/hyperlink" Target="https://www.sec.gov/Archives/edgar/data/1423689/000142368917000065/certificateofelimination.htm" TargetMode="External"/><Relationship Id="rId112" Type="http://schemas.openxmlformats.org/officeDocument/2006/relationships/hyperlink" Target="https://www.sec.gov/Archives/edgar/data/1423689/000142368919000019/certificateofdesignations.htm" TargetMode="External"/><Relationship Id="rId113" Type="http://schemas.openxmlformats.org/officeDocument/2006/relationships/hyperlink" Target="https://www.sec.gov/Archives/edgar/data/1423689/000142368919000064/certofdesignations.htm" TargetMode="External"/><Relationship Id="rId114" Type="http://schemas.openxmlformats.org/officeDocument/2006/relationships/hyperlink" Target="https://www.sec.gov/Archives/edgar/data/1423689/000142368919000078/certificateofeliminati.htm" TargetMode="External"/><Relationship Id="rId115" Type="http://schemas.openxmlformats.org/officeDocument/2006/relationships/hyperlink" Target="https://www.sec.gov/Archives/edgar/data/1423689/000142368920000012/certificateofdesignations-.htm" TargetMode="External"/><Relationship Id="rId116" Type="http://schemas.openxmlformats.org/officeDocument/2006/relationships/hyperlink" Target="https://www.sec.gov/Archives/edgar/data/1423689/000142368922000061/seriesgcertificateofdesign.htm" TargetMode="External"/><Relationship Id="rId117" Type="http://schemas.openxmlformats.org/officeDocument/2006/relationships/hyperlink" Target="https://www.sec.gov/Archives/edgar/data/1423689/000142368922000076/exhibit43.htm" TargetMode="External"/><Relationship Id="rId118" Type="http://schemas.openxmlformats.org/officeDocument/2006/relationships/hyperlink" Target="https://www.sec.gov/Archives/edgar/data/1423689/000142368917000044/exhibit41.htm" TargetMode="External"/><Relationship Id="rId119" Type="http://schemas.openxmlformats.org/officeDocument/2006/relationships/hyperlink" Target="https://www.sec.gov/Archives/edgar/data/1423689/000142368919000019/stockcertificateb98.htm" TargetMode="External"/><Relationship Id="rId121" Type="http://schemas.openxmlformats.org/officeDocument/2006/relationships/hyperlink" Target="https://www.sec.gov/Archives/edgar/data/1423689/000142368919000064/stockcertificate.htm" TargetMode="External"/><Relationship Id="rId122" Type="http://schemas.openxmlformats.org/officeDocument/2006/relationships/hyperlink" Target="https://www.sec.gov/Archives/edgar/data/1423689/000142368920000012/stockcertificate.htm" TargetMode="External"/><Relationship Id="rId123" Type="http://schemas.openxmlformats.org/officeDocument/2006/relationships/hyperlink" Target="https://www.sec.gov/Archives/edgar/data/1423689/000142368922000061/stockcertificate1.htm" TargetMode="External"/><Relationship Id="rId124" Type="http://schemas.openxmlformats.org/officeDocument/2006/relationships/hyperlink" Target="https://www.sec.gov/Archives/edgar/data/1423689/000142368917000049/depositagreement.htm" TargetMode="External"/><Relationship Id="rId125" Type="http://schemas.openxmlformats.org/officeDocument/2006/relationships/hyperlink" Target="https://www.sec.gov/Archives/edgar/data/1423689/000142368919000021/prefddepositagmt.htm" TargetMode="External"/><Relationship Id="rId126" Type="http://schemas.openxmlformats.org/officeDocument/2006/relationships/hyperlink" Target="https://www.sec.gov/Archives/edgar/data/1423689/000142368919000068/depositagmt-prefe.htm" TargetMode="External"/><Relationship Id="rId127" Type="http://schemas.openxmlformats.org/officeDocument/2006/relationships/hyperlink" Target="https://www.sec.gov/Archives/edgar/data/1423689/000142368920000014/depositaryagmt-seriesf.htm" TargetMode="External"/><Relationship Id="rId128" Type="http://schemas.openxmlformats.org/officeDocument/2006/relationships/hyperlink" Target="https://www.sec.gov/Archives/edgar/data/1423689/000142368922000069/depositaryagmt.htm" TargetMode="External"/><Relationship Id="rId129" Type="http://schemas.openxmlformats.org/officeDocument/2006/relationships/hyperlink" Target="https://www.sec.gov/Archives/edgar/data/1423689/000142368921000059/a101indem.htm" TargetMode="External"/><Relationship Id="rId130" Type="http://schemas.openxmlformats.org/officeDocument/2006/relationships/hyperlink" Target="https://www.sec.gov/Archives/edgar/data/1423689/000142368921000066/a101indem.htm" TargetMode="External"/><Relationship Id="rId131" Type="http://schemas.openxmlformats.org/officeDocument/2006/relationships/hyperlink" Target="https://www.sec.gov/Archives/edgar/data/1423689/000142368924000053/gkagmt7-18x24.htm" TargetMode="External"/><Relationship Id="rId133" Type="http://schemas.openxmlformats.org/officeDocument/2006/relationships/hyperlink" Target="https://www.sec.gov/Archives/edgar/data/1423689/000119312520314929/d95688dex102.htm" TargetMode="External"/><Relationship Id="rId134" Type="http://schemas.openxmlformats.org/officeDocument/2006/relationships/hyperlink" Target="https://www.sec.gov/Archives/edgar/data/1423689/000142368923000017/agncexhibit10412312210-k.htm" TargetMode="External"/><Relationship Id="rId135" Type="http://schemas.openxmlformats.org/officeDocument/2006/relationships/hyperlink" Target="https://www.sec.gov/Archives/edgar/data/1423689/000119312520314929/d95688dex103.htm" TargetMode="External"/><Relationship Id="rId136" Type="http://schemas.openxmlformats.org/officeDocument/2006/relationships/hyperlink" Target="https://www.sec.gov/Archives/edgar/data/1423689/000142368923000017/agncexhibit10612312210-k.htm" TargetMode="External"/><Relationship Id="rId137" Type="http://schemas.openxmlformats.org/officeDocument/2006/relationships/hyperlink" Target="https://www.sec.gov/Archives/edgar/data/1423689/000142368921000005/bell12221.htm" TargetMode="External"/><Relationship Id="rId138" Type="http://schemas.openxmlformats.org/officeDocument/2006/relationships/hyperlink" Target="https://www.sec.gov/Archives/edgar/data/1423689/000142368922000004/bbell.htm" TargetMode="External"/><Relationship Id="rId139" Type="http://schemas.openxmlformats.org/officeDocument/2006/relationships/hyperlink" Target="https://www.sec.gov/Archives/edgar/data/1423689/000142368923000008/amdt2bell.htm" TargetMode="External"/><Relationship Id="rId140" Type="http://schemas.openxmlformats.org/officeDocument/2006/relationships/hyperlink" Target="https://www.sec.gov/Archives/edgar/data/1423689/000142368921000011/agncexhibit101512312010-k.htm" TargetMode="External"/><Relationship Id="rId141" Type="http://schemas.openxmlformats.org/officeDocument/2006/relationships/hyperlink" Target="https://www.sec.gov/Archives/edgar/data/1423689/000142368922000004/pollack.htm" TargetMode="External"/><Relationship Id="rId142" Type="http://schemas.openxmlformats.org/officeDocument/2006/relationships/hyperlink" Target="https://www.sec.gov/Archives/edgar/data/1423689/000142368923000008/amdt2pollack.htm" TargetMode="External"/><Relationship Id="rId143" Type="http://schemas.openxmlformats.org/officeDocument/2006/relationships/hyperlink" Target="https://www.sec.gov/Archives/edgar/data/1423689/000142368924000039/agncexhibit103312410-q.htm" TargetMode="External"/><Relationship Id="rId144" Type="http://schemas.openxmlformats.org/officeDocument/2006/relationships/hyperlink" Target="https://www.sec.gov/Archives/edgar/data/1423689/000142368922000014/agncexhibit101112312110-k.htm" TargetMode="External"/><Relationship Id="rId145" Type="http://schemas.openxmlformats.org/officeDocument/2006/relationships/hyperlink" Target="https://www.sec.gov/Archives/edgar/data/1423689/000142368918000007/agncexhibit101412311710-k.htm" TargetMode="External"/><Relationship Id="rId146" Type="http://schemas.openxmlformats.org/officeDocument/2006/relationships/hyperlink" Target="https://www.sec.gov/Archives/edgar/data/1423689/000142368918000047/agncexhibit109301810-q.htm" TargetMode="External"/><Relationship Id="rId147" Type="http://schemas.openxmlformats.org/officeDocument/2006/relationships/hyperlink" Target="https://www.sec.gov/Archives/edgar/data/1423689/000142368921000011/agncexhibit102612312010-k.htm" TargetMode="External"/><Relationship Id="rId148" Type="http://schemas.openxmlformats.org/officeDocument/2006/relationships/hyperlink" Target="https://www.sec.gov/Archives/edgar/data/1423689/000142368921000011/agncexhibit102712312010-k.htm" TargetMode="External"/><Relationship Id="rId150" Type="http://schemas.openxmlformats.org/officeDocument/2006/relationships/hyperlink" Target="https://www.sec.gov/Archives/edgar/data/1423689/000142368921000011/agncexhibit102812312010-k.htm" TargetMode="External"/><Relationship Id="rId151" Type="http://schemas.openxmlformats.org/officeDocument/2006/relationships/hyperlink" Target="https://www.sec.gov/Archives/edgar/data/1423689/000142368921000011/agncexhibit102912312010-k.htm" TargetMode="External"/><Relationship Id="rId152" Type="http://schemas.openxmlformats.org/officeDocument/2006/relationships/hyperlink" Target="https://www.sec.gov/Archives/edgar/data/1423689/000142368924000005/agncexhibit102012312310-k.htm" TargetMode="External"/><Relationship Id="rId153" Type="http://schemas.openxmlformats.org/officeDocument/2006/relationships/hyperlink" Target="https://www.sec.gov/Archives/edgar/data/1423689/000142368924000005/agncexhibit102112312310-k.htm" TargetMode="External"/><Relationship Id="rId154" Type="http://schemas.openxmlformats.org/officeDocument/2006/relationships/hyperlink" Target="https://www.sec.gov/Archives/edgar/data/1423689/000142368924000058/agncexhibit146302410-q.htm" TargetMode="External"/><Relationship Id="rId155" Type="http://schemas.openxmlformats.org/officeDocument/2006/relationships/hyperlink" Target="https://www.sec.gov/Archives/edgar/data/1423689/000142368924000005/agncexhibit971123123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2025-02-21T15:16:26Z</dcterms:created>
  <dcterms:modified xsi:type="dcterms:W3CDTF">2025-02-21T15:16:26Z</dcterms:modified>
</cp:coreProperties>
</file>