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ind w:left="433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5"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80"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83"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2" w:lineRule="exact"/>
        <w:rPr>
          <w:sz w:val="24"/>
          <w:szCs w:val="24"/>
          <w:color w:val="auto"/>
        </w:rPr>
      </w:pPr>
    </w:p>
    <w:p>
      <w:pPr>
        <w:ind w:left="32"/>
        <w:spacing w:after="0" w:line="207" w:lineRule="exact"/>
        <w:tabs>
          <w:tab w:leader="none" w:pos="3751"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20"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47" w:lineRule="exact"/>
        <w:rPr>
          <w:sz w:val="24"/>
          <w:szCs w:val="24"/>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212"/>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24"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17"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5"/>
          <w:szCs w:val="25"/>
          <w:b w:val="1"/>
          <w:bCs w:val="1"/>
          <w:color w:val="auto"/>
        </w:rPr>
        <w:t>AGNC Investment Corp.</w:t>
      </w:r>
    </w:p>
    <w:p>
      <w:pPr>
        <w:spacing w:after="0" w:line="84" w:lineRule="exact"/>
        <w:rPr>
          <w:sz w:val="24"/>
          <w:szCs w:val="24"/>
          <w:color w:val="auto"/>
        </w:rPr>
      </w:pPr>
    </w:p>
    <w:p>
      <w:pPr>
        <w:ind w:left="3832"/>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92"/>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392" w:hanging="392"/>
        <w:spacing w:after="0"/>
        <w:tabs>
          <w:tab w:leader="none" w:pos="39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rFonts w:ascii="MS PGothic" w:cs="MS PGothic" w:eastAsia="MS PGothic" w:hAnsi="MS PGothic"/>
          <w:sz w:val="18"/>
          <w:szCs w:val="18"/>
          <w:color w:val="auto"/>
        </w:rPr>
      </w:pPr>
    </w:p>
    <w:p>
      <w:pPr>
        <w:ind w:left="392" w:hanging="378"/>
        <w:spacing w:after="0"/>
        <w:tabs>
          <w:tab w:leader="none" w:pos="392"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92" w:hanging="378"/>
        <w:spacing w:after="0"/>
        <w:tabs>
          <w:tab w:leader="none" w:pos="392"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793115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1"/>
          </w:cols>
          <w:pgMar w:left="288"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311785</wp:posOffset>
            </wp:positionV>
            <wp:extent cx="4157345" cy="1259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73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407CCA"/>
        </w:rPr>
        <w:t>AGNC INVESTMENT CORP.</w:t>
      </w:r>
    </w:p>
    <w:p>
      <w:pPr>
        <w:jc w:val="center"/>
        <w:ind w:right="-59"/>
        <w:spacing w:after="0" w:line="204" w:lineRule="auto"/>
        <w:rPr>
          <w:sz w:val="20"/>
          <w:szCs w:val="20"/>
          <w:color w:val="auto"/>
        </w:rPr>
      </w:pPr>
      <w:r>
        <w:rPr>
          <w:rFonts w:ascii="Times New Roman" w:cs="Times New Roman" w:eastAsia="Times New Roman" w:hAnsi="Times New Roman"/>
          <w:sz w:val="22"/>
          <w:szCs w:val="22"/>
          <w:b w:val="1"/>
          <w:bCs w:val="1"/>
          <w:color w:val="407CCA"/>
        </w:rPr>
        <w:t>NOTICE OF 2025 ANNUAL MEETING OF</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407CCA"/>
        </w:rPr>
        <w:t>STOCKHOLDERS TO BE HELD ON APRIL 17, 2025</w:t>
      </w:r>
    </w:p>
    <w:p>
      <w:pPr>
        <w:sectPr>
          <w:pgSz w:w="11900" w:h="16838" w:orient="portrait"/>
          <w:cols w:equalWidth="0" w:num="1">
            <w:col w:w="11180"/>
          </w:cols>
          <w:pgMar w:left="320" w:top="104" w:right="399" w:bottom="1440" w:gutter="0" w:footer="0" w:header="0"/>
        </w:sect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Thursday, April 17, 2025, at 9:00 a.m., Eastern Time</w:t>
      </w:r>
    </w:p>
    <w:p>
      <w:pPr>
        <w:spacing w:after="0" w:line="98"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WHERE: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Annual Meeting will be held in a virtual format. The virtual meeting site is https://meetnow.global/AGNC2025.</w:t>
      </w:r>
    </w:p>
    <w:p>
      <w:pPr>
        <w:spacing w:after="0" w:line="97"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ind w:right="140" w:hanging="539"/>
        <w:spacing w:after="0" w:line="237"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To elect the Board of Directors, with each director serving a one-year term and until his or her successor is elected and qualified;</w:t>
      </w:r>
    </w:p>
    <w:p>
      <w:pPr>
        <w:spacing w:after="0" w:line="77" w:lineRule="exact"/>
        <w:rPr>
          <w:sz w:val="20"/>
          <w:szCs w:val="20"/>
          <w:color w:val="auto"/>
        </w:rPr>
      </w:pPr>
    </w:p>
    <w:p>
      <w:pPr>
        <w:sectPr>
          <w:pgSz w:w="11900" w:h="16838" w:orient="portrait"/>
          <w:cols w:equalWidth="0" w:num="2">
            <w:col w:w="2660" w:space="720"/>
            <w:col w:w="7800"/>
          </w:cols>
          <w:pgMar w:left="320" w:top="104" w:right="399" w:bottom="1440" w:gutter="0" w:footer="0" w:header="0"/>
          <w:type w:val="continuous"/>
        </w:sectPr>
      </w:pPr>
    </w:p>
    <w:p>
      <w:pPr>
        <w:jc w:val="both"/>
        <w:ind w:left="3380" w:right="400" w:hanging="539"/>
        <w:spacing w:after="0" w:line="263" w:lineRule="auto"/>
        <w:tabs>
          <w:tab w:leader="none" w:pos="336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To consider and vote upon an amendment to our Amended and Restated Certificate of Incorporation to increase the total authorized number of shares of common stock from 1,500,000,000 to 2,250,000,000;</w:t>
      </w:r>
    </w:p>
    <w:p>
      <w:pPr>
        <w:spacing w:after="0" w:line="98" w:lineRule="exact"/>
        <w:rPr>
          <w:sz w:val="20"/>
          <w:szCs w:val="20"/>
          <w:color w:val="auto"/>
        </w:rPr>
      </w:pPr>
    </w:p>
    <w:p>
      <w:pPr>
        <w:ind w:left="2840"/>
        <w:spacing w:after="0"/>
        <w:tabs>
          <w:tab w:leader="none" w:pos="33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To approve an advisory resolution on executive compensation;</w:t>
      </w:r>
    </w:p>
    <w:p>
      <w:pPr>
        <w:spacing w:after="0" w:line="131" w:lineRule="exact"/>
        <w:rPr>
          <w:sz w:val="20"/>
          <w:szCs w:val="20"/>
          <w:color w:val="auto"/>
        </w:rPr>
      </w:pPr>
    </w:p>
    <w:p>
      <w:pPr>
        <w:ind w:left="3380" w:right="620" w:hanging="539"/>
        <w:spacing w:after="0" w:line="237" w:lineRule="auto"/>
        <w:tabs>
          <w:tab w:leader="none" w:pos="33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To consider and vote upon the ratification of the appointment of Ernst &amp; Young LLP to serve as our independent public accountant for the year ending December 31, 2025; and</w:t>
      </w:r>
    </w:p>
    <w:p>
      <w:pPr>
        <w:spacing w:after="0" w:line="77" w:lineRule="exact"/>
        <w:rPr>
          <w:sz w:val="20"/>
          <w:szCs w:val="20"/>
          <w:color w:val="auto"/>
        </w:rPr>
      </w:pPr>
    </w:p>
    <w:p>
      <w:pPr>
        <w:ind w:left="3380" w:right="780" w:hanging="539"/>
        <w:spacing w:after="0" w:line="237" w:lineRule="auto"/>
        <w:tabs>
          <w:tab w:leader="none" w:pos="33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To transact such other business as may properly come before the meeting or any postponement or adjournment thereof.</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Stockholders will have an opportunity to submit questions during the meeting.</w:t>
      </w:r>
    </w:p>
    <w:p>
      <w:pPr>
        <w:sectPr>
          <w:pgSz w:w="11900" w:h="16838" w:orient="portrait"/>
          <w:cols w:equalWidth="0" w:num="1">
            <w:col w:w="11180"/>
          </w:cols>
          <w:pgMar w:left="320" w:top="104" w:right="399" w:bottom="1440" w:gutter="0" w:footer="0" w:header="0"/>
          <w:type w:val="continuous"/>
        </w:sectPr>
      </w:pP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You are entitled to notice of, and to vote at, the Annual Meeting and any postponement or adjournment of the Annual Meeting if you were a common stockholder of record at the close of business on February 21, 2025.</w:t>
      </w:r>
    </w:p>
    <w:p>
      <w:pPr>
        <w:spacing w:after="0" w:line="73"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MEETING DETAILS: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7"/>
          <w:szCs w:val="17"/>
          <w:color w:val="auto"/>
        </w:rPr>
        <w:t>Attendance at the meeting is limited to holders of common stock as of the close of business on February 21, 2025. For details regarding our virtual annual meeting, including how to attend and how to submit questions, see Questions 14</w:t>
      </w:r>
    </w:p>
    <w:p>
      <w:pPr>
        <w:spacing w:after="0" w:line="1"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680"/>
        <w:spacing w:after="0" w:line="220" w:lineRule="auto"/>
        <w:rPr>
          <w:sz w:val="20"/>
          <w:szCs w:val="20"/>
          <w:color w:val="auto"/>
        </w:rPr>
      </w:pPr>
      <w:r>
        <w:rPr>
          <w:rFonts w:ascii="Times New Roman" w:cs="Times New Roman" w:eastAsia="Times New Roman" w:hAnsi="Times New Roman"/>
          <w:sz w:val="18"/>
          <w:szCs w:val="18"/>
          <w:color w:val="auto"/>
        </w:rPr>
        <w:t>and 15 of “Questions and Answers About the 2025 Annual Meeting and Voting” in this proxy statement.</w:t>
      </w:r>
    </w:p>
    <w:p>
      <w:pPr>
        <w:spacing w:after="0" w:line="117" w:lineRule="exact"/>
        <w:rPr>
          <w:sz w:val="20"/>
          <w:szCs w:val="20"/>
          <w:color w:val="auto"/>
        </w:rPr>
      </w:pPr>
    </w:p>
    <w:p>
      <w:pPr>
        <w:ind w:left="2680" w:right="20"/>
        <w:spacing w:after="0" w:line="236" w:lineRule="auto"/>
        <w:rPr>
          <w:sz w:val="20"/>
          <w:szCs w:val="20"/>
          <w:color w:val="auto"/>
        </w:rPr>
      </w:pPr>
      <w:r>
        <w:rPr>
          <w:rFonts w:ascii="Times New Roman" w:cs="Times New Roman" w:eastAsia="Times New Roman" w:hAnsi="Times New Roman"/>
          <w:sz w:val="17"/>
          <w:szCs w:val="17"/>
          <w:color w:val="auto"/>
        </w:rPr>
        <w:t>If you are a beneficial owner (you own your shares through a broker, bank, or other nominee) and plan on attending, voting, or asking questions at the 2025 Annual Meeting, you may need to pre-register with Computershare. Please see</w:t>
      </w:r>
    </w:p>
    <w:p>
      <w:pPr>
        <w:ind w:left="2680"/>
        <w:spacing w:after="0" w:line="226" w:lineRule="auto"/>
        <w:rPr>
          <w:sz w:val="20"/>
          <w:szCs w:val="20"/>
          <w:color w:val="auto"/>
        </w:rPr>
      </w:pPr>
      <w:r>
        <w:rPr>
          <w:rFonts w:ascii="Times New Roman" w:cs="Times New Roman" w:eastAsia="Times New Roman" w:hAnsi="Times New Roman"/>
          <w:sz w:val="18"/>
          <w:szCs w:val="18"/>
          <w:color w:val="auto"/>
        </w:rPr>
        <w:t>Question 14 in “Questions and Answers About the 2025 Annual Meeting and Voting” for more information about pre-registration.</w:t>
      </w:r>
    </w:p>
    <w:p>
      <w:pPr>
        <w:sectPr>
          <w:pgSz w:w="11900" w:h="16838" w:orient="portrait"/>
          <w:cols w:equalWidth="0" w:num="1">
            <w:col w:w="11180"/>
          </w:cols>
          <w:pgMar w:left="320" w:top="104" w:right="399" w:bottom="1440" w:gutter="0" w:footer="0" w:header="0"/>
          <w:type w:val="continuous"/>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OF DISTRIBUTION: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notice, the proxy statement, the accompanying proxy card, and our annual report to stockholders, which includes</w:t>
      </w:r>
    </w:p>
    <w:p>
      <w:pPr>
        <w:spacing w:after="0" w:line="39" w:lineRule="exact"/>
        <w:rPr>
          <w:sz w:val="20"/>
          <w:szCs w:val="20"/>
          <w:color w:val="auto"/>
        </w:rPr>
      </w:pPr>
    </w:p>
    <w:p>
      <w:pPr>
        <w:sectPr>
          <w:pgSz w:w="11900" w:h="16838" w:orient="portrait"/>
          <w:cols w:equalWidth="0" w:num="2">
            <w:col w:w="2240" w:space="440"/>
            <w:col w:w="8500"/>
          </w:cols>
          <w:pgMar w:left="320" w:top="104" w:right="399" w:bottom="1440" w:gutter="0" w:footer="0" w:header="0"/>
          <w:type w:val="continuous"/>
        </w:sectPr>
      </w:pPr>
    </w:p>
    <w:p>
      <w:pPr>
        <w:ind w:left="2680" w:right="320"/>
        <w:spacing w:after="0" w:line="211" w:lineRule="auto"/>
        <w:rPr>
          <w:sz w:val="20"/>
          <w:szCs w:val="20"/>
          <w:color w:val="auto"/>
        </w:rPr>
      </w:pPr>
      <w:r>
        <w:rPr>
          <w:rFonts w:ascii="Times New Roman" w:cs="Times New Roman" w:eastAsia="Times New Roman" w:hAnsi="Times New Roman"/>
          <w:sz w:val="18"/>
          <w:szCs w:val="18"/>
          <w:color w:val="auto"/>
        </w:rPr>
        <w:t>our annual report on Form 10-K with audited financial statements for the year ended December 31, 2024, are first being sent to our common stockholders on or about March 7, 2025.</w:t>
      </w:r>
    </w:p>
    <w:p>
      <w:pPr>
        <w:spacing w:after="0" w:line="34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ORDER OF THE BOARD OF</w:t>
      </w:r>
    </w:p>
    <w:p>
      <w:pPr>
        <w:ind w:left="6400"/>
        <w:spacing w:after="0" w:line="203" w:lineRule="auto"/>
        <w:rPr>
          <w:sz w:val="20"/>
          <w:szCs w:val="20"/>
          <w:color w:val="auto"/>
        </w:rPr>
      </w:pPr>
      <w:r>
        <w:rPr>
          <w:rFonts w:ascii="Times New Roman" w:cs="Times New Roman" w:eastAsia="Times New Roman" w:hAnsi="Times New Roman"/>
          <w:sz w:val="18"/>
          <w:szCs w:val="18"/>
          <w:color w:val="auto"/>
        </w:rPr>
        <w:t>DIRECTORS,</w:t>
      </w:r>
    </w:p>
    <w:p>
      <w:pPr>
        <w:ind w:left="6400"/>
        <w:spacing w:after="0" w:line="219" w:lineRule="auto"/>
        <w:rPr>
          <w:sz w:val="20"/>
          <w:szCs w:val="20"/>
          <w:color w:val="auto"/>
        </w:rPr>
      </w:pPr>
      <w:r>
        <w:rPr>
          <w:rFonts w:ascii="Times New Roman" w:cs="Times New Roman" w:eastAsia="Times New Roman" w:hAnsi="Times New Roman"/>
          <w:sz w:val="18"/>
          <w:szCs w:val="18"/>
          <w:color w:val="auto"/>
        </w:rPr>
        <w:t>Kenneth L. Pollack</w:t>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Executive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158750</wp:posOffset>
            </wp:positionV>
            <wp:extent cx="693483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4835" cy="685800"/>
                    </a:xfrm>
                    <a:prstGeom prst="rect">
                      <a:avLst/>
                    </a:prstGeom>
                    <a:noFill/>
                  </pic:spPr>
                </pic:pic>
              </a:graphicData>
            </a:graphic>
          </wp:anchor>
        </w:drawing>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07CCA"/>
        </w:rPr>
        <w:t>IMPORTANT NOTICE REGARDING THE AVAILABILITY OF PROXY MATERIALS FOR THE</w:t>
      </w:r>
    </w:p>
    <w:p>
      <w:pPr>
        <w:jc w:val="center"/>
        <w:ind w:right="-59"/>
        <w:spacing w:after="0"/>
        <w:rPr>
          <w:sz w:val="20"/>
          <w:szCs w:val="20"/>
          <w:color w:val="auto"/>
        </w:rPr>
      </w:pPr>
      <w:r>
        <w:rPr>
          <w:rFonts w:ascii="Times New Roman" w:cs="Times New Roman" w:eastAsia="Times New Roman" w:hAnsi="Times New Roman"/>
          <w:sz w:val="18"/>
          <w:szCs w:val="18"/>
          <w:b w:val="1"/>
          <w:bCs w:val="1"/>
          <w:color w:val="407CCA"/>
        </w:rPr>
        <w:t>ANNUAL MEETING OF STOCKHOLDERS TO BE HELD ON APRIL 17, 2025</w:t>
      </w:r>
    </w:p>
    <w:p>
      <w:pPr>
        <w:spacing w:after="0" w:line="70" w:lineRule="exact"/>
        <w:rPr>
          <w:sz w:val="20"/>
          <w:szCs w:val="20"/>
          <w:color w:val="auto"/>
        </w:rPr>
      </w:pPr>
    </w:p>
    <w:p>
      <w:pPr>
        <w:ind w:left="440" w:right="1180"/>
        <w:spacing w:after="0" w:line="237" w:lineRule="auto"/>
        <w:rPr>
          <w:sz w:val="20"/>
          <w:szCs w:val="20"/>
          <w:color w:val="auto"/>
        </w:rPr>
      </w:pPr>
      <w:r>
        <w:rPr>
          <w:rFonts w:ascii="Times New Roman" w:cs="Times New Roman" w:eastAsia="Times New Roman" w:hAnsi="Times New Roman"/>
          <w:sz w:val="18"/>
          <w:szCs w:val="18"/>
          <w:color w:val="407CCA"/>
        </w:rPr>
        <w:t>This proxy statement and our annual report to stockholders, which includes our annual report on Form 10-K for the fiscal year ended December 31, 2024, are available free of charge on the internet at www.AGNC.com/2025proxymaterials</w:t>
      </w:r>
      <w:r>
        <w:rPr>
          <w:rFonts w:ascii="Times New Roman" w:cs="Times New Roman" w:eastAsia="Times New Roman" w:hAnsi="Times New Roman"/>
          <w:sz w:val="18"/>
          <w:szCs w:val="18"/>
          <w:i w:val="1"/>
          <w:iCs w:val="1"/>
          <w:color w:val="407CC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35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407CCA"/>
              </w:rPr>
              <w:t>AGNC INVESTMENT CORP. AT A GLANCE</w:t>
            </w:r>
          </w:p>
        </w:tc>
        <w:tc>
          <w:tcPr>
            <w:tcW w:w="0" w:type="dxa"/>
            <w:vAlign w:val="bottom"/>
          </w:tcPr>
          <w:p>
            <w:pPr>
              <w:spacing w:after="0"/>
              <w:rPr>
                <w:sz w:val="1"/>
                <w:szCs w:val="1"/>
                <w:color w:val="auto"/>
              </w:rPr>
            </w:pPr>
          </w:p>
        </w:tc>
      </w:tr>
      <w:tr>
        <w:trPr>
          <w:trHeight w:val="23"/>
        </w:trPr>
        <w:tc>
          <w:tcPr>
            <w:tcW w:w="7660" w:type="dxa"/>
            <w:vAlign w:val="bottom"/>
            <w:tcBorders>
              <w:bottom w:val="single" w:sz="8" w:color="407CCA"/>
            </w:tcBorders>
          </w:tcPr>
          <w:p>
            <w:pPr>
              <w:spacing w:after="0"/>
              <w:rPr>
                <w:sz w:val="2"/>
                <w:szCs w:val="2"/>
                <w:color w:val="auto"/>
              </w:rPr>
            </w:pPr>
          </w:p>
        </w:tc>
        <w:tc>
          <w:tcPr>
            <w:tcW w:w="2360" w:type="dxa"/>
            <w:vAlign w:val="bottom"/>
            <w:tcBorders>
              <w:bottom w:val="single" w:sz="8" w:color="407CCA"/>
            </w:tcBorders>
          </w:tcPr>
          <w:p>
            <w:pPr>
              <w:spacing w:after="0"/>
              <w:rPr>
                <w:sz w:val="2"/>
                <w:szCs w:val="2"/>
                <w:color w:val="auto"/>
              </w:rPr>
            </w:pPr>
          </w:p>
        </w:tc>
        <w:tc>
          <w:tcPr>
            <w:tcW w:w="122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7660" w:type="dxa"/>
            <w:vAlign w:val="bottom"/>
          </w:tcPr>
          <w:p>
            <w:pPr>
              <w:ind w:left="4640"/>
              <w:spacing w:after="0"/>
              <w:rPr>
                <w:sz w:val="20"/>
                <w:szCs w:val="20"/>
                <w:color w:val="auto"/>
              </w:rPr>
            </w:pPr>
            <w:r>
              <w:rPr>
                <w:rFonts w:ascii="Times New Roman" w:cs="Times New Roman" w:eastAsia="Times New Roman" w:hAnsi="Times New Roman"/>
                <w:sz w:val="22"/>
                <w:szCs w:val="22"/>
                <w:b w:val="1"/>
                <w:bCs w:val="1"/>
                <w:color w:val="407CCA"/>
              </w:rPr>
              <w:t>PROXY SUMMARY</w:t>
            </w:r>
          </w:p>
        </w:tc>
        <w:tc>
          <w:tcPr>
            <w:tcW w:w="2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ind w:left="4800"/>
              <w:spacing w:after="0"/>
              <w:rPr>
                <w:sz w:val="20"/>
                <w:szCs w:val="20"/>
                <w:color w:val="auto"/>
              </w:rPr>
            </w:pPr>
            <w:r>
              <w:rPr>
                <w:rFonts w:ascii="Times New Roman" w:cs="Times New Roman" w:eastAsia="Times New Roman" w:hAnsi="Times New Roman"/>
                <w:sz w:val="22"/>
                <w:szCs w:val="22"/>
                <w:b w:val="1"/>
                <w:bCs w:val="1"/>
                <w:color w:val="407CCA"/>
              </w:rPr>
              <w:t>Items to Be Voted</w:t>
            </w:r>
          </w:p>
        </w:tc>
        <w:tc>
          <w:tcPr>
            <w:tcW w:w="2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660" w:type="dxa"/>
            <w:vAlign w:val="bottom"/>
            <w:shd w:val="clear" w:color="auto" w:fill="407CCA"/>
          </w:tcPr>
          <w:p>
            <w:pPr>
              <w:ind w:left="140"/>
              <w:spacing w:after="0"/>
              <w:rPr>
                <w:sz w:val="20"/>
                <w:szCs w:val="20"/>
                <w:color w:val="auto"/>
              </w:rPr>
            </w:pPr>
            <w:r>
              <w:rPr>
                <w:rFonts w:ascii="Times New Roman" w:cs="Times New Roman" w:eastAsia="Times New Roman" w:hAnsi="Times New Roman"/>
                <w:sz w:val="22"/>
                <w:szCs w:val="22"/>
                <w:b w:val="1"/>
                <w:bCs w:val="1"/>
                <w:color w:val="F2F4F9"/>
              </w:rPr>
              <w:t>Proposal</w:t>
            </w:r>
          </w:p>
        </w:tc>
        <w:tc>
          <w:tcPr>
            <w:tcW w:w="2360" w:type="dxa"/>
            <w:vAlign w:val="bottom"/>
            <w:shd w:val="clear" w:color="auto" w:fill="407CCA"/>
          </w:tcPr>
          <w:p>
            <w:pPr>
              <w:jc w:val="center"/>
              <w:spacing w:after="0"/>
              <w:rPr>
                <w:sz w:val="20"/>
                <w:szCs w:val="20"/>
                <w:color w:val="auto"/>
              </w:rPr>
            </w:pPr>
            <w:r>
              <w:rPr>
                <w:rFonts w:ascii="Times New Roman" w:cs="Times New Roman" w:eastAsia="Times New Roman" w:hAnsi="Times New Roman"/>
                <w:sz w:val="22"/>
                <w:szCs w:val="22"/>
                <w:b w:val="1"/>
                <w:bCs w:val="1"/>
                <w:color w:val="F2F4F9"/>
                <w:w w:val="98"/>
              </w:rPr>
              <w:t>Board</w:t>
            </w:r>
          </w:p>
        </w:tc>
        <w:tc>
          <w:tcPr>
            <w:tcW w:w="1220" w:type="dxa"/>
            <w:vAlign w:val="bottom"/>
            <w:vMerge w:val="restart"/>
            <w:shd w:val="clear" w:color="auto" w:fill="407CCA"/>
          </w:tcPr>
          <w:p>
            <w:pPr>
              <w:jc w:val="center"/>
              <w:ind w:right="32"/>
              <w:spacing w:after="0"/>
              <w:rPr>
                <w:sz w:val="20"/>
                <w:szCs w:val="20"/>
                <w:color w:val="auto"/>
              </w:rPr>
            </w:pPr>
            <w:r>
              <w:rPr>
                <w:rFonts w:ascii="Times New Roman" w:cs="Times New Roman" w:eastAsia="Times New Roman" w:hAnsi="Times New Roman"/>
                <w:sz w:val="22"/>
                <w:szCs w:val="22"/>
                <w:b w:val="1"/>
                <w:bCs w:val="1"/>
                <w:color w:val="F2F4F9"/>
                <w:w w:val="97"/>
              </w:rPr>
              <w:t>Page</w:t>
            </w:r>
          </w:p>
        </w:tc>
        <w:tc>
          <w:tcPr>
            <w:tcW w:w="0" w:type="dxa"/>
            <w:vAlign w:val="bottom"/>
          </w:tcPr>
          <w:p>
            <w:pPr>
              <w:spacing w:after="0"/>
              <w:rPr>
                <w:sz w:val="1"/>
                <w:szCs w:val="1"/>
                <w:color w:val="auto"/>
              </w:rPr>
            </w:pPr>
          </w:p>
        </w:tc>
      </w:tr>
      <w:tr>
        <w:trPr>
          <w:trHeight w:val="174"/>
        </w:trPr>
        <w:tc>
          <w:tcPr>
            <w:tcW w:w="7660" w:type="dxa"/>
            <w:vAlign w:val="bottom"/>
            <w:shd w:val="clear" w:color="auto" w:fill="407CCA"/>
          </w:tcPr>
          <w:p>
            <w:pPr>
              <w:spacing w:after="0"/>
              <w:rPr>
                <w:sz w:val="15"/>
                <w:szCs w:val="15"/>
                <w:color w:val="auto"/>
              </w:rPr>
            </w:pPr>
          </w:p>
        </w:tc>
        <w:tc>
          <w:tcPr>
            <w:tcW w:w="2360" w:type="dxa"/>
            <w:vAlign w:val="bottom"/>
            <w:vMerge w:val="restart"/>
            <w:shd w:val="clear" w:color="auto" w:fill="407CCA"/>
          </w:tcPr>
          <w:p>
            <w:pPr>
              <w:jc w:val="center"/>
              <w:spacing w:after="0"/>
              <w:rPr>
                <w:sz w:val="20"/>
                <w:szCs w:val="20"/>
                <w:color w:val="auto"/>
              </w:rPr>
            </w:pPr>
            <w:r>
              <w:rPr>
                <w:rFonts w:ascii="Times New Roman" w:cs="Times New Roman" w:eastAsia="Times New Roman" w:hAnsi="Times New Roman"/>
                <w:sz w:val="22"/>
                <w:szCs w:val="22"/>
                <w:b w:val="1"/>
                <w:bCs w:val="1"/>
                <w:color w:val="F2F4F9"/>
                <w:w w:val="98"/>
              </w:rPr>
              <w:t>Recommendation</w:t>
            </w:r>
          </w:p>
        </w:tc>
        <w:tc>
          <w:tcPr>
            <w:tcW w:w="1220" w:type="dxa"/>
            <w:vAlign w:val="bottom"/>
            <w:vMerge w:val="continue"/>
            <w:shd w:val="clear" w:color="auto" w:fill="407CCA"/>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660" w:type="dxa"/>
            <w:vAlign w:val="bottom"/>
            <w:shd w:val="clear" w:color="auto" w:fill="407CCA"/>
          </w:tcPr>
          <w:p>
            <w:pPr>
              <w:spacing w:after="0"/>
              <w:rPr>
                <w:sz w:val="10"/>
                <w:szCs w:val="10"/>
                <w:color w:val="auto"/>
              </w:rPr>
            </w:pPr>
          </w:p>
        </w:tc>
        <w:tc>
          <w:tcPr>
            <w:tcW w:w="2360" w:type="dxa"/>
            <w:vAlign w:val="bottom"/>
            <w:vMerge w:val="continue"/>
            <w:shd w:val="clear" w:color="auto" w:fill="407CCA"/>
          </w:tcPr>
          <w:p>
            <w:pPr>
              <w:spacing w:after="0"/>
              <w:rPr>
                <w:sz w:val="10"/>
                <w:szCs w:val="10"/>
                <w:color w:val="auto"/>
              </w:rPr>
            </w:pPr>
          </w:p>
        </w:tc>
        <w:tc>
          <w:tcPr>
            <w:tcW w:w="1220" w:type="dxa"/>
            <w:vAlign w:val="bottom"/>
            <w:shd w:val="clear" w:color="auto" w:fill="407CCA"/>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76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1: </w:t>
            </w:r>
            <w:r>
              <w:rPr>
                <w:rFonts w:ascii="Times New Roman" w:cs="Times New Roman" w:eastAsia="Times New Roman" w:hAnsi="Times New Roman"/>
                <w:sz w:val="22"/>
                <w:szCs w:val="22"/>
                <w:color w:val="auto"/>
              </w:rPr>
              <w:t>Election of Directors</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11</w:t>
            </w:r>
          </w:p>
        </w:tc>
        <w:tc>
          <w:tcPr>
            <w:tcW w:w="0" w:type="dxa"/>
            <w:vAlign w:val="bottom"/>
          </w:tcPr>
          <w:p>
            <w:pPr>
              <w:spacing w:after="0"/>
              <w:rPr>
                <w:sz w:val="1"/>
                <w:szCs w:val="1"/>
                <w:color w:val="auto"/>
              </w:rPr>
            </w:pPr>
          </w:p>
        </w:tc>
      </w:tr>
      <w:tr>
        <w:trPr>
          <w:trHeight w:val="365"/>
        </w:trPr>
        <w:tc>
          <w:tcPr>
            <w:tcW w:w="76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2: </w:t>
            </w:r>
            <w:r>
              <w:rPr>
                <w:rFonts w:ascii="Times New Roman" w:cs="Times New Roman" w:eastAsia="Times New Roman" w:hAnsi="Times New Roman"/>
                <w:sz w:val="22"/>
                <w:szCs w:val="22"/>
                <w:color w:val="auto"/>
              </w:rPr>
              <w:t>Amendment to our Amended and Restated Certificate of Incorporation</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16</w:t>
            </w:r>
          </w:p>
        </w:tc>
        <w:tc>
          <w:tcPr>
            <w:tcW w:w="0" w:type="dxa"/>
            <w:vAlign w:val="bottom"/>
          </w:tcPr>
          <w:p>
            <w:pPr>
              <w:spacing w:after="0"/>
              <w:rPr>
                <w:sz w:val="1"/>
                <w:szCs w:val="1"/>
                <w:color w:val="auto"/>
              </w:rPr>
            </w:pPr>
          </w:p>
        </w:tc>
      </w:tr>
      <w:tr>
        <w:trPr>
          <w:trHeight w:val="391"/>
        </w:trPr>
        <w:tc>
          <w:tcPr>
            <w:tcW w:w="76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3: </w:t>
            </w:r>
            <w:r>
              <w:rPr>
                <w:rFonts w:ascii="Times New Roman" w:cs="Times New Roman" w:eastAsia="Times New Roman" w:hAnsi="Times New Roman"/>
                <w:sz w:val="22"/>
                <w:szCs w:val="22"/>
                <w:color w:val="auto"/>
              </w:rPr>
              <w:t>Advisory Resolution to Approve Executive Compensation</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18</w:t>
            </w:r>
          </w:p>
        </w:tc>
        <w:tc>
          <w:tcPr>
            <w:tcW w:w="0" w:type="dxa"/>
            <w:vAlign w:val="bottom"/>
          </w:tcPr>
          <w:p>
            <w:pPr>
              <w:spacing w:after="0"/>
              <w:rPr>
                <w:sz w:val="1"/>
                <w:szCs w:val="1"/>
                <w:color w:val="auto"/>
              </w:rPr>
            </w:pPr>
          </w:p>
        </w:tc>
      </w:tr>
      <w:tr>
        <w:trPr>
          <w:trHeight w:val="378"/>
        </w:trPr>
        <w:tc>
          <w:tcPr>
            <w:tcW w:w="76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4: </w:t>
            </w:r>
            <w:r>
              <w:rPr>
                <w:rFonts w:ascii="Times New Roman" w:cs="Times New Roman" w:eastAsia="Times New Roman" w:hAnsi="Times New Roman"/>
                <w:sz w:val="22"/>
                <w:szCs w:val="22"/>
                <w:color w:val="auto"/>
              </w:rPr>
              <w:t>Ratification of Appointment of Independent Public Accountant</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How to Vote Your Shares</w:t>
      </w:r>
    </w:p>
    <w:p>
      <w:pPr>
        <w:jc w:val="both"/>
        <w:ind w:right="40"/>
        <w:spacing w:after="0" w:line="223" w:lineRule="auto"/>
        <w:rPr>
          <w:sz w:val="20"/>
          <w:szCs w:val="20"/>
          <w:color w:val="auto"/>
        </w:rPr>
      </w:pPr>
      <w:r>
        <w:rPr>
          <w:rFonts w:ascii="Times New Roman" w:cs="Times New Roman" w:eastAsia="Times New Roman" w:hAnsi="Times New Roman"/>
          <w:sz w:val="17"/>
          <w:szCs w:val="17"/>
          <w:color w:val="auto"/>
        </w:rPr>
        <w:t>Your vote is important, and we urge you to cast your vote as soon as possible. You may vote through the internet, by telephone, by mailing your completed proxy card (or voting instruction form, if you hold your shares through a broker, bank, or other nominee), or online during the virtual 2025 Annual Meeting</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(the “Annual Meeting”). See “Questions and Answers About the 2025 Annual Meeting and Voting” on page 54 of this proxy statement for additional information regarding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-16510</wp:posOffset>
            </wp:positionV>
            <wp:extent cx="6172200" cy="328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Participation in the Meeting</w:t>
      </w:r>
    </w:p>
    <w:p>
      <w:pPr>
        <w:spacing w:after="0" w:line="192"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Our Annual Meeting will be held exclusively online in a virtual format to expand shareholder access and participation. There will be no physical location for the Annual Meeting, and you will not be able to attend in person. We are taking meaningful steps to facilitate the attendance and participation of our stockholders at the Annual Meeting, including by providing support for technical assistance during the meeting, allowing stockholders to submit questions</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in advance of and during the meeting, and addressing as many stockholder questions at the meeting as time allows. More information about how stockholders can access the Annual Meeting is provided in the “Questions and Answers About the 2025 Annual Meeting and Voting” section on page 54 of this proxy statement.</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940"/>
        <w:spacing w:after="0"/>
        <w:tabs>
          <w:tab w:leader="none" w:pos="111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AGNC INVESTMENT CORP. AT A GLANCE</w:t>
      </w:r>
    </w:p>
    <w:p>
      <w:pPr>
        <w:spacing w:after="0" w:line="192"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auto"/>
        </w:rPr>
        <w:t>AGNC Investment Corp. (“AGNC,” the “Company,” “we,” “our,” and “us”) is a leading provider of private capital to the U.S. housing market, enhancing liquidity in the residential real estate mortgage markets and, in turn, facilitating homeownership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652260" cy="4175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2260" cy="417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right="260"/>
        <w:spacing w:after="0" w:line="223" w:lineRule="auto"/>
        <w:rPr>
          <w:sz w:val="20"/>
          <w:szCs w:val="20"/>
          <w:color w:val="auto"/>
        </w:rPr>
      </w:pPr>
      <w:r>
        <w:rPr>
          <w:rFonts w:ascii="Times New Roman" w:cs="Times New Roman" w:eastAsia="Times New Roman" w:hAnsi="Times New Roman"/>
          <w:sz w:val="14"/>
          <w:szCs w:val="14"/>
          <w:color w:val="auto"/>
        </w:rPr>
        <w:t>Investment portfolio and stockholders’ equity capital as of December 31, 2024. Total stock return since IPO and dividends declared since inception are shown through December 31, 2024. Total stock return is measured from AGNC’s May 2008 IPO and includes price appreciation and dividend reinvestment; dividends are assumed to be reinvested at the closing price of the</w:t>
      </w:r>
    </w:p>
    <w:p>
      <w:pPr>
        <w:ind w:left="180" w:right="120"/>
        <w:spacing w:after="0" w:line="239" w:lineRule="auto"/>
        <w:rPr>
          <w:sz w:val="20"/>
          <w:szCs w:val="20"/>
          <w:color w:val="auto"/>
        </w:rPr>
      </w:pPr>
      <w:r>
        <w:rPr>
          <w:rFonts w:ascii="Times New Roman" w:cs="Times New Roman" w:eastAsia="Times New Roman" w:hAnsi="Times New Roman"/>
          <w:sz w:val="14"/>
          <w:szCs w:val="14"/>
          <w:color w:val="auto"/>
        </w:rPr>
        <w:t>security on the ex-dividend date. Operating expense structure reflects AGNC's operating expenses as a percentage of average stockholders’ equity for the twelve months ended December 31, 2024. Past performance is not indicative of future results. Source: Bloomberg.</w:t>
      </w:r>
    </w:p>
    <w:p>
      <w:pPr>
        <w:spacing w:after="0" w:line="33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ii</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From our May 2008 IPO through December 31, 2024, AGNC has declared over $14.0 billion in common stock dividends, or $48.64 per common share, and has generated a total stock return of 389%, compared to 109% for the FTSE NAREIT Mortgage REITs Index, 217% for the S&amp;P 500 Financials Index, and 115% for the S&amp;P 500 Real Estate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652260" cy="3909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226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120" w:hanging="251"/>
        <w:spacing w:after="0" w:line="261" w:lineRule="auto"/>
        <w:tabs>
          <w:tab w:leader="none" w:pos="34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 return is measured from AGNC’s May 2008 IPO through December 31, 2024. Total stock return over a period includes price appreciation and dividend reinvestment; dividends are assumed to be reinvested at the closing price of the security on the ex-dividend date. Source: Bloomberg.</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Leadership</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Management Team</w:t>
      </w: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7"/>
          <w:szCs w:val="17"/>
          <w:color w:val="auto"/>
        </w:rPr>
        <w:t>The AGNC management team is led by Peter Federico, our President and Chief Executive Officer, and Christopher Kuehl, our Executive Vice President and Chief Investment Officer. Gary Kain, previously our Chief Executive Officer and Chief Investment Officer, serves as Executive Chair of our</w:t>
      </w: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Board of Directors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Board”). Messrs. Federico, Kuehl, and Kain collectively have over 90 years of experience investing in mortgage-backed securities (“MBS”) and have worked together at AGNC for the last 14 years. Messrs. Federico, Kuehl, and Kain, together with the other members of our management team, possess a broad mix of mortgage investment expertise and experience.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Board of Directors</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AGNC’s Board is currently comprised of nine members, including seven independent directors, whose diverse range of experience and</w:t>
      </w:r>
    </w:p>
    <w:p>
      <w:pPr>
        <w:jc w:val="center"/>
        <w:ind w:right="240"/>
        <w:spacing w:after="0" w:line="225" w:lineRule="auto"/>
        <w:rPr>
          <w:sz w:val="20"/>
          <w:szCs w:val="20"/>
          <w:color w:val="auto"/>
        </w:rPr>
      </w:pPr>
      <w:r>
        <w:rPr>
          <w:rFonts w:ascii="Times New Roman" w:cs="Times New Roman" w:eastAsia="Times New Roman" w:hAnsi="Times New Roman"/>
          <w:sz w:val="17"/>
          <w:szCs w:val="17"/>
          <w:color w:val="auto"/>
        </w:rPr>
        <w:t>backgrounds makes them highly qualified to oversee our strategy, operations, and risk management. As part of its annual process, the Compensation and</w:t>
      </w:r>
    </w:p>
    <w:p>
      <w:pPr>
        <w:spacing w:after="0" w:line="220" w:lineRule="auto"/>
        <w:rPr>
          <w:sz w:val="20"/>
          <w:szCs w:val="20"/>
          <w:color w:val="auto"/>
        </w:rPr>
      </w:pPr>
      <w:r>
        <w:rPr>
          <w:rFonts w:ascii="Times New Roman" w:cs="Times New Roman" w:eastAsia="Times New Roman" w:hAnsi="Times New Roman"/>
          <w:sz w:val="18"/>
          <w:szCs w:val="18"/>
          <w:color w:val="auto"/>
        </w:rPr>
        <w:t xml:space="preserve">Corporate Governance Committee of the Board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Compensation Committee”) evaluates our Board’s backgrounds, skill sets, experience, and diversity</w:t>
      </w:r>
    </w:p>
    <w:p>
      <w:pPr>
        <w:ind w:right="280"/>
        <w:spacing w:after="0" w:line="226" w:lineRule="auto"/>
        <w:rPr>
          <w:sz w:val="20"/>
          <w:szCs w:val="20"/>
          <w:color w:val="auto"/>
        </w:rPr>
      </w:pPr>
      <w:r>
        <w:rPr>
          <w:rFonts w:ascii="Times New Roman" w:cs="Times New Roman" w:eastAsia="Times New Roman" w:hAnsi="Times New Roman"/>
          <w:sz w:val="18"/>
          <w:szCs w:val="18"/>
          <w:color w:val="auto"/>
        </w:rPr>
        <w:t>to ensure they align with the Company’s go-forward strategy. Prue Larocca serves as the Lead Independent Director and the Board’s Vice Chair. Further discussion of the responsibilities of Ms. Larocca and Mr. Kain are on page 1 under “Board Leadership Structure.”</w:t>
      </w:r>
    </w:p>
    <w:p>
      <w:pPr>
        <w:sectPr>
          <w:pgSz w:w="11900" w:h="16838" w:orient="portrait"/>
          <w:cols w:equalWidth="0" w:num="1">
            <w:col w:w="11240"/>
          </w:cols>
          <w:pgMar w:left="320" w:top="104" w:right="339" w:bottom="1440" w:gutter="0" w:footer="0" w:header="0"/>
        </w:sectPr>
      </w:pPr>
    </w:p>
    <w:p>
      <w:pPr>
        <w:spacing w:after="0" w:line="326" w:lineRule="exact"/>
        <w:rPr>
          <w:sz w:val="20"/>
          <w:szCs w:val="20"/>
          <w:color w:val="auto"/>
        </w:rPr>
      </w:pPr>
    </w:p>
    <w:p>
      <w:pPr>
        <w:ind w:left="7940"/>
        <w:spacing w:after="0"/>
        <w:tabs>
          <w:tab w:leader="none" w:pos="1108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07CCA"/>
        </w:rPr>
        <w:t>Director Nominees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36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0" w:type="dxa"/>
            <w:vAlign w:val="bottom"/>
          </w:tcPr>
          <w:p>
            <w:pPr>
              <w:spacing w:after="0"/>
              <w:rPr>
                <w:sz w:val="1"/>
                <w:szCs w:val="1"/>
                <w:color w:val="auto"/>
              </w:rPr>
            </w:pPr>
          </w:p>
        </w:tc>
      </w:tr>
      <w:tr>
        <w:trPr>
          <w:trHeight w:val="116"/>
        </w:trPr>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7"/>
              </w:rPr>
              <w:t>Compensation &amp;</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w w:val="95"/>
              </w:rPr>
              <w:t>Director Since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Independent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Executive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Corporate Governance</w:t>
            </w:r>
          </w:p>
        </w:tc>
        <w:tc>
          <w:tcPr>
            <w:tcW w:w="0" w:type="dxa"/>
            <w:vAlign w:val="bottom"/>
          </w:tcPr>
          <w:p>
            <w:pPr>
              <w:spacing w:after="0"/>
              <w:rPr>
                <w:sz w:val="1"/>
                <w:szCs w:val="1"/>
                <w:color w:val="auto"/>
              </w:rPr>
            </w:pPr>
          </w:p>
        </w:tc>
      </w:tr>
      <w:tr>
        <w:trPr>
          <w:trHeight w:val="3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Donna J. Blank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Morris A. Davis</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2008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36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Peter J. Federico </w:t>
            </w:r>
            <w:r>
              <w:rPr>
                <w:rFonts w:ascii="Times New Roman" w:cs="Times New Roman" w:eastAsia="Times New Roman" w:hAnsi="Times New Roman"/>
                <w:sz w:val="18"/>
                <w:szCs w:val="18"/>
                <w:i w:val="1"/>
                <w:iCs w:val="1"/>
                <w:color w:val="407CCA"/>
              </w:rPr>
              <w:t>(Chief Executive Officer)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D. Fisk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Andrew A. Johnson, Jr.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Gary D. Kain </w:t>
            </w:r>
            <w:r>
              <w:rPr>
                <w:rFonts w:ascii="Times New Roman" w:cs="Times New Roman" w:eastAsia="Times New Roman" w:hAnsi="Times New Roman"/>
                <w:sz w:val="18"/>
                <w:szCs w:val="18"/>
                <w:i w:val="1"/>
                <w:iCs w:val="1"/>
                <w:color w:val="407CCA"/>
              </w:rPr>
              <w:t>(Executive Chair)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2016</w:t>
            </w:r>
          </w:p>
        </w:tc>
        <w:tc>
          <w:tcPr>
            <w:tcW w:w="1000" w:type="dxa"/>
            <w:vAlign w:val="bottom"/>
          </w:tcPr>
          <w:p>
            <w:pPr>
              <w:spacing w:after="0"/>
              <w:rPr>
                <w:sz w:val="24"/>
                <w:szCs w:val="24"/>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Prue B. Larocca </w:t>
            </w:r>
            <w:r>
              <w:rPr>
                <w:rFonts w:ascii="Times New Roman" w:cs="Times New Roman" w:eastAsia="Times New Roman" w:hAnsi="Times New Roman"/>
                <w:sz w:val="18"/>
                <w:szCs w:val="18"/>
                <w:i w:val="1"/>
                <w:iCs w:val="1"/>
                <w:color w:val="407CCA"/>
              </w:rPr>
              <w:t>(Lead Independent Director and Vice Chair)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2013</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 Mullings</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2016</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Frances R. Spark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3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522605</wp:posOffset>
            </wp:positionV>
            <wp:extent cx="6172200" cy="2408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4085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3197225</wp:posOffset>
            </wp:positionV>
            <wp:extent cx="5400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Metrics as of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iv</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07CCA"/>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173990</wp:posOffset>
            </wp:positionV>
            <wp:extent cx="6951980" cy="53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1980" cy="53975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p>
      <w:pPr>
        <w:spacing w:after="0" w:line="2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Leadership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Current or former CEO, CFO, business unit, or operations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306070</wp:posOffset>
            </wp:positionV>
            <wp:extent cx="3437255"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Mortgage-Backed Securities and Housing Finance</w:t>
      </w:r>
    </w:p>
    <w:p>
      <w:pPr>
        <w:spacing w:after="0" w:line="31" w:lineRule="exact"/>
        <w:rPr>
          <w:sz w:val="20"/>
          <w:szCs w:val="20"/>
          <w:color w:val="auto"/>
        </w:rPr>
      </w:pPr>
    </w:p>
    <w:p>
      <w:pPr>
        <w:ind w:left="800" w:right="100"/>
        <w:spacing w:after="0" w:line="233" w:lineRule="auto"/>
        <w:rPr>
          <w:sz w:val="20"/>
          <w:szCs w:val="20"/>
          <w:color w:val="auto"/>
        </w:rPr>
      </w:pPr>
      <w:r>
        <w:rPr>
          <w:rFonts w:ascii="Times New Roman" w:cs="Times New Roman" w:eastAsia="Times New Roman" w:hAnsi="Times New Roman"/>
          <w:sz w:val="17"/>
          <w:szCs w:val="17"/>
          <w:color w:val="auto"/>
        </w:rPr>
        <w:t>Experience with the primary and secondary markets for residential mortgage transactions, including origination, pooling</w:t>
      </w:r>
    </w:p>
    <w:p>
      <w:pPr>
        <w:ind w:left="800" w:right="320"/>
        <w:spacing w:after="0" w:line="226" w:lineRule="auto"/>
        <w:rPr>
          <w:sz w:val="20"/>
          <w:szCs w:val="20"/>
          <w:color w:val="auto"/>
        </w:rPr>
      </w:pPr>
      <w:r>
        <w:rPr>
          <w:rFonts w:ascii="Times New Roman" w:cs="Times New Roman" w:eastAsia="Times New Roman" w:hAnsi="Times New Roman"/>
          <w:sz w:val="18"/>
          <w:szCs w:val="18"/>
          <w:color w:val="auto"/>
        </w:rPr>
        <w:t>and securitization, and secondary market investments in such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60325</wp:posOffset>
            </wp:positionV>
            <wp:extent cx="3437255"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Monetary Policy/Interest Rates</w:t>
      </w:r>
    </w:p>
    <w:p>
      <w:pPr>
        <w:spacing w:after="0" w:line="31" w:lineRule="exact"/>
        <w:rPr>
          <w:sz w:val="20"/>
          <w:szCs w:val="20"/>
          <w:color w:val="auto"/>
        </w:rPr>
      </w:pPr>
    </w:p>
    <w:p>
      <w:pPr>
        <w:ind w:left="800"/>
        <w:spacing w:after="0" w:line="220" w:lineRule="auto"/>
        <w:rPr>
          <w:sz w:val="20"/>
          <w:szCs w:val="20"/>
          <w:color w:val="auto"/>
        </w:rPr>
      </w:pPr>
      <w:r>
        <w:rPr>
          <w:rFonts w:ascii="Times New Roman" w:cs="Times New Roman" w:eastAsia="Times New Roman" w:hAnsi="Times New Roman"/>
          <w:sz w:val="18"/>
          <w:szCs w:val="18"/>
          <w:color w:val="auto"/>
        </w:rPr>
        <w:t>Understanding of the implications of changes in interest rates and monetary policy decisions on the economy and fixed income</w:t>
      </w:r>
    </w:p>
    <w:p>
      <w:pPr>
        <w:ind w:left="800"/>
        <w:spacing w:after="0"/>
        <w:rPr>
          <w:sz w:val="20"/>
          <w:szCs w:val="20"/>
          <w:color w:val="auto"/>
        </w:rPr>
      </w:pPr>
      <w:r>
        <w:rPr>
          <w:rFonts w:ascii="Times New Roman" w:cs="Times New Roman" w:eastAsia="Times New Roman" w:hAnsi="Times New Roman"/>
          <w:sz w:val="18"/>
          <w:szCs w:val="18"/>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64770</wp:posOffset>
            </wp:positionV>
            <wp:extent cx="3437255"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87"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Risk Management</w:t>
      </w:r>
    </w:p>
    <w:p>
      <w:pPr>
        <w:spacing w:after="0" w:line="31" w:lineRule="exact"/>
        <w:rPr>
          <w:sz w:val="20"/>
          <w:szCs w:val="20"/>
          <w:color w:val="auto"/>
        </w:rPr>
      </w:pPr>
    </w:p>
    <w:p>
      <w:pPr>
        <w:ind w:left="800" w:right="80"/>
        <w:spacing w:after="0" w:line="233" w:lineRule="auto"/>
        <w:rPr>
          <w:sz w:val="20"/>
          <w:szCs w:val="20"/>
          <w:color w:val="auto"/>
        </w:rPr>
      </w:pPr>
      <w:r>
        <w:rPr>
          <w:rFonts w:ascii="Times New Roman" w:cs="Times New Roman" w:eastAsia="Times New Roman" w:hAnsi="Times New Roman"/>
          <w:sz w:val="17"/>
          <w:szCs w:val="17"/>
          <w:color w:val="auto"/>
        </w:rPr>
        <w:t>Experience in the management of critical business and/or legal risk, understanding of risk management functions, including risk</w:t>
      </w:r>
    </w:p>
    <w:p>
      <w:pPr>
        <w:ind w:left="800" w:right="240"/>
        <w:spacing w:after="0" w:line="226" w:lineRule="auto"/>
        <w:rPr>
          <w:sz w:val="20"/>
          <w:szCs w:val="20"/>
          <w:color w:val="auto"/>
        </w:rPr>
      </w:pPr>
      <w:r>
        <w:rPr>
          <w:rFonts w:ascii="Times New Roman" w:cs="Times New Roman" w:eastAsia="Times New Roman" w:hAnsi="Times New Roman"/>
          <w:sz w:val="18"/>
          <w:szCs w:val="18"/>
          <w:color w:val="auto"/>
        </w:rPr>
        <w:t>identification/classification; ability to think strategically about risk and provide oversight and advice relating to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60325</wp:posOffset>
            </wp:positionV>
            <wp:extent cx="3437255" cy="53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Human Capital Management/Executive Compensation</w:t>
      </w:r>
    </w:p>
    <w:p>
      <w:pPr>
        <w:spacing w:after="0" w:line="31" w:lineRule="exact"/>
        <w:rPr>
          <w:sz w:val="20"/>
          <w:szCs w:val="20"/>
          <w:color w:val="auto"/>
        </w:rPr>
      </w:pPr>
    </w:p>
    <w:p>
      <w:pPr>
        <w:ind w:left="800" w:right="60"/>
        <w:spacing w:after="0" w:line="233" w:lineRule="auto"/>
        <w:rPr>
          <w:sz w:val="20"/>
          <w:szCs w:val="20"/>
          <w:color w:val="auto"/>
        </w:rPr>
      </w:pPr>
      <w:r>
        <w:rPr>
          <w:rFonts w:ascii="Times New Roman" w:cs="Times New Roman" w:eastAsia="Times New Roman" w:hAnsi="Times New Roman"/>
          <w:sz w:val="17"/>
          <w:szCs w:val="17"/>
          <w:color w:val="auto"/>
        </w:rPr>
        <w:t>Experience in leadership continuity, succession planning, human capital development, compensation programs, and management</w:t>
      </w:r>
    </w:p>
    <w:p>
      <w:pPr>
        <w:ind w:left="800"/>
        <w:spacing w:after="0"/>
        <w:rPr>
          <w:sz w:val="20"/>
          <w:szCs w:val="20"/>
          <w:color w:val="auto"/>
        </w:rPr>
      </w:pPr>
      <w:r>
        <w:rPr>
          <w:rFonts w:ascii="Times New Roman" w:cs="Times New Roman" w:eastAsia="Times New Roman" w:hAnsi="Times New Roman"/>
          <w:sz w:val="18"/>
          <w:szCs w:val="18"/>
          <w:color w:val="auto"/>
        </w:rPr>
        <w:t>of compensation and human capital related risks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Public Company Governance</w:t>
      </w:r>
    </w:p>
    <w:p>
      <w:pPr>
        <w:spacing w:after="0" w:line="31" w:lineRule="exact"/>
        <w:rPr>
          <w:sz w:val="20"/>
          <w:szCs w:val="20"/>
          <w:color w:val="auto"/>
        </w:rPr>
      </w:pPr>
    </w:p>
    <w:p>
      <w:pPr>
        <w:ind w:left="440" w:right="280"/>
        <w:spacing w:after="0" w:line="220" w:lineRule="auto"/>
        <w:rPr>
          <w:sz w:val="20"/>
          <w:szCs w:val="20"/>
          <w:color w:val="auto"/>
        </w:rPr>
      </w:pPr>
      <w:r>
        <w:rPr>
          <w:rFonts w:ascii="Times New Roman" w:cs="Times New Roman" w:eastAsia="Times New Roman" w:hAnsi="Times New Roman"/>
          <w:sz w:val="18"/>
          <w:szCs w:val="18"/>
          <w:color w:val="auto"/>
        </w:rPr>
        <w:t>Service on another public company board or other senior-level experience providing an understanding of corporate governance</w:t>
      </w:r>
    </w:p>
    <w:p>
      <w:pPr>
        <w:ind w:left="440"/>
        <w:spacing w:after="0"/>
        <w:rPr>
          <w:sz w:val="20"/>
          <w:szCs w:val="20"/>
          <w:color w:val="auto"/>
        </w:rPr>
      </w:pPr>
      <w:r>
        <w:rPr>
          <w:rFonts w:ascii="Times New Roman" w:cs="Times New Roman" w:eastAsia="Times New Roman" w:hAnsi="Times New Roman"/>
          <w:sz w:val="18"/>
          <w:szCs w:val="18"/>
          <w:color w:val="auto"/>
        </w:rPr>
        <w:t>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64770</wp:posOffset>
            </wp:positionV>
            <wp:extent cx="3437255"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Fixed Income</w:t>
      </w:r>
    </w:p>
    <w:p>
      <w:pPr>
        <w:spacing w:after="0" w:line="31" w:lineRule="exact"/>
        <w:rPr>
          <w:sz w:val="20"/>
          <w:szCs w:val="20"/>
          <w:color w:val="auto"/>
        </w:rPr>
      </w:pPr>
    </w:p>
    <w:p>
      <w:pPr>
        <w:ind w:left="440" w:right="240"/>
        <w:spacing w:after="0" w:line="234" w:lineRule="auto"/>
        <w:rPr>
          <w:sz w:val="20"/>
          <w:szCs w:val="20"/>
          <w:color w:val="auto"/>
        </w:rPr>
      </w:pPr>
      <w:r>
        <w:rPr>
          <w:rFonts w:ascii="Times New Roman" w:cs="Times New Roman" w:eastAsia="Times New Roman" w:hAnsi="Times New Roman"/>
          <w:sz w:val="18"/>
          <w:szCs w:val="18"/>
          <w:color w:val="auto"/>
        </w:rPr>
        <w:t>Experience in the fixed income market, including as an investor, regulator, or capital markets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292100</wp:posOffset>
            </wp:positionV>
            <wp:extent cx="3437255" cy="53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7/9</w:t>
      </w:r>
      <w:r>
        <w:rPr>
          <w:sz w:val="20"/>
          <w:szCs w:val="20"/>
          <w:color w:val="auto"/>
        </w:rPr>
        <w:tab/>
      </w:r>
      <w:r>
        <w:rPr>
          <w:rFonts w:ascii="Times New Roman" w:cs="Times New Roman" w:eastAsia="Times New Roman" w:hAnsi="Times New Roman"/>
          <w:sz w:val="18"/>
          <w:szCs w:val="18"/>
          <w:b w:val="1"/>
          <w:bCs w:val="1"/>
          <w:i w:val="1"/>
          <w:iCs w:val="1"/>
          <w:color w:val="auto"/>
        </w:rPr>
        <w:t>Capital and Portfolio Management</w:t>
      </w:r>
    </w:p>
    <w:p>
      <w:pPr>
        <w:spacing w:after="0" w:line="31" w:lineRule="exact"/>
        <w:rPr>
          <w:sz w:val="20"/>
          <w:szCs w:val="20"/>
          <w:color w:val="auto"/>
        </w:rPr>
      </w:pPr>
    </w:p>
    <w:p>
      <w:pPr>
        <w:ind w:left="440" w:right="220"/>
        <w:spacing w:after="0" w:line="220" w:lineRule="auto"/>
        <w:rPr>
          <w:sz w:val="20"/>
          <w:szCs w:val="20"/>
          <w:color w:val="auto"/>
        </w:rPr>
      </w:pPr>
      <w:r>
        <w:rPr>
          <w:rFonts w:ascii="Times New Roman" w:cs="Times New Roman" w:eastAsia="Times New Roman" w:hAnsi="Times New Roman"/>
          <w:sz w:val="18"/>
          <w:szCs w:val="18"/>
          <w:color w:val="auto"/>
        </w:rPr>
        <w:t>Experience with capital management and portfolio investment activities of financial services companies, institutional investors,</w:t>
      </w:r>
    </w:p>
    <w:p>
      <w:pPr>
        <w:ind w:right="2120" w:firstLine="443"/>
        <w:spacing w:after="0" w:line="319" w:lineRule="auto"/>
        <w:rPr>
          <w:sz w:val="20"/>
          <w:szCs w:val="20"/>
          <w:color w:val="auto"/>
        </w:rPr>
      </w:pPr>
      <w:r>
        <w:rPr>
          <w:rFonts w:ascii="Times New Roman" w:cs="Times New Roman" w:eastAsia="Times New Roman" w:hAnsi="Times New Roman"/>
          <w:sz w:val="18"/>
          <w:szCs w:val="18"/>
          <w:color w:val="auto"/>
        </w:rPr>
        <w:t xml:space="preserve">or investment management businesses </w:t>
      </w:r>
      <w:r>
        <w:rPr>
          <w:rFonts w:ascii="Times New Roman" w:cs="Times New Roman" w:eastAsia="Times New Roman" w:hAnsi="Times New Roman"/>
          <w:sz w:val="18"/>
          <w:szCs w:val="18"/>
          <w:color w:val="FFFFFF"/>
        </w:rPr>
        <w:t xml:space="preserve">6/9 </w:t>
      </w:r>
      <w:r>
        <w:rPr>
          <w:rFonts w:ascii="Times New Roman" w:cs="Times New Roman" w:eastAsia="Times New Roman" w:hAnsi="Times New Roman"/>
          <w:sz w:val="18"/>
          <w:szCs w:val="18"/>
          <w:b w:val="1"/>
          <w:bCs w:val="1"/>
          <w:i w:val="1"/>
          <w:iCs w:val="1"/>
          <w:color w:val="000000"/>
        </w:rPr>
        <w:t>Capital Markets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-152400</wp:posOffset>
            </wp:positionV>
            <wp:extent cx="3437255" cy="651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ind w:left="440" w:right="140"/>
        <w:spacing w:after="0" w:line="220" w:lineRule="auto"/>
        <w:rPr>
          <w:sz w:val="20"/>
          <w:szCs w:val="20"/>
          <w:color w:val="auto"/>
        </w:rPr>
      </w:pPr>
      <w:r>
        <w:rPr>
          <w:rFonts w:ascii="Times New Roman" w:cs="Times New Roman" w:eastAsia="Times New Roman" w:hAnsi="Times New Roman"/>
          <w:sz w:val="18"/>
          <w:szCs w:val="18"/>
          <w:color w:val="auto"/>
        </w:rPr>
        <w:t>Knowledge of capital markets and experience with raising money from institutional investors as well as public markets; experience</w:t>
      </w:r>
    </w:p>
    <w:p>
      <w:pPr>
        <w:ind w:left="440" w:right="380"/>
        <w:spacing w:after="0" w:line="226" w:lineRule="auto"/>
        <w:rPr>
          <w:sz w:val="20"/>
          <w:szCs w:val="20"/>
          <w:color w:val="auto"/>
        </w:rPr>
      </w:pPr>
      <w:r>
        <w:rPr>
          <w:rFonts w:ascii="Times New Roman" w:cs="Times New Roman" w:eastAsia="Times New Roman" w:hAnsi="Times New Roman"/>
          <w:sz w:val="18"/>
          <w:szCs w:val="18"/>
          <w:color w:val="auto"/>
        </w:rPr>
        <w:t>with acquisition, disposition, or consolidation of companies or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60325</wp:posOffset>
            </wp:positionV>
            <wp:extent cx="3437255" cy="539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5/9</w:t>
      </w:r>
      <w:r>
        <w:rPr>
          <w:sz w:val="20"/>
          <w:szCs w:val="20"/>
          <w:color w:val="auto"/>
        </w:rPr>
        <w:tab/>
      </w:r>
      <w:r>
        <w:rPr>
          <w:rFonts w:ascii="Times New Roman" w:cs="Times New Roman" w:eastAsia="Times New Roman" w:hAnsi="Times New Roman"/>
          <w:sz w:val="18"/>
          <w:szCs w:val="18"/>
          <w:b w:val="1"/>
          <w:bCs w:val="1"/>
          <w:i w:val="1"/>
          <w:iCs w:val="1"/>
          <w:color w:val="auto"/>
        </w:rPr>
        <w:t>Regulatory and Legal Compliance</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Experience in regulatory, legal, and public policy matters</w:t>
      </w:r>
    </w:p>
    <w:p>
      <w:pPr>
        <w:spacing w:after="0" w:line="579" w:lineRule="exact"/>
        <w:rPr>
          <w:sz w:val="20"/>
          <w:szCs w:val="20"/>
          <w:color w:val="auto"/>
        </w:rPr>
      </w:pPr>
    </w:p>
    <w:p>
      <w:pPr>
        <w:sectPr>
          <w:pgSz w:w="11900" w:h="16838" w:orient="portrait"/>
          <w:cols w:equalWidth="0" w:num="2">
            <w:col w:w="5520" w:space="380"/>
            <w:col w:w="5320"/>
          </w:cols>
          <w:pgMar w:left="320" w:top="104" w:right="35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94"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7"/>
          <w:szCs w:val="17"/>
          <w:color w:val="auto"/>
        </w:rPr>
        <w:t>We actively engage with and value the opinions of our stockholders, which have influenced the evolution of our compensation program, corporate governance practices, and sustainability and human capital management efforts. We value regular engagement with our stockholders, including through our quarterly earnings calls, investor conferences, fall and spring engagement campaigns, and outreach through our Investor Relations department. In 2024, we participated in eight investor conferences and five non-deal investor roadshows, held over 150 meetings and calls with institutional investors, engaged with</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financial advisors through network conference calls, and responded to over 400 letters, emails, and calls from retail investors. In the fall of 2024, we engaged in a robust outreach program, contacting our top 50 stockholders by shares of common stock owned, which collectively represented 85% of our common stock owned by institutions, and the two largest proxy advisory firms for the opportunity to engage on any aspect of our business of interest to</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them, including corporate governance and sustainability practices. In our calls with institutional investors who accepted our meeting request, we reviewed the Company’s desire to amend our Amended and Restated Certificate of Incorporation (our “Certificate of Incorporation”) to increase our authorized number of shares of common stock and also discussed our recent efforts in the areas of human capital management and corporate responsibility.</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Stockholders with whom we spoke expressed general support for our plan to increase our authorized common stock and for our corporate governance, corporate responsibility, and compensation practices.</w:t>
      </w:r>
    </w:p>
    <w:p>
      <w:pPr>
        <w:spacing w:after="0" w:line="198"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18"/>
          <w:szCs w:val="18"/>
          <w:color w:val="auto"/>
        </w:rPr>
        <w:t>In November, we published our fourth annual ESG report, which again included disclosures consistent with the recommendations of the Sustainability Accounting Standards Board (“SASB”) and the Task Force on Climate-related Financial Disclosures (“TCFD”) framework and disclosure of AGNC’s Scope 1 and Scope 2 greenhouse gas emissions (“GHG”) and energy consumption data. In 2024, we purchased carbon offsets and renewable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certificates to offset the entirety of our 2023 Scope 1 and Scope 2 emissions, respectively.</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 Program Overview, Philosophy and Structure, and Evolution</w:t>
      </w:r>
    </w:p>
    <w:p>
      <w:pPr>
        <w:spacing w:after="0" w:line="243" w:lineRule="exact"/>
        <w:rPr>
          <w:sz w:val="20"/>
          <w:szCs w:val="20"/>
          <w:color w:val="auto"/>
        </w:rPr>
      </w:pPr>
    </w:p>
    <w:p>
      <w:pPr>
        <w:ind w:right="400" w:firstLine="648"/>
        <w:spacing w:after="0" w:line="236" w:lineRule="auto"/>
        <w:rPr>
          <w:sz w:val="20"/>
          <w:szCs w:val="20"/>
          <w:color w:val="auto"/>
        </w:rPr>
      </w:pPr>
      <w:r>
        <w:rPr>
          <w:rFonts w:ascii="Times New Roman" w:cs="Times New Roman" w:eastAsia="Times New Roman" w:hAnsi="Times New Roman"/>
          <w:sz w:val="17"/>
          <w:szCs w:val="17"/>
          <w:color w:val="auto"/>
        </w:rPr>
        <w:t>Our Compensation Committee has implemented a compensation program that links pay with performance, aligns executive objectives and incentives with our stockholders’ interests, and promotes operating efficiency. In addition, we believe our compensation program is competitive given</w:t>
      </w:r>
    </w:p>
    <w:p>
      <w:pPr>
        <w:ind w:right="320"/>
        <w:spacing w:after="0" w:line="218" w:lineRule="auto"/>
        <w:rPr>
          <w:sz w:val="20"/>
          <w:szCs w:val="20"/>
          <w:color w:val="auto"/>
        </w:rPr>
      </w:pPr>
      <w:r>
        <w:rPr>
          <w:rFonts w:ascii="Times New Roman" w:cs="Times New Roman" w:eastAsia="Times New Roman" w:hAnsi="Times New Roman"/>
          <w:sz w:val="18"/>
          <w:szCs w:val="18"/>
          <w:color w:val="auto"/>
        </w:rPr>
        <w:t>AGNC’s size, scale, business, and management structure; promotes retention of our employees; and is well-governed and transparent. All AGNC employees, including our named executive officers (“NEOs”), receive a combination of base salary, short-term incentives in the form of an annual cash bonus opportunity, and long-term incentives (“LTI”) in</w:t>
      </w:r>
    </w:p>
    <w:p>
      <w:pPr>
        <w:spacing w:after="0" w:line="328"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18"/>
          <w:szCs w:val="18"/>
          <w:color w:val="auto"/>
        </w:rPr>
        <w:t>the form of restricted stock units (“RSUs”). The long-term equity incentives awarded to our NEOs and other senior-level employees consist of a combination of performance-based RSUs and time-based RSUs.</w:t>
      </w:r>
    </w:p>
    <w:p>
      <w:pPr>
        <w:spacing w:after="0" w:line="15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As part of its ongoing evaluation of our compensation practices and in response to stockholder feedback, the Compensation Committee has over time made a number of meaningful changes to our compensation program and the corporate scorecard (“Corporate Scorecard”) used to evaluate performance since the compensation program was first implemented in 2016. Those changes included ensuring a substantial allocation of our NEOs’ total target compensation to long-term equity, simplifying the annual Corporate Scorecard to increase reliance on financial performance and better align our strategic objectives to factors expected to drive long-term performance, and including additional context for our compensation programs in our Compensation Discussion and Analysis. In connection with its review of our pay practices for 2024, the Compensation Committee determined not to adjust target level or allocation of NEO pay (at target) among the elements of our compensation program. As detailed in our compensation discussion and analysis, NEO compensation is heavily weighted towards performance-based pay, with a meaningful percentage in the form of LTI awards with vesting based on company performance over a three-year period. At our 2024 Annual Meeting, 92% of our stockholders present or represented at the meeting and entitled to vote on the matter supported our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vi</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407CCA"/>
              </w:rPr>
              <w:t>TABLE OF CONTENTS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80" w:type="dxa"/>
            <w:vAlign w:val="bottom"/>
          </w:tcPr>
          <w:p>
            <w:pPr>
              <w:spacing w:after="0"/>
              <w:rPr>
                <w:sz w:val="24"/>
                <w:szCs w:val="24"/>
                <w:color w:val="auto"/>
              </w:rPr>
            </w:pPr>
          </w:p>
        </w:tc>
        <w:tc>
          <w:tcPr>
            <w:tcW w:w="10800" w:type="dxa"/>
            <w:vAlign w:val="bottom"/>
            <w:gridSpan w:val="34"/>
          </w:tcPr>
          <w:p>
            <w:pPr>
              <w:ind w:left="100"/>
              <w:spacing w:after="0"/>
              <w:rPr>
                <w:sz w:val="20"/>
                <w:szCs w:val="20"/>
                <w:color w:val="auto"/>
              </w:rPr>
            </w:pPr>
            <w:r>
              <w:rPr>
                <w:rFonts w:ascii="Times New Roman" w:cs="Times New Roman" w:eastAsia="Times New Roman" w:hAnsi="Times New Roman"/>
                <w:sz w:val="18"/>
                <w:szCs w:val="18"/>
                <w:b w:val="1"/>
                <w:bCs w:val="1"/>
                <w:color w:val="0000FF"/>
              </w:rPr>
              <w:t>Proxy Summary</w:t>
            </w:r>
          </w:p>
        </w:tc>
        <w:tc>
          <w:tcPr>
            <w:tcW w:w="3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78"/>
              </w:rPr>
              <w:t>i</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0000FF"/>
              <w:bottom w:val="single" w:sz="8" w:color="407CCA"/>
            </w:tcBorders>
          </w:tcPr>
          <w:p>
            <w:pPr>
              <w:spacing w:after="0" w:line="20" w:lineRule="exact"/>
              <w:rPr>
                <w:sz w:val="1"/>
                <w:szCs w:val="1"/>
                <w:color w:val="auto"/>
              </w:rPr>
            </w:pPr>
          </w:p>
        </w:tc>
        <w:tc>
          <w:tcPr>
            <w:tcW w:w="520" w:type="dxa"/>
            <w:vAlign w:val="bottom"/>
            <w:tcBorders>
              <w:top w:val="single" w:sz="8" w:color="0000FF"/>
              <w:bottom w:val="single" w:sz="8" w:color="407CCA"/>
            </w:tcBorders>
          </w:tcPr>
          <w:p>
            <w:pPr>
              <w:spacing w:after="0" w:line="20" w:lineRule="exact"/>
              <w:rPr>
                <w:sz w:val="1"/>
                <w:szCs w:val="1"/>
                <w:color w:val="auto"/>
              </w:rPr>
            </w:pPr>
          </w:p>
        </w:tc>
        <w:tc>
          <w:tcPr>
            <w:tcW w:w="620" w:type="dxa"/>
            <w:vAlign w:val="bottom"/>
            <w:tcBorders>
              <w:top w:val="single" w:sz="8" w:color="0000FF"/>
              <w:bottom w:val="single" w:sz="8" w:color="407CCA"/>
            </w:tcBorders>
          </w:tcPr>
          <w:p>
            <w:pPr>
              <w:spacing w:after="0" w:line="20" w:lineRule="exact"/>
              <w:rPr>
                <w:sz w:val="1"/>
                <w:szCs w:val="1"/>
                <w:color w:val="auto"/>
              </w:rPr>
            </w:pPr>
          </w:p>
        </w:tc>
        <w:tc>
          <w:tcPr>
            <w:tcW w:w="480" w:type="dxa"/>
            <w:vAlign w:val="bottom"/>
            <w:tcBorders>
              <w:bottom w:val="single" w:sz="8" w:color="407CCA"/>
            </w:tcBorders>
          </w:tcPr>
          <w:p>
            <w:pPr>
              <w:spacing w:after="0" w:line="20" w:lineRule="exact"/>
              <w:rPr>
                <w:sz w:val="1"/>
                <w:szCs w:val="1"/>
                <w:color w:val="auto"/>
              </w:rPr>
            </w:pPr>
          </w:p>
        </w:tc>
        <w:tc>
          <w:tcPr>
            <w:tcW w:w="20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2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28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5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700" w:type="dxa"/>
            <w:vAlign w:val="bottom"/>
            <w:tcBorders>
              <w:bottom w:val="single" w:sz="8" w:color="407CCA"/>
            </w:tcBorders>
          </w:tcPr>
          <w:p>
            <w:pPr>
              <w:spacing w:after="0" w:line="20" w:lineRule="exact"/>
              <w:rPr>
                <w:sz w:val="1"/>
                <w:szCs w:val="1"/>
                <w:color w:val="auto"/>
              </w:rPr>
            </w:pPr>
          </w:p>
        </w:tc>
        <w:tc>
          <w:tcPr>
            <w:tcW w:w="180" w:type="dxa"/>
            <w:vAlign w:val="bottom"/>
            <w:tcBorders>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440" w:type="dxa"/>
            <w:vAlign w:val="bottom"/>
            <w:tcBorders>
              <w:bottom w:val="single" w:sz="8" w:color="407CCA"/>
            </w:tcBorders>
          </w:tcPr>
          <w:p>
            <w:pPr>
              <w:spacing w:after="0" w:line="20" w:lineRule="exact"/>
              <w:rPr>
                <w:sz w:val="1"/>
                <w:szCs w:val="1"/>
                <w:color w:val="auto"/>
              </w:rPr>
            </w:pPr>
          </w:p>
        </w:tc>
        <w:tc>
          <w:tcPr>
            <w:tcW w:w="3960" w:type="dxa"/>
            <w:vAlign w:val="bottom"/>
            <w:tcBorders>
              <w:bottom w:val="single" w:sz="8" w:color="407CCA"/>
            </w:tcBorders>
          </w:tcPr>
          <w:p>
            <w:pPr>
              <w:spacing w:after="0" w:line="20" w:lineRule="exact"/>
              <w:rPr>
                <w:sz w:val="1"/>
                <w:szCs w:val="1"/>
                <w:color w:val="auto"/>
              </w:rPr>
            </w:pPr>
          </w:p>
        </w:tc>
        <w:tc>
          <w:tcPr>
            <w:tcW w:w="880" w:type="dxa"/>
            <w:vAlign w:val="bottom"/>
            <w:tcBorders>
              <w:bottom w:val="single" w:sz="8" w:color="407CCA"/>
            </w:tcBorders>
          </w:tcPr>
          <w:p>
            <w:pPr>
              <w:spacing w:after="0" w:line="20" w:lineRule="exact"/>
              <w:rPr>
                <w:sz w:val="1"/>
                <w:szCs w:val="1"/>
                <w:color w:val="auto"/>
              </w:rPr>
            </w:pPr>
          </w:p>
        </w:tc>
        <w:tc>
          <w:tcPr>
            <w:tcW w:w="300" w:type="dxa"/>
            <w:vAlign w:val="bottom"/>
            <w:tcBorders>
              <w:bottom w:val="single" w:sz="8" w:color="407CC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2560" w:type="dxa"/>
            <w:vAlign w:val="bottom"/>
            <w:tcBorders>
              <w:bottom w:val="single" w:sz="8" w:color="0000FF"/>
            </w:tcBorders>
            <w:gridSpan w:val="12"/>
          </w:tcPr>
          <w:p>
            <w:pPr>
              <w:ind w:left="100"/>
              <w:spacing w:after="0"/>
              <w:rPr>
                <w:sz w:val="20"/>
                <w:szCs w:val="20"/>
                <w:color w:val="auto"/>
              </w:rPr>
            </w:pPr>
            <w:r>
              <w:rPr>
                <w:rFonts w:ascii="Times New Roman" w:cs="Times New Roman" w:eastAsia="Times New Roman" w:hAnsi="Times New Roman"/>
                <w:sz w:val="18"/>
                <w:szCs w:val="18"/>
                <w:b w:val="1"/>
                <w:bCs w:val="1"/>
                <w:color w:val="0000FF"/>
                <w:w w:val="99"/>
              </w:rPr>
              <w:t>Board and Governance Matters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Board Leadership Structure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Corporate Governance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Committees of the Board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8"/>
              </w:rPr>
              <w:t>Board and Committee Meetings</w:t>
            </w:r>
          </w:p>
        </w:tc>
        <w:tc>
          <w:tcPr>
            <w:tcW w:w="60" w:type="dxa"/>
            <w:vAlign w:val="bottom"/>
            <w:tcBorders>
              <w:top w:val="single" w:sz="8" w:color="0000FF"/>
              <w:bottom w:val="single" w:sz="8" w:color="0000FF"/>
            </w:tcBorders>
          </w:tcPr>
          <w:p>
            <w:pPr>
              <w:spacing w:after="0"/>
              <w:rPr>
                <w:sz w:val="18"/>
                <w:szCs w:val="18"/>
                <w:color w:val="auto"/>
              </w:rPr>
            </w:pPr>
          </w:p>
        </w:tc>
        <w:tc>
          <w:tcPr>
            <w:tcW w:w="28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Director Nomination Process</w:t>
            </w:r>
          </w:p>
        </w:tc>
        <w:tc>
          <w:tcPr>
            <w:tcW w:w="7980" w:type="dxa"/>
            <w:vAlign w:val="bottom"/>
            <w:gridSpan w:val="16"/>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Board Membership Criteria</w:t>
            </w:r>
          </w:p>
        </w:tc>
        <w:tc>
          <w:tcPr>
            <w:tcW w:w="8080" w:type="dxa"/>
            <w:vAlign w:val="bottom"/>
            <w:gridSpan w:val="18"/>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Oversight of Strategy and Key Risks</w:t>
            </w:r>
          </w:p>
        </w:tc>
        <w:tc>
          <w:tcPr>
            <w:tcW w:w="1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Corporate Responsibility</w:t>
            </w: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Stock Ownership Guidelines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Director Resignation Policy</w:t>
            </w:r>
          </w:p>
        </w:tc>
        <w:tc>
          <w:tcPr>
            <w:tcW w:w="60" w:type="dxa"/>
            <w:vAlign w:val="bottom"/>
            <w:tcBorders>
              <w:top w:val="single" w:sz="8" w:color="0000FF"/>
              <w:bottom w:val="single" w:sz="8" w:color="0000FF"/>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40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Certain Transactions with Related Persons</w:t>
            </w:r>
          </w:p>
        </w:tc>
        <w:tc>
          <w:tcPr>
            <w:tcW w:w="7020" w:type="dxa"/>
            <w:vAlign w:val="bottom"/>
            <w:gridSpan w:val="8"/>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520" w:type="dxa"/>
            <w:vAlign w:val="bottom"/>
            <w:tcBorders>
              <w:bottom w:val="single" w:sz="8" w:color="407CCA"/>
            </w:tcBorders>
          </w:tcPr>
          <w:p>
            <w:pPr>
              <w:spacing w:after="0"/>
              <w:rPr>
                <w:sz w:val="2"/>
                <w:szCs w:val="2"/>
                <w:color w:val="auto"/>
              </w:rPr>
            </w:pPr>
          </w:p>
        </w:tc>
        <w:tc>
          <w:tcPr>
            <w:tcW w:w="62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70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396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2600" w:type="dxa"/>
            <w:vAlign w:val="bottom"/>
            <w:tcBorders>
              <w:bottom w:val="single" w:sz="8" w:color="0000FF"/>
            </w:tcBorders>
            <w:gridSpan w:val="13"/>
          </w:tcPr>
          <w:p>
            <w:pPr>
              <w:ind w:left="100"/>
              <w:spacing w:after="0"/>
              <w:rPr>
                <w:sz w:val="20"/>
                <w:szCs w:val="20"/>
                <w:color w:val="auto"/>
              </w:rPr>
            </w:pPr>
            <w:r>
              <w:rPr>
                <w:rFonts w:ascii="Times New Roman" w:cs="Times New Roman" w:eastAsia="Times New Roman" w:hAnsi="Times New Roman"/>
                <w:sz w:val="18"/>
                <w:szCs w:val="18"/>
                <w:b w:val="1"/>
                <w:bCs w:val="1"/>
                <w:color w:val="0000FF"/>
                <w:w w:val="98"/>
              </w:rPr>
              <w:t>Proposal 1: Election of Directors</w:t>
            </w:r>
          </w:p>
        </w:tc>
        <w:tc>
          <w:tcPr>
            <w:tcW w:w="40" w:type="dxa"/>
            <w:vAlign w:val="bottom"/>
          </w:tcPr>
          <w:p>
            <w:pPr>
              <w:spacing w:after="0"/>
              <w:rPr>
                <w:sz w:val="24"/>
                <w:szCs w:val="24"/>
                <w:color w:val="auto"/>
              </w:rPr>
            </w:pPr>
          </w:p>
        </w:tc>
        <w:tc>
          <w:tcPr>
            <w:tcW w:w="320" w:type="dxa"/>
            <w:vAlign w:val="bottom"/>
            <w:gridSpan w:val="5"/>
          </w:tcPr>
          <w:p>
            <w:pPr>
              <w:spacing w:after="0"/>
              <w:rPr>
                <w:sz w:val="24"/>
                <w:szCs w:val="24"/>
                <w:color w:val="auto"/>
              </w:rPr>
            </w:pP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Summary of our Board’s Industry and Functional Expertise</w:t>
            </w:r>
          </w:p>
        </w:tc>
        <w:tc>
          <w:tcPr>
            <w:tcW w:w="5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Director Nominee Biographies and Qualifications</w:t>
            </w:r>
          </w:p>
        </w:tc>
        <w:tc>
          <w:tcPr>
            <w:tcW w:w="122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Conclusion and Recommendation; Vote Required</w:t>
            </w:r>
          </w:p>
        </w:tc>
        <w:tc>
          <w:tcPr>
            <w:tcW w:w="1240" w:type="dxa"/>
            <w:vAlign w:val="bottom"/>
            <w:gridSpan w:val="4"/>
          </w:tcPr>
          <w:p>
            <w:pPr>
              <w:spacing w:after="0"/>
              <w:rPr>
                <w:sz w:val="20"/>
                <w:szCs w:val="20"/>
                <w:color w:val="auto"/>
              </w:rPr>
            </w:pPr>
          </w:p>
        </w:tc>
        <w:tc>
          <w:tcPr>
            <w:tcW w:w="4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20" w:type="dxa"/>
            <w:vAlign w:val="bottom"/>
            <w:tcBorders>
              <w:bottom w:val="single" w:sz="8" w:color="407CCA"/>
            </w:tcBorders>
          </w:tcPr>
          <w:p>
            <w:pPr>
              <w:spacing w:after="0"/>
              <w:rPr>
                <w:sz w:val="4"/>
                <w:szCs w:val="4"/>
                <w:color w:val="auto"/>
              </w:rPr>
            </w:pPr>
          </w:p>
        </w:tc>
        <w:tc>
          <w:tcPr>
            <w:tcW w:w="520" w:type="dxa"/>
            <w:vAlign w:val="bottom"/>
            <w:tcBorders>
              <w:bottom w:val="single" w:sz="8" w:color="407CCA"/>
            </w:tcBorders>
          </w:tcPr>
          <w:p>
            <w:pPr>
              <w:spacing w:after="0"/>
              <w:rPr>
                <w:sz w:val="4"/>
                <w:szCs w:val="4"/>
                <w:color w:val="auto"/>
              </w:rPr>
            </w:pPr>
          </w:p>
        </w:tc>
        <w:tc>
          <w:tcPr>
            <w:tcW w:w="620" w:type="dxa"/>
            <w:vAlign w:val="bottom"/>
            <w:tcBorders>
              <w:bottom w:val="single" w:sz="8" w:color="407CCA"/>
            </w:tcBorders>
          </w:tcPr>
          <w:p>
            <w:pPr>
              <w:spacing w:after="0"/>
              <w:rPr>
                <w:sz w:val="4"/>
                <w:szCs w:val="4"/>
                <w:color w:val="auto"/>
              </w:rPr>
            </w:pPr>
          </w:p>
        </w:tc>
        <w:tc>
          <w:tcPr>
            <w:tcW w:w="480" w:type="dxa"/>
            <w:vAlign w:val="bottom"/>
            <w:tcBorders>
              <w:bottom w:val="single" w:sz="8" w:color="407CCA"/>
            </w:tcBorders>
          </w:tcPr>
          <w:p>
            <w:pPr>
              <w:spacing w:after="0"/>
              <w:rPr>
                <w:sz w:val="4"/>
                <w:szCs w:val="4"/>
                <w:color w:val="auto"/>
              </w:rPr>
            </w:pPr>
          </w:p>
        </w:tc>
        <w:tc>
          <w:tcPr>
            <w:tcW w:w="20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2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28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5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70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440" w:type="dxa"/>
            <w:vAlign w:val="bottom"/>
            <w:tcBorders>
              <w:bottom w:val="single" w:sz="8" w:color="407CCA"/>
            </w:tcBorders>
          </w:tcPr>
          <w:p>
            <w:pPr>
              <w:spacing w:after="0"/>
              <w:rPr>
                <w:sz w:val="4"/>
                <w:szCs w:val="4"/>
                <w:color w:val="auto"/>
              </w:rPr>
            </w:pPr>
          </w:p>
        </w:tc>
        <w:tc>
          <w:tcPr>
            <w:tcW w:w="3960" w:type="dxa"/>
            <w:vAlign w:val="bottom"/>
            <w:tcBorders>
              <w:bottom w:val="single" w:sz="8" w:color="407CCA"/>
            </w:tcBorders>
          </w:tcPr>
          <w:p>
            <w:pPr>
              <w:spacing w:after="0"/>
              <w:rPr>
                <w:sz w:val="4"/>
                <w:szCs w:val="4"/>
                <w:color w:val="auto"/>
              </w:rPr>
            </w:pPr>
          </w:p>
        </w:tc>
        <w:tc>
          <w:tcPr>
            <w:tcW w:w="880" w:type="dxa"/>
            <w:vAlign w:val="bottom"/>
            <w:tcBorders>
              <w:bottom w:val="single" w:sz="8" w:color="407CCA"/>
            </w:tcBorders>
          </w:tcPr>
          <w:p>
            <w:pPr>
              <w:spacing w:after="0"/>
              <w:rPr>
                <w:sz w:val="4"/>
                <w:szCs w:val="4"/>
                <w:color w:val="auto"/>
              </w:rPr>
            </w:pPr>
          </w:p>
        </w:tc>
        <w:tc>
          <w:tcPr>
            <w:tcW w:w="300" w:type="dxa"/>
            <w:vAlign w:val="bottom"/>
            <w:tcBorders>
              <w:bottom w:val="single" w:sz="8" w:color="407CCA"/>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10800" w:type="dxa"/>
            <w:vAlign w:val="bottom"/>
            <w:gridSpan w:val="34"/>
          </w:tcPr>
          <w:p>
            <w:pPr>
              <w:ind w:left="140"/>
              <w:spacing w:after="0"/>
              <w:rPr>
                <w:sz w:val="20"/>
                <w:szCs w:val="20"/>
                <w:color w:val="auto"/>
              </w:rPr>
            </w:pPr>
            <w:r>
              <w:rPr>
                <w:rFonts w:ascii="Times New Roman" w:cs="Times New Roman" w:eastAsia="Times New Roman" w:hAnsi="Times New Roman"/>
                <w:sz w:val="18"/>
                <w:szCs w:val="18"/>
                <w:b w:val="1"/>
                <w:bCs w:val="1"/>
                <w:color w:val="0000FF"/>
              </w:rPr>
              <w:t>Proposal 2: Approval of the Amendment to Our Amended and Restated Certificate of Incorporation to Increase the Authorized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bottom w:val="single" w:sz="8" w:color="0000FF"/>
            </w:tcBorders>
          </w:tcPr>
          <w:p>
            <w:pPr>
              <w:spacing w:after="0"/>
              <w:rPr>
                <w:sz w:val="13"/>
                <w:szCs w:val="13"/>
                <w:color w:val="auto"/>
              </w:rPr>
            </w:pPr>
          </w:p>
        </w:tc>
        <w:tc>
          <w:tcPr>
            <w:tcW w:w="2860" w:type="dxa"/>
            <w:vAlign w:val="bottom"/>
            <w:tcBorders>
              <w:top w:val="single" w:sz="8" w:color="0000FF"/>
              <w:bottom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Number of Shares of Common Stock</w:t>
            </w:r>
          </w:p>
        </w:tc>
        <w:tc>
          <w:tcPr>
            <w:tcW w:w="400" w:type="dxa"/>
            <w:vAlign w:val="bottom"/>
            <w:tcBorders>
              <w:top w:val="single" w:sz="8" w:color="0000FF"/>
              <w:bottom w:val="single" w:sz="8" w:color="0000FF"/>
            </w:tcBorders>
            <w:gridSpan w:val="3"/>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13"/>
                <w:szCs w:val="13"/>
                <w:color w:val="auto"/>
              </w:rPr>
            </w:pPr>
          </w:p>
        </w:tc>
        <w:tc>
          <w:tcPr>
            <w:tcW w:w="1900" w:type="dxa"/>
            <w:vAlign w:val="bottom"/>
            <w:tcBorders>
              <w:top w:val="single" w:sz="8" w:color="0000FF"/>
              <w:bottom w:val="single" w:sz="8" w:color="0000FF"/>
            </w:tcBorders>
            <w:gridSpan w:val="6"/>
          </w:tcPr>
          <w:p>
            <w:pPr>
              <w:spacing w:after="0"/>
              <w:rPr>
                <w:sz w:val="13"/>
                <w:szCs w:val="13"/>
                <w:color w:val="auto"/>
              </w:rPr>
            </w:pPr>
          </w:p>
        </w:tc>
        <w:tc>
          <w:tcPr>
            <w:tcW w:w="440" w:type="dxa"/>
            <w:vAlign w:val="bottom"/>
            <w:tcBorders>
              <w:top w:val="single" w:sz="8" w:color="0000FF"/>
              <w:bottom w:val="single" w:sz="8" w:color="0000FF"/>
            </w:tcBorders>
          </w:tcPr>
          <w:p>
            <w:pPr>
              <w:spacing w:after="0"/>
              <w:rPr>
                <w:sz w:val="13"/>
                <w:szCs w:val="13"/>
                <w:color w:val="auto"/>
              </w:rPr>
            </w:pPr>
          </w:p>
        </w:tc>
        <w:tc>
          <w:tcPr>
            <w:tcW w:w="3960" w:type="dxa"/>
            <w:vAlign w:val="bottom"/>
            <w:tcBorders>
              <w:top w:val="single" w:sz="8" w:color="0000FF"/>
              <w:bottom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General Information</w:t>
            </w:r>
          </w:p>
        </w:tc>
        <w:tc>
          <w:tcPr>
            <w:tcW w:w="2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5"/>
          </w:tcPr>
          <w:p>
            <w:pPr>
              <w:spacing w:after="0"/>
              <w:rPr>
                <w:sz w:val="24"/>
                <w:szCs w:val="24"/>
                <w:color w:val="auto"/>
              </w:rPr>
            </w:pP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Background and Rationale</w:t>
            </w:r>
          </w:p>
        </w:tc>
        <w:tc>
          <w:tcPr>
            <w:tcW w:w="320" w:type="dxa"/>
            <w:vAlign w:val="bottom"/>
            <w:gridSpan w:val="5"/>
          </w:tcPr>
          <w:p>
            <w:pPr>
              <w:spacing w:after="0"/>
              <w:rPr>
                <w:sz w:val="24"/>
                <w:szCs w:val="24"/>
                <w:color w:val="auto"/>
              </w:rPr>
            </w:pP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Potential Effect</w:t>
            </w:r>
          </w:p>
        </w:tc>
        <w:tc>
          <w:tcPr>
            <w:tcW w:w="2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360" w:type="dxa"/>
            <w:vAlign w:val="bottom"/>
            <w:gridSpan w:val="6"/>
          </w:tcPr>
          <w:p>
            <w:pPr>
              <w:spacing w:after="0"/>
              <w:rPr>
                <w:sz w:val="24"/>
                <w:szCs w:val="24"/>
                <w:color w:val="auto"/>
              </w:rPr>
            </w:pP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Conclusion and Recommendation; 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520" w:type="dxa"/>
            <w:vAlign w:val="bottom"/>
            <w:tcBorders>
              <w:bottom w:val="single" w:sz="8" w:color="407CCA"/>
            </w:tcBorders>
          </w:tcPr>
          <w:p>
            <w:pPr>
              <w:spacing w:after="0"/>
              <w:rPr>
                <w:sz w:val="2"/>
                <w:szCs w:val="2"/>
                <w:color w:val="auto"/>
              </w:rPr>
            </w:pPr>
          </w:p>
        </w:tc>
        <w:tc>
          <w:tcPr>
            <w:tcW w:w="62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396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5520" w:type="dxa"/>
            <w:vAlign w:val="bottom"/>
            <w:tcBorders>
              <w:bottom w:val="single" w:sz="8" w:color="0000FF"/>
            </w:tcBorders>
            <w:gridSpan w:val="31"/>
          </w:tcPr>
          <w:p>
            <w:pPr>
              <w:ind w:left="140"/>
              <w:spacing w:after="0"/>
              <w:rPr>
                <w:sz w:val="20"/>
                <w:szCs w:val="20"/>
                <w:color w:val="auto"/>
              </w:rPr>
            </w:pPr>
            <w:r>
              <w:rPr>
                <w:rFonts w:ascii="Times New Roman" w:cs="Times New Roman" w:eastAsia="Times New Roman" w:hAnsi="Times New Roman"/>
                <w:sz w:val="18"/>
                <w:szCs w:val="18"/>
                <w:b w:val="1"/>
                <w:bCs w:val="1"/>
                <w:color w:val="0000FF"/>
              </w:rPr>
              <w:t>Proposal 3: Advisory Resolution to Approve Executive Compensation</w:t>
            </w:r>
          </w:p>
        </w:tc>
        <w:tc>
          <w:tcPr>
            <w:tcW w:w="440" w:type="dxa"/>
            <w:vAlign w:val="bottom"/>
          </w:tcPr>
          <w:p>
            <w:pPr>
              <w:spacing w:after="0"/>
              <w:rPr>
                <w:sz w:val="24"/>
                <w:szCs w:val="24"/>
                <w:color w:val="auto"/>
              </w:rPr>
            </w:pP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General Information</w:t>
            </w:r>
          </w:p>
        </w:tc>
        <w:tc>
          <w:tcPr>
            <w:tcW w:w="2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360" w:type="dxa"/>
            <w:vAlign w:val="bottom"/>
            <w:gridSpan w:val="6"/>
          </w:tcPr>
          <w:p>
            <w:pPr>
              <w:spacing w:after="0"/>
              <w:rPr>
                <w:sz w:val="24"/>
                <w:szCs w:val="24"/>
                <w:color w:val="auto"/>
              </w:rPr>
            </w:pP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7"/>
          </w:tcPr>
          <w:p>
            <w:pPr>
              <w:spacing w:after="0"/>
              <w:rPr>
                <w:sz w:val="24"/>
                <w:szCs w:val="24"/>
                <w:color w:val="auto"/>
              </w:rPr>
            </w:pP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Conclusion and Recommendation; 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520" w:type="dxa"/>
            <w:vAlign w:val="bottom"/>
            <w:tcBorders>
              <w:bottom w:val="single" w:sz="8" w:color="407CCA"/>
            </w:tcBorders>
          </w:tcPr>
          <w:p>
            <w:pPr>
              <w:spacing w:after="0"/>
              <w:rPr>
                <w:sz w:val="2"/>
                <w:szCs w:val="2"/>
                <w:color w:val="auto"/>
              </w:rPr>
            </w:pPr>
          </w:p>
        </w:tc>
        <w:tc>
          <w:tcPr>
            <w:tcW w:w="62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396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5960" w:type="dxa"/>
            <w:vAlign w:val="bottom"/>
            <w:tcBorders>
              <w:bottom w:val="single" w:sz="8" w:color="0000FF"/>
            </w:tcBorders>
            <w:gridSpan w:val="32"/>
          </w:tcPr>
          <w:p>
            <w:pPr>
              <w:ind w:left="140"/>
              <w:spacing w:after="0"/>
              <w:rPr>
                <w:sz w:val="20"/>
                <w:szCs w:val="20"/>
                <w:color w:val="auto"/>
              </w:rPr>
            </w:pPr>
            <w:r>
              <w:rPr>
                <w:rFonts w:ascii="Times New Roman" w:cs="Times New Roman" w:eastAsia="Times New Roman" w:hAnsi="Times New Roman"/>
                <w:sz w:val="18"/>
                <w:szCs w:val="18"/>
                <w:b w:val="1"/>
                <w:bCs w:val="1"/>
                <w:color w:val="0000FF"/>
              </w:rPr>
              <w:t>Proposal 4: Ratification of Appointment of Independent Public Accountant</w:t>
            </w:r>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Independent Public Accountant’s Fees</w:t>
            </w:r>
          </w:p>
        </w:tc>
        <w:tc>
          <w:tcPr>
            <w:tcW w:w="140" w:type="dxa"/>
            <w:vAlign w:val="bottom"/>
          </w:tcPr>
          <w:p>
            <w:pPr>
              <w:spacing w:after="0"/>
              <w:rPr>
                <w:sz w:val="24"/>
                <w:szCs w:val="24"/>
                <w:color w:val="auto"/>
              </w:rPr>
            </w:pPr>
          </w:p>
        </w:tc>
        <w:tc>
          <w:tcPr>
            <w:tcW w:w="71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Pre-Approval Policy</w:t>
            </w:r>
          </w:p>
        </w:tc>
        <w:tc>
          <w:tcPr>
            <w:tcW w:w="8580" w:type="dxa"/>
            <w:vAlign w:val="bottom"/>
            <w:gridSpan w:val="2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Conclusion and Recommendation; 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520" w:type="dxa"/>
            <w:vAlign w:val="bottom"/>
            <w:tcBorders>
              <w:bottom w:val="single" w:sz="8" w:color="407CCA"/>
            </w:tcBorders>
          </w:tcPr>
          <w:p>
            <w:pPr>
              <w:spacing w:after="0"/>
              <w:rPr>
                <w:sz w:val="2"/>
                <w:szCs w:val="2"/>
                <w:color w:val="auto"/>
              </w:rPr>
            </w:pPr>
          </w:p>
        </w:tc>
        <w:tc>
          <w:tcPr>
            <w:tcW w:w="62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396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540" w:type="dxa"/>
            <w:vAlign w:val="bottom"/>
            <w:tcBorders>
              <w:bottom w:val="single" w:sz="8" w:color="0000FF"/>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Report of the Audit Committee</w:t>
            </w:r>
          </w:p>
        </w:tc>
        <w:tc>
          <w:tcPr>
            <w:tcW w:w="60" w:type="dxa"/>
            <w:vAlign w:val="bottom"/>
            <w:gridSpan w:val="2"/>
          </w:tcPr>
          <w:p>
            <w:pPr>
              <w:spacing w:after="0"/>
              <w:rPr>
                <w:sz w:val="24"/>
                <w:szCs w:val="24"/>
                <w:color w:val="auto"/>
              </w:rPr>
            </w:pPr>
          </w:p>
        </w:tc>
        <w:tc>
          <w:tcPr>
            <w:tcW w:w="360" w:type="dxa"/>
            <w:vAlign w:val="bottom"/>
            <w:gridSpan w:val="6"/>
          </w:tcPr>
          <w:p>
            <w:pPr>
              <w:spacing w:after="0"/>
              <w:rPr>
                <w:sz w:val="24"/>
                <w:szCs w:val="24"/>
                <w:color w:val="auto"/>
              </w:rPr>
            </w:pPr>
          </w:p>
        </w:tc>
        <w:tc>
          <w:tcPr>
            <w:tcW w:w="660" w:type="dxa"/>
            <w:vAlign w:val="bottom"/>
            <w:gridSpan w:val="6"/>
          </w:tcPr>
          <w:p>
            <w:pPr>
              <w:spacing w:after="0"/>
              <w:rPr>
                <w:sz w:val="24"/>
                <w:szCs w:val="24"/>
                <w:color w:val="auto"/>
              </w:rPr>
            </w:pPr>
          </w:p>
        </w:tc>
        <w:tc>
          <w:tcPr>
            <w:tcW w:w="71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2600" w:type="dxa"/>
            <w:vAlign w:val="bottom"/>
            <w:tcBorders>
              <w:bottom w:val="single" w:sz="8" w:color="0000FF"/>
            </w:tcBorders>
            <w:gridSpan w:val="13"/>
          </w:tcPr>
          <w:p>
            <w:pPr>
              <w:ind w:left="100"/>
              <w:spacing w:after="0"/>
              <w:rPr>
                <w:sz w:val="20"/>
                <w:szCs w:val="20"/>
                <w:color w:val="auto"/>
              </w:rPr>
            </w:pPr>
            <w:r>
              <w:rPr>
                <w:rFonts w:ascii="Times New Roman" w:cs="Times New Roman" w:eastAsia="Times New Roman" w:hAnsi="Times New Roman"/>
                <w:sz w:val="18"/>
                <w:szCs w:val="18"/>
                <w:b w:val="1"/>
                <w:bCs w:val="1"/>
                <w:color w:val="0000FF"/>
              </w:rPr>
              <w:t>Executive Officers of Registrant</w:t>
            </w:r>
          </w:p>
        </w:tc>
        <w:tc>
          <w:tcPr>
            <w:tcW w:w="360" w:type="dxa"/>
            <w:vAlign w:val="bottom"/>
            <w:gridSpan w:val="6"/>
          </w:tcPr>
          <w:p>
            <w:pPr>
              <w:spacing w:after="0"/>
              <w:rPr>
                <w:sz w:val="24"/>
                <w:szCs w:val="24"/>
                <w:color w:val="auto"/>
              </w:rPr>
            </w:pPr>
          </w:p>
        </w:tc>
        <w:tc>
          <w:tcPr>
            <w:tcW w:w="660" w:type="dxa"/>
            <w:vAlign w:val="bottom"/>
            <w:gridSpan w:val="6"/>
          </w:tcPr>
          <w:p>
            <w:pPr>
              <w:spacing w:after="0"/>
              <w:rPr>
                <w:sz w:val="24"/>
                <w:szCs w:val="24"/>
                <w:color w:val="auto"/>
              </w:rPr>
            </w:pPr>
          </w:p>
        </w:tc>
        <w:tc>
          <w:tcPr>
            <w:tcW w:w="71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Officer Biographies</w:t>
            </w:r>
          </w:p>
        </w:tc>
        <w:tc>
          <w:tcPr>
            <w:tcW w:w="660" w:type="dxa"/>
            <w:vAlign w:val="bottom"/>
            <w:gridSpan w:val="6"/>
            <w:vMerge w:val="restart"/>
          </w:tcPr>
          <w:p>
            <w:pPr>
              <w:spacing w:after="0"/>
              <w:rPr>
                <w:sz w:val="24"/>
                <w:szCs w:val="24"/>
                <w:color w:val="auto"/>
              </w:rPr>
            </w:pPr>
          </w:p>
        </w:tc>
        <w:tc>
          <w:tcPr>
            <w:tcW w:w="7180" w:type="dxa"/>
            <w:vAlign w:val="bottom"/>
            <w:gridSpan w:val="9"/>
            <w:vMerge w:val="restart"/>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20" w:type="dxa"/>
            <w:vAlign w:val="bottom"/>
            <w:tcBorders>
              <w:bottom w:val="single" w:sz="8" w:color="407CCA"/>
            </w:tcBorders>
          </w:tcPr>
          <w:p>
            <w:pPr>
              <w:spacing w:after="0"/>
              <w:rPr>
                <w:sz w:val="4"/>
                <w:szCs w:val="4"/>
                <w:color w:val="auto"/>
              </w:rPr>
            </w:pPr>
          </w:p>
        </w:tc>
        <w:tc>
          <w:tcPr>
            <w:tcW w:w="520" w:type="dxa"/>
            <w:vAlign w:val="bottom"/>
            <w:tcBorders>
              <w:bottom w:val="single" w:sz="8" w:color="407CCA"/>
            </w:tcBorders>
          </w:tcPr>
          <w:p>
            <w:pPr>
              <w:spacing w:after="0"/>
              <w:rPr>
                <w:sz w:val="4"/>
                <w:szCs w:val="4"/>
                <w:color w:val="auto"/>
              </w:rPr>
            </w:pPr>
          </w:p>
        </w:tc>
        <w:tc>
          <w:tcPr>
            <w:tcW w:w="1300" w:type="dxa"/>
            <w:vAlign w:val="bottom"/>
            <w:tcBorders>
              <w:bottom w:val="single" w:sz="8" w:color="407CCA"/>
            </w:tcBorders>
            <w:gridSpan w:val="3"/>
          </w:tcPr>
          <w:p>
            <w:pPr>
              <w:spacing w:after="0"/>
              <w:rPr>
                <w:sz w:val="4"/>
                <w:szCs w:val="4"/>
                <w:color w:val="auto"/>
              </w:rPr>
            </w:pPr>
          </w:p>
        </w:tc>
        <w:tc>
          <w:tcPr>
            <w:tcW w:w="920" w:type="dxa"/>
            <w:vAlign w:val="bottom"/>
            <w:tcBorders>
              <w:bottom w:val="single" w:sz="8" w:color="407CCA"/>
            </w:tcBorders>
            <w:gridSpan w:val="14"/>
          </w:tcPr>
          <w:p>
            <w:pPr>
              <w:spacing w:after="0"/>
              <w:rPr>
                <w:sz w:val="4"/>
                <w:szCs w:val="4"/>
                <w:color w:val="auto"/>
              </w:rPr>
            </w:pPr>
          </w:p>
        </w:tc>
        <w:tc>
          <w:tcPr>
            <w:tcW w:w="660" w:type="dxa"/>
            <w:vAlign w:val="bottom"/>
            <w:tcBorders>
              <w:bottom w:val="single" w:sz="8" w:color="407CCA"/>
            </w:tcBorders>
            <w:gridSpan w:val="6"/>
            <w:vMerge w:val="continue"/>
          </w:tcPr>
          <w:p>
            <w:pPr>
              <w:spacing w:after="0"/>
              <w:rPr>
                <w:sz w:val="4"/>
                <w:szCs w:val="4"/>
                <w:color w:val="auto"/>
              </w:rPr>
            </w:pPr>
          </w:p>
        </w:tc>
        <w:tc>
          <w:tcPr>
            <w:tcW w:w="7180" w:type="dxa"/>
            <w:vAlign w:val="bottom"/>
            <w:tcBorders>
              <w:bottom w:val="single" w:sz="8" w:color="407CCA"/>
            </w:tcBorders>
            <w:gridSpan w:val="9"/>
            <w:vMerge w:val="continue"/>
          </w:tcPr>
          <w:p>
            <w:pPr>
              <w:spacing w:after="0"/>
              <w:rPr>
                <w:sz w:val="4"/>
                <w:szCs w:val="4"/>
                <w:color w:val="auto"/>
              </w:rPr>
            </w:pPr>
          </w:p>
        </w:tc>
        <w:tc>
          <w:tcPr>
            <w:tcW w:w="300" w:type="dxa"/>
            <w:vAlign w:val="bottom"/>
            <w:tcBorders>
              <w:bottom w:val="single" w:sz="8" w:color="407CCA"/>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040" w:type="dxa"/>
            <w:vAlign w:val="bottom"/>
            <w:tcBorders>
              <w:bottom w:val="single" w:sz="8" w:color="0000FF"/>
            </w:tcBorders>
            <w:gridSpan w:val="5"/>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876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71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36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color w:val="407CCA"/>
                <w:w w:val="94"/>
              </w:rPr>
              <w:t>vii</w:t>
            </w:r>
          </w:p>
        </w:tc>
        <w:tc>
          <w:tcPr>
            <w:tcW w:w="0" w:type="dxa"/>
            <w:vAlign w:val="bottom"/>
          </w:tcPr>
          <w:p>
            <w:pPr>
              <w:spacing w:after="0"/>
              <w:rPr>
                <w:sz w:val="1"/>
                <w:szCs w:val="1"/>
                <w:color w:val="auto"/>
              </w:rPr>
            </w:pPr>
          </w:p>
        </w:tc>
      </w:tr>
      <w:tr>
        <w:trPr>
          <w:trHeight w:val="233"/>
        </w:trPr>
        <w:tc>
          <w:tcPr>
            <w:tcW w:w="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39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2024 Named Executive Officers</w:t>
            </w:r>
          </w:p>
        </w:tc>
        <w:tc>
          <w:tcPr>
            <w:tcW w:w="2780" w:type="dxa"/>
            <w:vAlign w:val="bottom"/>
            <w:gridSpan w:val="20"/>
          </w:tcPr>
          <w:p>
            <w:pPr>
              <w:spacing w:after="0"/>
              <w:rPr>
                <w:sz w:val="19"/>
                <w:szCs w:val="19"/>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Executive Summary</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2024 Performance Highlights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Compensation Philosophy and Objectives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Stockholder Engagement</w:t>
            </w:r>
          </w:p>
        </w:tc>
        <w:tc>
          <w:tcPr>
            <w:tcW w:w="2800" w:type="dxa"/>
            <w:vAlign w:val="bottom"/>
            <w:gridSpan w:val="21"/>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Composition of NEO Compensation</w:t>
            </w:r>
          </w:p>
        </w:tc>
        <w:tc>
          <w:tcPr>
            <w:tcW w:w="2040" w:type="dxa"/>
            <w:vAlign w:val="bottom"/>
            <w:gridSpan w:val="12"/>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Compensation Governance Practices</w:t>
            </w:r>
          </w:p>
        </w:tc>
        <w:tc>
          <w:tcPr>
            <w:tcW w:w="2000" w:type="dxa"/>
            <w:vAlign w:val="bottom"/>
            <w:gridSpan w:val="10"/>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Compensation Program In Detail</w:t>
            </w:r>
          </w:p>
        </w:tc>
        <w:tc>
          <w:tcPr>
            <w:tcW w:w="2720" w:type="dxa"/>
            <w:vAlign w:val="bottom"/>
            <w:gridSpan w:val="18"/>
          </w:tcPr>
          <w:p>
            <w:pPr>
              <w:spacing w:after="0"/>
              <w:rPr>
                <w:sz w:val="19"/>
                <w:szCs w:val="19"/>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Compensation Program Elements</w:t>
            </w:r>
          </w:p>
        </w:tc>
        <w:tc>
          <w:tcPr>
            <w:tcW w:w="2240" w:type="dxa"/>
            <w:vAlign w:val="bottom"/>
            <w:gridSpan w:val="14"/>
          </w:tcPr>
          <w:p>
            <w:pPr>
              <w:spacing w:after="0"/>
              <w:rPr>
                <w:sz w:val="21"/>
                <w:szCs w:val="21"/>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7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Corporate Scorecard for Calculating Annual Bonus</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Equity Incentive Compensation</w:t>
            </w:r>
          </w:p>
        </w:tc>
        <w:tc>
          <w:tcPr>
            <w:tcW w:w="2380" w:type="dxa"/>
            <w:vAlign w:val="bottom"/>
            <w:gridSpan w:val="16"/>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Compensation Decision Process</w:t>
            </w:r>
          </w:p>
        </w:tc>
        <w:tc>
          <w:tcPr>
            <w:tcW w:w="2340" w:type="dxa"/>
            <w:vAlign w:val="bottom"/>
            <w:gridSpan w:val="15"/>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Other Compensation Policies and Practices</w:t>
            </w:r>
          </w:p>
        </w:tc>
        <w:tc>
          <w:tcPr>
            <w:tcW w:w="18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Report of the Compensation and Corporate Governance Committee</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26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2024 Summary Compensation Table</w:t>
            </w:r>
          </w:p>
        </w:tc>
        <w:tc>
          <w:tcPr>
            <w:tcW w:w="540" w:type="dxa"/>
            <w:vAlign w:val="bottom"/>
            <w:tcBorders>
              <w:top w:val="single" w:sz="8" w:color="0000FF"/>
            </w:tcBorders>
            <w:gridSpan w:val="6"/>
          </w:tcPr>
          <w:p>
            <w:pPr>
              <w:spacing w:after="0"/>
              <w:rPr>
                <w:sz w:val="22"/>
                <w:szCs w:val="22"/>
                <w:color w:val="auto"/>
              </w:rPr>
            </w:pPr>
          </w:p>
        </w:tc>
        <w:tc>
          <w:tcPr>
            <w:tcW w:w="180" w:type="dxa"/>
            <w:vAlign w:val="bottom"/>
            <w:tcBorders>
              <w:top w:val="single" w:sz="8" w:color="0000FF"/>
            </w:tcBorders>
            <w:gridSpan w:val="2"/>
          </w:tcPr>
          <w:p>
            <w:pPr>
              <w:spacing w:after="0"/>
              <w:rPr>
                <w:sz w:val="22"/>
                <w:szCs w:val="22"/>
                <w:color w:val="auto"/>
              </w:rPr>
            </w:pPr>
          </w:p>
        </w:tc>
        <w:tc>
          <w:tcPr>
            <w:tcW w:w="200" w:type="dxa"/>
            <w:vAlign w:val="bottom"/>
            <w:tcBorders>
              <w:top w:val="single" w:sz="8" w:color="0000FF"/>
            </w:tcBorders>
            <w:gridSpan w:val="2"/>
          </w:tcPr>
          <w:p>
            <w:pPr>
              <w:spacing w:after="0"/>
              <w:rPr>
                <w:sz w:val="22"/>
                <w:szCs w:val="22"/>
                <w:color w:val="auto"/>
              </w:rPr>
            </w:pPr>
          </w:p>
        </w:tc>
        <w:tc>
          <w:tcPr>
            <w:tcW w:w="260" w:type="dxa"/>
            <w:vAlign w:val="bottom"/>
            <w:tcBorders>
              <w:top w:val="single" w:sz="8" w:color="0000FF"/>
            </w:tcBorders>
            <w:gridSpan w:val="2"/>
          </w:tcPr>
          <w:p>
            <w:pPr>
              <w:spacing w:after="0"/>
              <w:rPr>
                <w:sz w:val="22"/>
                <w:szCs w:val="22"/>
                <w:color w:val="auto"/>
              </w:rPr>
            </w:pPr>
          </w:p>
        </w:tc>
        <w:tc>
          <w:tcPr>
            <w:tcW w:w="200" w:type="dxa"/>
            <w:vAlign w:val="bottom"/>
            <w:tcBorders>
              <w:top w:val="single" w:sz="8" w:color="0000FF"/>
            </w:tcBorders>
            <w:gridSpan w:val="2"/>
          </w:tcPr>
          <w:p>
            <w:pPr>
              <w:spacing w:after="0"/>
              <w:rPr>
                <w:sz w:val="22"/>
                <w:szCs w:val="22"/>
                <w:color w:val="auto"/>
              </w:rPr>
            </w:pPr>
          </w:p>
        </w:tc>
        <w:tc>
          <w:tcPr>
            <w:tcW w:w="760" w:type="dxa"/>
            <w:vAlign w:val="bottom"/>
            <w:tcBorders>
              <w:top w:val="single" w:sz="8" w:color="0000FF"/>
            </w:tcBorders>
            <w:gridSpan w:val="2"/>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Grants of Plan-Based Awards in Fiscal Year 2024</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80" w:type="dxa"/>
            <w:vAlign w:val="bottom"/>
            <w:gridSpan w:val="9"/>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38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Outstanding Equity Awards at 2024 Fiscal Year-End</w:t>
            </w:r>
          </w:p>
        </w:tc>
        <w:tc>
          <w:tcPr>
            <w:tcW w:w="1560" w:type="dxa"/>
            <w:vAlign w:val="bottom"/>
            <w:gridSpan w:val="7"/>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40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Option Exercises and Stock Vested for Fiscal Year 2024</w:t>
            </w:r>
          </w:p>
        </w:tc>
        <w:tc>
          <w:tcPr>
            <w:tcW w:w="760" w:type="dxa"/>
            <w:vAlign w:val="bottom"/>
            <w:gridSpan w:val="2"/>
          </w:tcPr>
          <w:p>
            <w:pPr>
              <w:spacing w:after="0"/>
              <w:rPr>
                <w:sz w:val="22"/>
                <w:szCs w:val="22"/>
                <w:color w:val="auto"/>
              </w:rPr>
            </w:pPr>
          </w:p>
        </w:tc>
        <w:tc>
          <w:tcPr>
            <w:tcW w:w="14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Severance and Change of Control Payments</w:t>
            </w:r>
          </w:p>
        </w:tc>
        <w:tc>
          <w:tcPr>
            <w:tcW w:w="2200" w:type="dxa"/>
            <w:vAlign w:val="bottom"/>
            <w:gridSpan w:val="13"/>
          </w:tcPr>
          <w:p>
            <w:pPr>
              <w:spacing w:after="0"/>
              <w:rPr>
                <w:sz w:val="22"/>
                <w:szCs w:val="22"/>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Pay Versus Performance</w:t>
            </w:r>
          </w:p>
        </w:tc>
        <w:tc>
          <w:tcPr>
            <w:tcW w:w="3600" w:type="dxa"/>
            <w:vAlign w:val="bottom"/>
            <w:gridSpan w:val="24"/>
          </w:tcPr>
          <w:p>
            <w:pPr>
              <w:spacing w:after="0"/>
              <w:rPr>
                <w:sz w:val="19"/>
                <w:szCs w:val="19"/>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CEO Compensation Pay Ratio</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4"/>
        </w:trPr>
        <w:tc>
          <w:tcPr>
            <w:tcW w:w="740" w:type="dxa"/>
            <w:vAlign w:val="bottom"/>
            <w:tcBorders>
              <w:bottom w:val="single" w:sz="8" w:color="407CCA"/>
            </w:tcBorders>
          </w:tcPr>
          <w:p>
            <w:pPr>
              <w:spacing w:after="0"/>
              <w:rPr>
                <w:sz w:val="2"/>
                <w:szCs w:val="2"/>
                <w:color w:val="auto"/>
              </w:rPr>
            </w:pPr>
          </w:p>
        </w:tc>
        <w:tc>
          <w:tcPr>
            <w:tcW w:w="240" w:type="dxa"/>
            <w:vAlign w:val="bottom"/>
            <w:tcBorders>
              <w:top w:val="single" w:sz="8" w:color="0000FF"/>
              <w:bottom w:val="single" w:sz="8" w:color="407CCA"/>
            </w:tcBorders>
          </w:tcPr>
          <w:p>
            <w:pPr>
              <w:spacing w:after="0"/>
              <w:rPr>
                <w:sz w:val="2"/>
                <w:szCs w:val="2"/>
                <w:color w:val="auto"/>
              </w:rPr>
            </w:pPr>
          </w:p>
        </w:tc>
        <w:tc>
          <w:tcPr>
            <w:tcW w:w="460" w:type="dxa"/>
            <w:vAlign w:val="bottom"/>
            <w:tcBorders>
              <w:top w:val="single" w:sz="8" w:color="0000FF"/>
              <w:bottom w:val="single" w:sz="8" w:color="407CCA"/>
            </w:tcBorders>
          </w:tcPr>
          <w:p>
            <w:pPr>
              <w:spacing w:after="0"/>
              <w:rPr>
                <w:sz w:val="2"/>
                <w:szCs w:val="2"/>
                <w:color w:val="auto"/>
              </w:rPr>
            </w:pPr>
          </w:p>
        </w:tc>
        <w:tc>
          <w:tcPr>
            <w:tcW w:w="100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32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38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42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460" w:type="dxa"/>
            <w:vAlign w:val="bottom"/>
            <w:tcBorders>
              <w:bottom w:val="single" w:sz="8" w:color="407CCA"/>
            </w:tcBorders>
          </w:tcPr>
          <w:p>
            <w:pPr>
              <w:spacing w:after="0"/>
              <w:rPr>
                <w:sz w:val="2"/>
                <w:szCs w:val="2"/>
                <w:color w:val="auto"/>
              </w:rPr>
            </w:pPr>
          </w:p>
        </w:tc>
        <w:tc>
          <w:tcPr>
            <w:tcW w:w="500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80" w:type="dxa"/>
            <w:vAlign w:val="bottom"/>
            <w:tcBorders>
              <w:bottom w:val="single" w:sz="8" w:color="0000FF"/>
            </w:tcBorders>
            <w:gridSpan w:val="18"/>
          </w:tcPr>
          <w:p>
            <w:pPr>
              <w:ind w:left="100"/>
              <w:spacing w:after="0"/>
              <w:rPr>
                <w:sz w:val="20"/>
                <w:szCs w:val="20"/>
                <w:color w:val="auto"/>
              </w:rPr>
            </w:pPr>
            <w:r>
              <w:rPr>
                <w:rFonts w:ascii="Times New Roman" w:cs="Times New Roman" w:eastAsia="Times New Roman" w:hAnsi="Times New Roman"/>
                <w:sz w:val="18"/>
                <w:szCs w:val="18"/>
                <w:b w:val="1"/>
                <w:bCs w:val="1"/>
                <w:color w:val="0000FF"/>
              </w:rPr>
              <w:t>Information Regarding Company Voting Securities</w:t>
            </w:r>
          </w:p>
        </w:tc>
        <w:tc>
          <w:tcPr>
            <w:tcW w:w="1420" w:type="dxa"/>
            <w:vAlign w:val="bottom"/>
            <w:gridSpan w:val="8"/>
          </w:tcPr>
          <w:p>
            <w:pPr>
              <w:spacing w:after="0"/>
              <w:rPr>
                <w:sz w:val="24"/>
                <w:szCs w:val="24"/>
                <w:color w:val="auto"/>
              </w:rPr>
            </w:pPr>
          </w:p>
        </w:tc>
        <w:tc>
          <w:tcPr>
            <w:tcW w:w="1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45"/>
        </w:trPr>
        <w:tc>
          <w:tcPr>
            <w:tcW w:w="740" w:type="dxa"/>
            <w:vAlign w:val="bottom"/>
          </w:tcPr>
          <w:p>
            <w:pPr>
              <w:spacing w:after="0"/>
              <w:rPr>
                <w:sz w:val="24"/>
                <w:szCs w:val="24"/>
                <w:color w:val="auto"/>
              </w:rPr>
            </w:pPr>
          </w:p>
        </w:tc>
        <w:tc>
          <w:tcPr>
            <w:tcW w:w="49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Security Ownership of Management and Certain Beneficial Owners</w:t>
            </w:r>
          </w:p>
        </w:tc>
        <w:tc>
          <w:tcPr>
            <w:tcW w:w="460" w:type="dxa"/>
            <w:vAlign w:val="bottom"/>
          </w:tcPr>
          <w:p>
            <w:pPr>
              <w:spacing w:after="0"/>
              <w:rPr>
                <w:sz w:val="24"/>
                <w:szCs w:val="24"/>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8"/>
        </w:trPr>
        <w:tc>
          <w:tcPr>
            <w:tcW w:w="740" w:type="dxa"/>
            <w:vAlign w:val="bottom"/>
            <w:tcBorders>
              <w:bottom w:val="single" w:sz="8" w:color="407CCA"/>
            </w:tcBorders>
          </w:tcPr>
          <w:p>
            <w:pPr>
              <w:spacing w:after="0"/>
              <w:rPr>
                <w:sz w:val="4"/>
                <w:szCs w:val="4"/>
                <w:color w:val="auto"/>
              </w:rPr>
            </w:pPr>
          </w:p>
        </w:tc>
        <w:tc>
          <w:tcPr>
            <w:tcW w:w="240" w:type="dxa"/>
            <w:vAlign w:val="bottom"/>
            <w:tcBorders>
              <w:bottom w:val="single" w:sz="8" w:color="407CCA"/>
            </w:tcBorders>
          </w:tcPr>
          <w:p>
            <w:pPr>
              <w:spacing w:after="0"/>
              <w:rPr>
                <w:sz w:val="4"/>
                <w:szCs w:val="4"/>
                <w:color w:val="auto"/>
              </w:rPr>
            </w:pPr>
          </w:p>
        </w:tc>
        <w:tc>
          <w:tcPr>
            <w:tcW w:w="460" w:type="dxa"/>
            <w:vAlign w:val="bottom"/>
            <w:tcBorders>
              <w:bottom w:val="single" w:sz="8" w:color="407CCA"/>
            </w:tcBorders>
          </w:tcPr>
          <w:p>
            <w:pPr>
              <w:spacing w:after="0"/>
              <w:rPr>
                <w:sz w:val="4"/>
                <w:szCs w:val="4"/>
                <w:color w:val="auto"/>
              </w:rPr>
            </w:pPr>
          </w:p>
        </w:tc>
        <w:tc>
          <w:tcPr>
            <w:tcW w:w="100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32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38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42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460" w:type="dxa"/>
            <w:vAlign w:val="bottom"/>
            <w:tcBorders>
              <w:bottom w:val="single" w:sz="8" w:color="407CCA"/>
            </w:tcBorders>
          </w:tcPr>
          <w:p>
            <w:pPr>
              <w:spacing w:after="0"/>
              <w:rPr>
                <w:sz w:val="4"/>
                <w:szCs w:val="4"/>
                <w:color w:val="auto"/>
              </w:rPr>
            </w:pPr>
          </w:p>
        </w:tc>
        <w:tc>
          <w:tcPr>
            <w:tcW w:w="5000" w:type="dxa"/>
            <w:vAlign w:val="bottom"/>
            <w:tcBorders>
              <w:bottom w:val="single" w:sz="8" w:color="407CC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0000FF"/>
            </w:tcBorders>
            <w:gridSpan w:val="29"/>
          </w:tcPr>
          <w:p>
            <w:pPr>
              <w:ind w:left="100"/>
              <w:spacing w:after="0"/>
              <w:rPr>
                <w:sz w:val="20"/>
                <w:szCs w:val="20"/>
                <w:color w:val="auto"/>
              </w:rPr>
            </w:pPr>
            <w:r>
              <w:rPr>
                <w:rFonts w:ascii="Times New Roman" w:cs="Times New Roman" w:eastAsia="Times New Roman" w:hAnsi="Times New Roman"/>
                <w:sz w:val="18"/>
                <w:szCs w:val="18"/>
                <w:b w:val="1"/>
                <w:bCs w:val="1"/>
                <w:color w:val="0000FF"/>
              </w:rPr>
              <w:t>Questions and Answers About Stockholder Communications and Proposals</w:t>
            </w:r>
          </w:p>
        </w:tc>
        <w:tc>
          <w:tcPr>
            <w:tcW w:w="5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74"/>
        </w:trPr>
        <w:tc>
          <w:tcPr>
            <w:tcW w:w="5500" w:type="dxa"/>
            <w:vAlign w:val="bottom"/>
            <w:tcBorders>
              <w:bottom w:val="single" w:sz="8" w:color="407CCA"/>
            </w:tcBorders>
            <w:gridSpan w:val="26"/>
          </w:tcPr>
          <w:p>
            <w:pPr>
              <w:spacing w:after="0"/>
              <w:rPr>
                <w:sz w:val="6"/>
                <w:szCs w:val="6"/>
                <w:color w:val="auto"/>
              </w:rPr>
            </w:pPr>
          </w:p>
        </w:tc>
        <w:tc>
          <w:tcPr>
            <w:tcW w:w="600" w:type="dxa"/>
            <w:vAlign w:val="bottom"/>
            <w:tcBorders>
              <w:bottom w:val="single" w:sz="8" w:color="407CCA"/>
            </w:tcBorders>
            <w:gridSpan w:val="3"/>
          </w:tcPr>
          <w:p>
            <w:pPr>
              <w:spacing w:after="0"/>
              <w:rPr>
                <w:sz w:val="6"/>
                <w:szCs w:val="6"/>
                <w:color w:val="auto"/>
              </w:rPr>
            </w:pPr>
          </w:p>
        </w:tc>
        <w:tc>
          <w:tcPr>
            <w:tcW w:w="5000" w:type="dxa"/>
            <w:vAlign w:val="bottom"/>
            <w:tcBorders>
              <w:bottom w:val="single" w:sz="8" w:color="407CC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0000FF"/>
            </w:tcBorders>
            <w:gridSpan w:val="26"/>
          </w:tcPr>
          <w:p>
            <w:pPr>
              <w:ind w:left="100"/>
              <w:spacing w:after="0"/>
              <w:rPr>
                <w:sz w:val="20"/>
                <w:szCs w:val="20"/>
                <w:color w:val="auto"/>
              </w:rPr>
            </w:pPr>
            <w:r>
              <w:rPr>
                <w:rFonts w:ascii="Times New Roman" w:cs="Times New Roman" w:eastAsia="Times New Roman" w:hAnsi="Times New Roman"/>
                <w:sz w:val="18"/>
                <w:szCs w:val="18"/>
                <w:b w:val="1"/>
                <w:bCs w:val="1"/>
                <w:color w:val="0000FF"/>
              </w:rPr>
              <w:t>Questions and Answers About the 2025 Annual Meeting and Voting</w:t>
            </w:r>
          </w:p>
        </w:tc>
        <w:tc>
          <w:tcPr>
            <w:tcW w:w="600" w:type="dxa"/>
            <w:vAlign w:val="bottom"/>
            <w:gridSpan w:val="3"/>
            <w:vMerge w:val="restart"/>
          </w:tcPr>
          <w:p>
            <w:pPr>
              <w:spacing w:after="0"/>
              <w:rPr>
                <w:sz w:val="20"/>
                <w:szCs w:val="20"/>
                <w:color w:val="auto"/>
              </w:rPr>
            </w:pPr>
          </w:p>
        </w:tc>
        <w:tc>
          <w:tcPr>
            <w:tcW w:w="5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75"/>
        </w:trPr>
        <w:tc>
          <w:tcPr>
            <w:tcW w:w="5500" w:type="dxa"/>
            <w:vAlign w:val="bottom"/>
            <w:tcBorders>
              <w:bottom w:val="single" w:sz="8" w:color="407CCA"/>
            </w:tcBorders>
            <w:gridSpan w:val="26"/>
          </w:tcPr>
          <w:p>
            <w:pPr>
              <w:spacing w:after="0"/>
              <w:rPr>
                <w:sz w:val="6"/>
                <w:szCs w:val="6"/>
                <w:color w:val="auto"/>
              </w:rPr>
            </w:pPr>
          </w:p>
        </w:tc>
        <w:tc>
          <w:tcPr>
            <w:tcW w:w="600" w:type="dxa"/>
            <w:vAlign w:val="bottom"/>
            <w:tcBorders>
              <w:bottom w:val="single" w:sz="8" w:color="407CCA"/>
            </w:tcBorders>
            <w:gridSpan w:val="3"/>
            <w:vMerge w:val="continue"/>
          </w:tcPr>
          <w:p>
            <w:pPr>
              <w:spacing w:after="0"/>
              <w:rPr>
                <w:sz w:val="6"/>
                <w:szCs w:val="6"/>
                <w:color w:val="auto"/>
              </w:rPr>
            </w:pPr>
          </w:p>
        </w:tc>
        <w:tc>
          <w:tcPr>
            <w:tcW w:w="5000" w:type="dxa"/>
            <w:vAlign w:val="bottom"/>
            <w:tcBorders>
              <w:bottom w:val="single" w:sz="8" w:color="407CCA"/>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viii</w:t>
        <w:tab/>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BOARD AND GOVERNANCE MATTERS</w:t>
      </w:r>
    </w:p>
    <w:p>
      <w:pPr>
        <w:spacing w:after="0" w:line="192"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Our Board is currently comprised of seven independent directors, our Executive Chair, and our CEO. The following table sets forth the current members of our Board and their committee membership: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80" w:type="dxa"/>
            <w:vAlign w:val="bottom"/>
            <w:tcBorders>
              <w:top w:val="single" w:sz="8" w:color="304963"/>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Borders>
              <w:top w:val="single" w:sz="8" w:color="304963"/>
            </w:tcBorders>
          </w:tcPr>
          <w:p>
            <w:pPr>
              <w:spacing w:after="0"/>
              <w:rPr>
                <w:sz w:val="12"/>
                <w:szCs w:val="12"/>
                <w:color w:val="auto"/>
              </w:rPr>
            </w:pPr>
          </w:p>
        </w:tc>
        <w:tc>
          <w:tcPr>
            <w:tcW w:w="860" w:type="dxa"/>
            <w:vAlign w:val="bottom"/>
            <w:tcBorders>
              <w:top w:val="single" w:sz="8" w:color="304963"/>
            </w:tcBorders>
          </w:tcPr>
          <w:p>
            <w:pPr>
              <w:spacing w:after="0"/>
              <w:rPr>
                <w:sz w:val="12"/>
                <w:szCs w:val="12"/>
                <w:color w:val="auto"/>
              </w:rPr>
            </w:pPr>
          </w:p>
        </w:tc>
        <w:tc>
          <w:tcPr>
            <w:tcW w:w="780" w:type="dxa"/>
            <w:vAlign w:val="bottom"/>
            <w:tcBorders>
              <w:top w:val="single" w:sz="8" w:color="304963"/>
            </w:tcBorders>
          </w:tcPr>
          <w:p>
            <w:pPr>
              <w:spacing w:after="0"/>
              <w:rPr>
                <w:sz w:val="12"/>
                <w:szCs w:val="12"/>
                <w:color w:val="auto"/>
              </w:rPr>
            </w:pPr>
          </w:p>
        </w:tc>
        <w:tc>
          <w:tcPr>
            <w:tcW w:w="1760" w:type="dxa"/>
            <w:vAlign w:val="bottom"/>
            <w:tcBorders>
              <w:top w:val="single" w:sz="8" w:color="304963"/>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Compensation &amp;</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3"/>
                <w:szCs w:val="13"/>
                <w:b w:val="1"/>
                <w:bCs w:val="1"/>
                <w:color w:val="auto"/>
                <w:w w:val="95"/>
              </w:rPr>
              <w:t>Director Since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Executive</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Audit </w:t>
            </w:r>
            <w:r>
              <w:rPr>
                <w:rFonts w:ascii="Times New Roman" w:cs="Times New Roman" w:eastAsia="Times New Roman" w:hAnsi="Times New Roman"/>
                <w:sz w:val="7"/>
                <w:szCs w:val="7"/>
                <w:b w:val="1"/>
                <w:bCs w:val="1"/>
                <w:color w:val="auto"/>
                <w:w w:val="98"/>
              </w:rPr>
              <w:t>1</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Corporate Governance </w:t>
            </w:r>
            <w:r>
              <w:rPr>
                <w:rFonts w:ascii="Times New Roman" w:cs="Times New Roman" w:eastAsia="Times New Roman" w:hAnsi="Times New Roman"/>
                <w:sz w:val="7"/>
                <w:szCs w:val="7"/>
                <w:b w:val="1"/>
                <w:bCs w:val="1"/>
                <w:color w:val="auto"/>
                <w:w w:val="96"/>
              </w:rPr>
              <w:t>2</w:t>
            </w:r>
          </w:p>
        </w:tc>
        <w:tc>
          <w:tcPr>
            <w:tcW w:w="0" w:type="dxa"/>
            <w:vAlign w:val="bottom"/>
          </w:tcPr>
          <w:p>
            <w:pPr>
              <w:spacing w:after="0"/>
              <w:rPr>
                <w:sz w:val="1"/>
                <w:szCs w:val="1"/>
                <w:color w:val="auto"/>
              </w:rPr>
            </w:pPr>
          </w:p>
        </w:tc>
      </w:tr>
      <w:tr>
        <w:trPr>
          <w:trHeight w:val="332"/>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Donna J. Blank*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2018</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Morris A. Davis*</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2008</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Peter J. Federico (Chief Executive Officer)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D. Fisk*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2019</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Andrew A. Johnson, Jr.*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Gary D. Kain (Executive Chair)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Prue B. Larocca* (Lead Independent Director and Vice Chair)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 Mullings*</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Frances R. Spark*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2019</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ind w:left="80"/>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Director is “independent” as defined in Rule 5605(a)(2) of The Nasdaq Listing Rules (the “Nasdaq rules”).</w:t>
      </w:r>
    </w:p>
    <w:p>
      <w:pPr>
        <w:spacing w:after="0" w:line="4" w:lineRule="exact"/>
        <w:rPr>
          <w:sz w:val="20"/>
          <w:szCs w:val="20"/>
          <w:color w:val="auto"/>
        </w:rPr>
      </w:pPr>
    </w:p>
    <w:p>
      <w:pPr>
        <w:ind w:left="340" w:right="60" w:hanging="251"/>
        <w:spacing w:after="0" w:line="214" w:lineRule="auto"/>
        <w:tabs>
          <w:tab w:leader="none" w:pos="34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the Audit Committee is “independent” as defined in Rules 5605(a)(2) and 5605(c)(2) of the Nasdaq rules and Rule 10A-3 of the Securities Exchange Act of 1934 (the “Exchange Act”). The Board has determined that Mss. Blank and Spark are each an “audit committee financial expert” as defined in Item 407 of Regulation S-K under the Securities Act of 1933 (the “Securities Act”).</w:t>
      </w:r>
    </w:p>
    <w:p>
      <w:pPr>
        <w:spacing w:after="0" w:line="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the Compensation and Corporate Governance Committee is “independent” as defined in Rules 5605(a)(2) and 5605(d)(2) of the Nasdaq rules.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4"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We believe that objective, independent oversight of management is central to our corporate governance, as well as execution upon our strategic objectives and alignment with the long-term interests of our stockholders. The Board believes that the optimal leadership structure for AGNC may evolve over time as a result of a number of factors, including changes in our strategy, market conditions, and the composition of our Board and management personnel. Accordingly, the Board regularly evaluates the most effective leadership structure for the Company. The Board believes that separating the positions of Chair and Chief Executive Officer is the best corporate governance leadership structure for us at this time and that independent directors should play a significant role in Board leadership. Following the transition of our executive leadership in July 2021: Mr. Kain serves as Executive Chair of the Board; Ms. Larocca serves as Lead Independent Director and Vice Chair, and Mr. Federico serves as our Chief Executive Officer.</w:t>
      </w:r>
    </w:p>
    <w:p>
      <w:pPr>
        <w:spacing w:after="0" w:line="1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Ms. Larocca, in her role as Lead Independent Director and Vice Chair, is empowered with robust, well-defined duties and actively collaborates with our Chief Executive Officer and Executive Chair on a wide variety of issues. In his role as Executive Chair, Mr. Kain serves as a resource to our Chief Executive Officer and Chief Investment Officer and consults with the Company’s senior management on significant strategic decisions and business-plan execution, including investment strategies and portfolio risk management. He and Ms. Larocca collaborate closely to shape and implement the Board’s agenda and to facilitate the oversight of AGNC’s operations and strategy. The chart below highlights the principal responsibilities of our Executive Chair and Lead Independent Director and their collaboration with other members of the Board and AGNC’s management team.</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tcPr>
          <w:p>
            <w:pPr>
              <w:ind w:left="79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407CCA"/>
              </w:rPr>
              <w:t>1</w:t>
            </w:r>
          </w:p>
        </w:tc>
      </w:tr>
      <w:tr>
        <w:trPr>
          <w:trHeight w:val="233"/>
        </w:trPr>
        <w:tc>
          <w:tcPr>
            <w:tcW w:w="10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407CCA"/>
        </w:rPr>
        <w:t>Responsibilities and Collaboration Among our Lead Independent Director and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Lead Independent Director and Vice Chair</w:t>
      </w:r>
    </w:p>
    <w:p>
      <w:pPr>
        <w:spacing w:after="0" w:line="31" w:lineRule="exact"/>
        <w:rPr>
          <w:sz w:val="20"/>
          <w:szCs w:val="20"/>
          <w:color w:val="auto"/>
        </w:rPr>
      </w:pPr>
    </w:p>
    <w:p>
      <w:pPr>
        <w:ind w:left="660" w:hanging="31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by and acts as leader of independent directors</w:t>
      </w:r>
    </w:p>
    <w:p>
      <w:pPr>
        <w:spacing w:after="0" w:line="71" w:lineRule="exact"/>
        <w:rPr>
          <w:rFonts w:ascii="Times New Roman" w:cs="Times New Roman" w:eastAsia="Times New Roman" w:hAnsi="Times New Roman"/>
          <w:sz w:val="18"/>
          <w:szCs w:val="18"/>
          <w:color w:val="auto"/>
        </w:rPr>
      </w:pPr>
    </w:p>
    <w:p>
      <w:pPr>
        <w:ind w:left="680" w:hanging="330"/>
        <w:spacing w:after="0" w:line="231"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chairs meetings of the independent directors and the Executive Committee and chairs meetings of the Board of Directors when the Executive Chair is not present or is recused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Executive Chair</w:t>
      </w:r>
    </w:p>
    <w:p>
      <w:pPr>
        <w:spacing w:after="0" w:line="31" w:lineRule="exact"/>
        <w:rPr>
          <w:sz w:val="20"/>
          <w:szCs w:val="20"/>
          <w:color w:val="auto"/>
        </w:rPr>
      </w:pPr>
    </w:p>
    <w:p>
      <w:pPr>
        <w:ind w:left="327" w:hanging="327"/>
        <w:spacing w:after="0"/>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by all directors</w:t>
      </w:r>
    </w:p>
    <w:p>
      <w:pPr>
        <w:spacing w:after="0" w:line="7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chairs all regular and special meetings of the Board</w:t>
      </w:r>
    </w:p>
    <w:p>
      <w:pPr>
        <w:spacing w:after="0" w:line="7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on the Executive Committee</w:t>
      </w:r>
    </w:p>
    <w:p>
      <w:pPr>
        <w:spacing w:after="0" w:line="108" w:lineRule="exact"/>
        <w:rPr>
          <w:sz w:val="20"/>
          <w:szCs w:val="20"/>
          <w:color w:val="auto"/>
        </w:rPr>
      </w:pPr>
    </w:p>
    <w:p>
      <w:pPr>
        <w:sectPr>
          <w:pgSz w:w="11900" w:h="16838" w:orient="portrait"/>
          <w:cols w:equalWidth="0" w:num="2">
            <w:col w:w="5500" w:space="533"/>
            <w:col w:w="5167"/>
          </w:cols>
          <w:pgMar w:left="320" w:top="104" w:right="379" w:bottom="1440" w:gutter="0" w:footer="0" w:header="0"/>
          <w:type w:val="continuous"/>
        </w:sectPr>
      </w:pPr>
    </w:p>
    <w:p>
      <w:pPr>
        <w:spacing w:after="0" w:line="49" w:lineRule="exact"/>
        <w:rPr>
          <w:sz w:val="20"/>
          <w:szCs w:val="20"/>
          <w:color w:val="auto"/>
        </w:rPr>
      </w:pPr>
    </w:p>
    <w:p>
      <w:pPr>
        <w:ind w:left="680" w:right="80" w:hanging="330"/>
        <w:spacing w:after="0" w:line="237"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on all Board committees to facilitate support of committee chairs and coordination of committee work</w:t>
      </w:r>
    </w:p>
    <w:p>
      <w:pPr>
        <w:spacing w:after="0" w:line="63" w:lineRule="exact"/>
        <w:rPr>
          <w:rFonts w:ascii="Times New Roman" w:cs="Times New Roman" w:eastAsia="Times New Roman" w:hAnsi="Times New Roman"/>
          <w:sz w:val="18"/>
          <w:szCs w:val="18"/>
          <w:color w:val="auto"/>
        </w:rPr>
      </w:pPr>
    </w:p>
    <w:p>
      <w:pPr>
        <w:ind w:left="680" w:right="400" w:hanging="330"/>
        <w:spacing w:after="0" w:line="237"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able to call meetings of the independent directors and special meetings of the Board of Directors</w:t>
      </w:r>
    </w:p>
    <w:p>
      <w:pPr>
        <w:spacing w:after="0" w:line="50" w:lineRule="exact"/>
        <w:rPr>
          <w:rFonts w:ascii="Times New Roman" w:cs="Times New Roman" w:eastAsia="Times New Roman" w:hAnsi="Times New Roman"/>
          <w:sz w:val="18"/>
          <w:szCs w:val="18"/>
          <w:color w:val="auto"/>
        </w:rPr>
      </w:pPr>
    </w:p>
    <w:p>
      <w:pPr>
        <w:jc w:val="both"/>
        <w:ind w:left="680" w:hanging="330"/>
        <w:spacing w:after="0" w:line="247" w:lineRule="auto"/>
        <w:tabs>
          <w:tab w:leader="none" w:pos="6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collaborates with the Executive Chair, the CEO, the Secretary, and committee chairs to approve scheduling of meetings, development of agendas, and review the content and distribution of materials</w:t>
      </w:r>
    </w:p>
    <w:p>
      <w:pPr>
        <w:spacing w:after="0" w:line="44" w:lineRule="exact"/>
        <w:rPr>
          <w:rFonts w:ascii="Times New Roman" w:cs="Times New Roman" w:eastAsia="Times New Roman" w:hAnsi="Times New Roman"/>
          <w:sz w:val="17"/>
          <w:szCs w:val="17"/>
          <w:color w:val="auto"/>
        </w:rPr>
      </w:pPr>
    </w:p>
    <w:p>
      <w:pPr>
        <w:ind w:left="680" w:right="220" w:hanging="330"/>
        <w:spacing w:after="0" w:line="231"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liaison between management and the independent directors and ensures that the information needs of independent directors are satisfied</w:t>
      </w:r>
    </w:p>
    <w:p>
      <w:pPr>
        <w:spacing w:after="0" w:line="50" w:lineRule="exact"/>
        <w:rPr>
          <w:rFonts w:ascii="Times New Roman" w:cs="Times New Roman" w:eastAsia="Times New Roman" w:hAnsi="Times New Roman"/>
          <w:sz w:val="18"/>
          <w:szCs w:val="18"/>
          <w:color w:val="auto"/>
        </w:rPr>
      </w:pPr>
    </w:p>
    <w:p>
      <w:pPr>
        <w:ind w:left="680" w:right="60" w:hanging="330"/>
        <w:spacing w:after="0" w:line="231"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chair of the Compensation Committee, leads the performance evaluation of the Executive Chair and the Chief Executive Officer</w:t>
      </w:r>
    </w:p>
    <w:p>
      <w:pPr>
        <w:spacing w:after="0" w:line="50" w:lineRule="exact"/>
        <w:rPr>
          <w:rFonts w:ascii="Times New Roman" w:cs="Times New Roman" w:eastAsia="Times New Roman" w:hAnsi="Times New Roman"/>
          <w:sz w:val="18"/>
          <w:szCs w:val="18"/>
          <w:color w:val="auto"/>
        </w:rPr>
      </w:pPr>
    </w:p>
    <w:p>
      <w:pPr>
        <w:ind w:left="680" w:right="280" w:hanging="330"/>
        <w:spacing w:after="0" w:line="224"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Executive Chair, facilitates identification and resolution of potential conflicts of interest and establishes expectations regarding culture of compliance throughout the Company</w:t>
      </w:r>
    </w:p>
    <w:p>
      <w:pPr>
        <w:spacing w:after="0" w:line="20" w:lineRule="exact"/>
        <w:rPr>
          <w:sz w:val="20"/>
          <w:szCs w:val="20"/>
          <w:color w:val="auto"/>
        </w:rPr>
      </w:pPr>
      <w:r>
        <w:rPr>
          <w:sz w:val="20"/>
          <w:szCs w:val="20"/>
          <w:color w:val="auto"/>
        </w:rPr>
        <w:br w:type="column"/>
      </w:r>
    </w:p>
    <w:p>
      <w:pPr>
        <w:ind w:left="327" w:right="500" w:hanging="327"/>
        <w:spacing w:after="0" w:line="219"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Vice Chair, facilitates identification and resolution of potential conflicts of interest and establishes expectations regarding culture of compliance throughout the Company</w:t>
      </w:r>
    </w:p>
    <w:p>
      <w:pPr>
        <w:spacing w:after="0" w:line="49" w:lineRule="exact"/>
        <w:rPr>
          <w:rFonts w:ascii="Times New Roman" w:cs="Times New Roman" w:eastAsia="Times New Roman" w:hAnsi="Times New Roman"/>
          <w:sz w:val="18"/>
          <w:szCs w:val="18"/>
          <w:color w:val="auto"/>
        </w:rPr>
      </w:pPr>
    </w:p>
    <w:p>
      <w:pPr>
        <w:ind w:left="327" w:hanging="327"/>
        <w:spacing w:after="0" w:line="247" w:lineRule="auto"/>
        <w:tabs>
          <w:tab w:leader="none" w:pos="32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collaborates with the Lead Independent Director, CEO, Secretary, and committee chairs to call and schedule Board meetings, develop agendas, and review the content and distribution of materials</w:t>
      </w:r>
    </w:p>
    <w:p>
      <w:pPr>
        <w:spacing w:after="0" w:line="44" w:lineRule="exact"/>
        <w:rPr>
          <w:rFonts w:ascii="Times New Roman" w:cs="Times New Roman" w:eastAsia="Times New Roman" w:hAnsi="Times New Roman"/>
          <w:sz w:val="17"/>
          <w:szCs w:val="17"/>
          <w:color w:val="auto"/>
        </w:rPr>
      </w:pPr>
    </w:p>
    <w:p>
      <w:pPr>
        <w:ind w:left="327" w:right="340" w:hanging="327"/>
        <w:spacing w:after="0" w:line="231"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represents the Company to stockholders, other stakeholders, and government officials in conjunction with the Chief Executive Officer</w:t>
      </w:r>
    </w:p>
    <w:p>
      <w:pPr>
        <w:spacing w:after="0" w:line="50" w:lineRule="exact"/>
        <w:rPr>
          <w:rFonts w:ascii="Times New Roman" w:cs="Times New Roman" w:eastAsia="Times New Roman" w:hAnsi="Times New Roman"/>
          <w:sz w:val="18"/>
          <w:szCs w:val="18"/>
          <w:color w:val="auto"/>
        </w:rPr>
      </w:pPr>
    </w:p>
    <w:p>
      <w:pPr>
        <w:ind w:left="327" w:right="120" w:hanging="327"/>
        <w:spacing w:after="0" w:line="231"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support and guidance to the Chief Executive Officer and Chief Investment Officer on significant strategic decisions and other important matters</w:t>
      </w:r>
    </w:p>
    <w:p>
      <w:pPr>
        <w:spacing w:after="0" w:line="50" w:lineRule="exact"/>
        <w:rPr>
          <w:rFonts w:ascii="Times New Roman" w:cs="Times New Roman" w:eastAsia="Times New Roman" w:hAnsi="Times New Roman"/>
          <w:sz w:val="18"/>
          <w:szCs w:val="18"/>
          <w:color w:val="auto"/>
        </w:rPr>
      </w:pPr>
    </w:p>
    <w:p>
      <w:pPr>
        <w:ind w:left="327" w:right="400" w:hanging="327"/>
        <w:spacing w:after="0" w:line="237"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an additional management resource in the event of a crisis or interruption in business continuity</w:t>
      </w:r>
    </w:p>
    <w:p>
      <w:pPr>
        <w:spacing w:after="0" w:line="63" w:lineRule="exact"/>
        <w:rPr>
          <w:rFonts w:ascii="Times New Roman" w:cs="Times New Roman" w:eastAsia="Times New Roman" w:hAnsi="Times New Roman"/>
          <w:sz w:val="18"/>
          <w:szCs w:val="18"/>
          <w:color w:val="auto"/>
        </w:rPr>
      </w:pPr>
    </w:p>
    <w:p>
      <w:pPr>
        <w:ind w:left="327" w:right="360" w:hanging="327"/>
        <w:spacing w:after="0" w:line="263" w:lineRule="auto"/>
        <w:tabs>
          <w:tab w:leader="none" w:pos="32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and reports to the independent directors as requested regarding the Chief Executive Officer’s performance</w:t>
      </w:r>
    </w:p>
    <w:p>
      <w:pPr>
        <w:spacing w:after="0" w:line="111" w:lineRule="exact"/>
        <w:rPr>
          <w:sz w:val="20"/>
          <w:szCs w:val="20"/>
          <w:color w:val="auto"/>
        </w:rPr>
      </w:pPr>
    </w:p>
    <w:p>
      <w:pPr>
        <w:sectPr>
          <w:pgSz w:w="11900" w:h="16838" w:orient="portrait"/>
          <w:cols w:equalWidth="0" w:num="2">
            <w:col w:w="5460" w:space="573"/>
            <w:col w:w="5167"/>
          </w:cols>
          <w:pgMar w:left="320" w:top="104" w:right="379" w:bottom="1440" w:gutter="0" w:footer="0" w:header="0"/>
          <w:type w:val="continuous"/>
        </w:sectPr>
      </w:pPr>
    </w:p>
    <w:p>
      <w:pPr>
        <w:ind w:left="680" w:right="6060" w:hanging="330"/>
        <w:spacing w:after="0" w:line="226"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communicates on behalf of the independent directors with stockholders, proxy advisory firms, and other stakeholders, as necessary</w:t>
      </w:r>
    </w:p>
    <w:p>
      <w:pPr>
        <w:spacing w:after="0" w:line="38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AGNC is committed to maintaining strong, independent leadership on the Board. Our Board has a policy, consistent with the Nasdaq rules and good corporate governance, to have our independent directors meet regularly without members of management or employee directors present to facilitate the Board’s independent oversight of management. Presently, our independent directors meet during our Board’s regular quarterly meetings and may hold additional meetings at the request of the Lead Independent Director or a majority of the directors.</w:t>
      </w:r>
    </w:p>
    <w:p>
      <w:pPr>
        <w:spacing w:after="0" w:line="18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Each of our Board’s Audit Committee and Compensation Committee is composed entirely of independent directors. These independent committees of our Board also have the authority under their respective charters to hire independent advisors and consultants, at the Company’s expense, to assist them in performing their duties. The chairs of the Audit and Compensation Committees set meeting agendas in consultation with our Secretary. A majority of our Board’s Executive Committee also consists of independent directors. Our Board has determined that all of the current directors, except Messrs. Federico and Kain, are “independent” as defined in the Nasdaq rules.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jc w:val="both"/>
        <w:ind w:right="380" w:firstLine="648"/>
        <w:spacing w:after="0" w:line="222" w:lineRule="auto"/>
        <w:rPr>
          <w:sz w:val="20"/>
          <w:szCs w:val="20"/>
          <w:color w:val="auto"/>
        </w:rPr>
      </w:pPr>
      <w:r>
        <w:rPr>
          <w:rFonts w:ascii="Times New Roman" w:cs="Times New Roman" w:eastAsia="Times New Roman" w:hAnsi="Times New Roman"/>
          <w:sz w:val="18"/>
          <w:szCs w:val="18"/>
          <w:color w:val="auto"/>
        </w:rPr>
        <w:t>Our Board maintains strong corporate governance practices, which are memorialized in our Corporate Governance Guidelines, to support its oversight responsibilities. These guidelines, together with our Amended and Restated Certificate of Incorporation (our “Certificate of Incorporation”),</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Amended and Restated Bylaws (our “Bylaws”), and committee charters of the Audit Committee and the Compensation Committee, form the basis for performance of our governance activities. All of these documents are available in the Investors section of our website at www.AGNC.com.</w:t>
      </w:r>
    </w:p>
    <w:p>
      <w:pPr>
        <w:spacing w:after="0" w:line="326" w:lineRule="exact"/>
        <w:rPr>
          <w:sz w:val="20"/>
          <w:szCs w:val="20"/>
          <w:color w:val="auto"/>
        </w:rPr>
      </w:pPr>
    </w:p>
    <w:p>
      <w:pPr>
        <w:ind w:left="440" w:hanging="414"/>
        <w:spacing w:after="0"/>
        <w:tabs>
          <w:tab w:leader="none" w:pos="440" w:val="left"/>
        </w:tabs>
        <w:numPr>
          <w:ilvl w:val="0"/>
          <w:numId w:val="10"/>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40575" cy="282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07CCA"/>
        </w:rPr>
        <w:t>CORPORATE GOVERNANCE HIGHLIGHTS</w:t>
      </w:r>
    </w:p>
    <w:p>
      <w:pPr>
        <w:spacing w:after="0" w:line="135" w:lineRule="exact"/>
        <w:rPr>
          <w:sz w:val="20"/>
          <w:szCs w:val="20"/>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directors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elected by majority voting, with a resignation policy for directors who do not receive a majority support</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and CEO roles are separated</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independent Board leadership, with Lead Independent Director also serving as Vice Chair</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serves on more than two other boards of public companies or mutual fund complexes</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Board tenure of 7.8 years, with four directors having tenure less than six years</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independent directors without members of management</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directors and executive officers</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stockholder engagement program, including annual outreach campaign to institutional investors</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and pledging policy for directors and executive officers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for incentive compensation</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 or “poison pill”</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Code of Ethics and Conduct and Corporate Governance Guidelines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self-evaluations</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attendance at 95% of our Board and committee meetings in 2024</w:t>
      </w:r>
    </w:p>
    <w:p>
      <w:pPr>
        <w:spacing w:after="0" w:line="31" w:lineRule="exact"/>
        <w:rPr>
          <w:rFonts w:ascii="Times New Roman" w:cs="Times New Roman" w:eastAsia="Times New Roman" w:hAnsi="Times New Roman"/>
          <w:sz w:val="18"/>
          <w:szCs w:val="18"/>
          <w:color w:val="auto"/>
        </w:rPr>
      </w:pPr>
    </w:p>
    <w:p>
      <w:pPr>
        <w:ind w:left="600" w:right="540" w:hanging="318"/>
        <w:spacing w:after="0" w:line="237" w:lineRule="auto"/>
        <w:tabs>
          <w:tab w:leader="none" w:pos="5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in the National Association of Corporate Directors (the “NACD”), a leading authority on corporate boardroom and governance practices</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Amendments to AGNC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407CCA"/>
        </w:rPr>
        <w:t>s Certificate of Incorporation to Eliminate Certain Supermajority Voting Provisions</w:t>
      </w:r>
    </w:p>
    <w:p>
      <w:pPr>
        <w:spacing w:after="0" w:line="9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At the 2022 and 2023 Annual Meetings, we included on the agenda, and the Board recommended that stockholders vote in favor of, amendments to our Certificate of Incorporation eliminating certain supermajority voting provisions. Under the provisions of AGNC’s Certificate of Incorporation, approval of these amendments requires the affirmative vote of at least 66% of all shares of common stock entitled to vote on the matter. Although</w:t>
      </w:r>
    </w:p>
    <w:p>
      <w:pPr>
        <w:ind w:right="20"/>
        <w:spacing w:after="0" w:line="208" w:lineRule="auto"/>
        <w:rPr>
          <w:sz w:val="20"/>
          <w:szCs w:val="20"/>
          <w:color w:val="auto"/>
        </w:rPr>
      </w:pPr>
      <w:r>
        <w:rPr>
          <w:rFonts w:ascii="Times New Roman" w:cs="Times New Roman" w:eastAsia="Times New Roman" w:hAnsi="Times New Roman"/>
          <w:sz w:val="18"/>
          <w:szCs w:val="18"/>
          <w:color w:val="auto"/>
        </w:rPr>
        <w:t>stockholders who cast votes at the meetings voted overwhelmingly in favor of the amendments, stockholder participation was well below the threshold required to pass the proposals and declined year over year. Based on information available to the Company, approximately 60% of the Company’s shares of common stock are held by investors in individual brokerage accounts who, as a group, have very low vote participation in stockholder meetings and are</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very challenging to reach via traditional stockholder outreach efforts. In 2024, the Company did not include these amendments on the meeting agenda after considering the 2022 and 2023 meeting results and evaluating the likelihood of the measures being approved considering the continued high percentage of the Company’s common stock held by retail investors, the limited effectiveness of proxy solicitation efforts, and the low percentage of votes cast on the</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matter in prior meetings. After evaluating these factors again in anticipation of the 2025 Annual Meeting, the Company has elected not to include the proposed amendments on the agenda in 2025. The Company will continue to evaluate the factors and considerations outlined herein and will endeavor to include the amendments on a future meeting agenda at such time that the Company concludes approval is substantially more likely.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Board’s principal standing committees and their primary functions are described below.</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Audit Committee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committee assists the Board in overseeing:</w:t>
      </w:r>
    </w:p>
    <w:p>
      <w:pPr>
        <w:spacing w:after="0" w:line="65"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ind w:left="900" w:hanging="325"/>
        <w:spacing w:after="0" w:line="219"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ind w:left="900" w:hanging="325"/>
        <w:spacing w:after="0" w:line="20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internal control over financial reporting, including controls relating to the preparation of our financial statements;</w:t>
      </w:r>
    </w:p>
    <w:p>
      <w:pPr>
        <w:ind w:left="900" w:hanging="325"/>
        <w:spacing w:after="0" w:line="219"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audit department and its annual scope of work;</w:t>
      </w:r>
    </w:p>
    <w:p>
      <w:pPr>
        <w:ind w:left="900" w:hanging="325"/>
        <w:spacing w:after="0" w:line="20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risks to information technology systems;</w:t>
      </w:r>
    </w:p>
    <w:p>
      <w:pPr>
        <w:ind w:left="900" w:hanging="325"/>
        <w:spacing w:after="0" w:line="20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ind w:left="900" w:hanging="325"/>
        <w:spacing w:after="0" w:line="219"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Ethics and Conduct (“Code of Ethics”);</w:t>
      </w:r>
    </w:p>
    <w:p>
      <w:pPr>
        <w:ind w:left="900" w:hanging="325"/>
        <w:spacing w:after="0" w:line="20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registered public accounting firm; and</w:t>
      </w: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 and our internal audit department.</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is also responsible for engaging an independent registered public accounting firm, reviewing the plans and results of the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audit engagement with the independent registered public accounting firm, approving professional services provided by the independent registered public accounting firm, considering the range of audit and non-audit fees, and preparing a report on the review of the Company’s audited financial statements as required to be included in our proxy statement. The committee’s meetings include, whenever appropriate, executive sessions with our independent external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auditors, without the presence of management.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tcPr>
          <w:p>
            <w:pPr>
              <w:ind w:left="79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407CCA"/>
              </w:rPr>
              <w:t>3</w:t>
            </w:r>
          </w:p>
        </w:tc>
      </w:tr>
      <w:tr>
        <w:trPr>
          <w:trHeight w:val="233"/>
        </w:trPr>
        <w:tc>
          <w:tcPr>
            <w:tcW w:w="10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and Corporate Governance Committee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committee’s principal functions are to:</w:t>
      </w:r>
    </w:p>
    <w:p>
      <w:pPr>
        <w:spacing w:after="0" w:line="77" w:lineRule="exact"/>
        <w:rPr>
          <w:sz w:val="20"/>
          <w:szCs w:val="20"/>
          <w:color w:val="auto"/>
        </w:rPr>
      </w:pPr>
    </w:p>
    <w:p>
      <w:pPr>
        <w:ind w:left="900" w:right="620" w:hanging="325"/>
        <w:spacing w:after="0" w:line="22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review our compensation practices with respect to our executive officers, employees, and members of the Board and make recommendations to the Board on these matters;</w:t>
      </w:r>
    </w:p>
    <w:p>
      <w:pPr>
        <w:spacing w:after="0" w:line="1" w:lineRule="exact"/>
        <w:rPr>
          <w:rFonts w:ascii="Times New Roman" w:cs="Times New Roman" w:eastAsia="Times New Roman" w:hAnsi="Times New Roman"/>
          <w:sz w:val="18"/>
          <w:szCs w:val="18"/>
          <w:color w:val="auto"/>
        </w:rPr>
      </w:pPr>
    </w:p>
    <w:p>
      <w:pPr>
        <w:ind w:left="900" w:right="180" w:hanging="325"/>
        <w:spacing w:after="0" w:line="211"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terms of employment of our executive officers and recommend CEO and Executive Chair compensation decisions for approval by the independent directors of our Board;</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and incentive plans to the extent delegated authority by the Board;</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general oversight of our compensation structure, including any compensation plans;</w:t>
      </w:r>
    </w:p>
    <w:p>
      <w:pPr>
        <w:ind w:left="900" w:hanging="325"/>
        <w:spacing w:after="0" w:line="21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on executive succession plans and leadership development;</w:t>
      </w:r>
    </w:p>
    <w:p>
      <w:pPr>
        <w:ind w:left="900" w:right="40" w:hanging="325"/>
        <w:spacing w:after="0" w:line="211"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matters relating to human capital management, including the hiring, development, retention, and satisfaction of our employees and our policies and practices for diversity, equity, and inclusion;</w:t>
      </w:r>
    </w:p>
    <w:p>
      <w:pPr>
        <w:ind w:left="900" w:right="240" w:hanging="325"/>
        <w:spacing w:after="0" w:line="203"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and committee oversight of AGNC’s corporate social responsibility and sustainability strategies and practices;</w:t>
      </w:r>
    </w:p>
    <w:p>
      <w:pPr>
        <w:ind w:left="900" w:hanging="325"/>
        <w:spacing w:after="0" w:line="21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facilitate our governance, including membership of the Board and operations pursuant to our Corporate Governance Guidelines;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sufficiency of our Code of Ethics;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evaluation of our CEO, Executive Chair, and other executive officers; and</w:t>
      </w:r>
    </w:p>
    <w:p>
      <w:pPr>
        <w:ind w:left="900" w:right="1020" w:hanging="325"/>
        <w:spacing w:after="0" w:line="233"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disclosure regarding the Company’s compensation and benefits matters and prepare a report on executive compensation, each as required to be included in our proxy statement for our annual meetings.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also serves as the Board’s standing nominating committee and as such performs the following functions:</w:t>
      </w:r>
    </w:p>
    <w:p>
      <w:pPr>
        <w:spacing w:after="0" w:line="77" w:lineRule="exact"/>
        <w:rPr>
          <w:sz w:val="20"/>
          <w:szCs w:val="20"/>
          <w:color w:val="auto"/>
        </w:rPr>
      </w:pPr>
    </w:p>
    <w:p>
      <w:pPr>
        <w:ind w:left="900" w:hanging="325"/>
        <w:spacing w:after="0" w:line="22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recommending to the Board qualified candidates for election as directors and recommending a slate of nominees for election as directors by our common stockholders at the annual meeting of stockholders;</w:t>
      </w:r>
    </w:p>
    <w:p>
      <w:pPr>
        <w:spacing w:after="0" w:line="1" w:lineRule="exact"/>
        <w:rPr>
          <w:rFonts w:ascii="Times New Roman" w:cs="Times New Roman" w:eastAsia="Times New Roman" w:hAnsi="Times New Roman"/>
          <w:sz w:val="18"/>
          <w:szCs w:val="18"/>
          <w:color w:val="auto"/>
        </w:rPr>
      </w:pPr>
    </w:p>
    <w:p>
      <w:pPr>
        <w:ind w:left="900" w:right="600" w:hanging="325"/>
        <w:spacing w:after="0" w:line="211"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Guidelines, including the committee’s selection criteria for director nominees;</w:t>
      </w:r>
    </w:p>
    <w:p>
      <w:pPr>
        <w:ind w:left="900" w:hanging="325"/>
        <w:spacing w:after="0" w:line="203"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nominees for each committee of the Board;</w:t>
      </w:r>
    </w:p>
    <w:p>
      <w:pPr>
        <w:ind w:left="900" w:hanging="325"/>
        <w:spacing w:after="0" w:line="219"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orientation process for new directors and continuing education of all directors; and</w:t>
      </w:r>
    </w:p>
    <w:p>
      <w:pPr>
        <w:ind w:left="900" w:right="400" w:hanging="325"/>
        <w:spacing w:after="0" w:line="226"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facilitating an assessment of the Board, Board committee, and individual director performance and making reports thereon to the Board.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has the authority to select, retain, and terminate compensation consultants. The Compensation</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Committee retains Frederic W. Cook &amp; Co., Inc. (“FW Cook”) to provide advice and counsel on the design and implementation of our compensation program and on regular evaluation of executive compensation and compensation of our non-employee directors.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Executive Committee</w:t>
      </w:r>
    </w:p>
    <w:p>
      <w:pPr>
        <w:spacing w:after="0" w:line="92"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This committee has the authority to exercise all powers of the Board except for actions that must be taken by the full Board under Delaware law, our Certificate of Incorporation, or Bylaws.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9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Board generally holds regular quarterly meetings and meets on other occasions, as necessary. The Board held eight regular meetings during 2024. In addition, the independent directors met separately in executive sessions to discuss various matters, including our performance and the performance of our Executive Chair, Chief Executive Officer, and other executive officers.</w:t>
      </w:r>
    </w:p>
    <w:p>
      <w:pPr>
        <w:spacing w:after="0" w:line="171" w:lineRule="exact"/>
        <w:rPr>
          <w:sz w:val="20"/>
          <w:szCs w:val="20"/>
          <w:color w:val="auto"/>
        </w:rPr>
      </w:pPr>
    </w:p>
    <w:p>
      <w:pPr>
        <w:jc w:val="both"/>
        <w:ind w:right="80" w:firstLine="648"/>
        <w:spacing w:after="0" w:line="216" w:lineRule="auto"/>
        <w:rPr>
          <w:sz w:val="20"/>
          <w:szCs w:val="20"/>
          <w:color w:val="auto"/>
        </w:rPr>
      </w:pPr>
      <w:r>
        <w:rPr>
          <w:rFonts w:ascii="Times New Roman" w:cs="Times New Roman" w:eastAsia="Times New Roman" w:hAnsi="Times New Roman"/>
          <w:sz w:val="18"/>
          <w:szCs w:val="18"/>
          <w:color w:val="auto"/>
        </w:rPr>
        <w:t>Each of the Audit Committee and the Compensation Committee schedules regular meetings to coincide with the quarterly in-person meetings of the Board and also meets at the request of senior management or at such other times as its Chair determines. The Chair of each Committee, in consultation with our Secretary, sets the agendas for the meetings. Each committee reports to the Board on its activities at the next regularly scheduled Board meeting</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following its committee meetings and when appropriate. During 2024, the Audit Committee held five meetings, and the Compensation Committee held six meetings. The Board periodically conducts a multi-day meeting devoted to reviewing the Company’s strategy, macro trends impacting our business, and other topics of interest to our directors, including relevant continuing education sessions. The most recent such meeting occurred in December 2023,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hold the next such meeting in the second half of 2025.</w:t>
      </w:r>
    </w:p>
    <w:p>
      <w:pPr>
        <w:spacing w:after="0" w:line="165" w:lineRule="exact"/>
        <w:rPr>
          <w:sz w:val="20"/>
          <w:szCs w:val="20"/>
          <w:color w:val="auto"/>
        </w:rPr>
      </w:pPr>
    </w:p>
    <w:p>
      <w:pPr>
        <w:jc w:val="both"/>
        <w:ind w:right="60" w:firstLine="648"/>
        <w:spacing w:after="0" w:line="222" w:lineRule="auto"/>
        <w:rPr>
          <w:sz w:val="20"/>
          <w:szCs w:val="20"/>
          <w:color w:val="auto"/>
        </w:rPr>
      </w:pPr>
      <w:r>
        <w:rPr>
          <w:rFonts w:ascii="Times New Roman" w:cs="Times New Roman" w:eastAsia="Times New Roman" w:hAnsi="Times New Roman"/>
          <w:sz w:val="18"/>
          <w:szCs w:val="18"/>
          <w:color w:val="auto"/>
        </w:rPr>
        <w:t>Each of our independent directors attended all of the meetings of the Board and committees on which he or she served in 2024 with the exception of one independent director who was unable to attend one Board meeting. Although we do not have a policy on director attendance at the Annual Meeting,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encouraged to attend, and each of our directors attended the 2024 Annual Meeting.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Nominations for election to the Board may be made by the Compensation Committee or by any common stockholder entitled to vote for the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election of directors in accordance with the procedures set forth in our Bylaws and as provided by applicable law. Candidates recommended by common stockholders will be evaluated by the Compensation Committee under the same criteria that are applied to other candidates.</w:t>
      </w:r>
    </w:p>
    <w:p>
      <w:pPr>
        <w:spacing w:after="0" w:line="326" w:lineRule="exact"/>
        <w:rPr>
          <w:sz w:val="20"/>
          <w:szCs w:val="20"/>
          <w:color w:val="auto"/>
        </w:rPr>
      </w:pPr>
    </w:p>
    <w:p>
      <w:pPr>
        <w:ind w:left="440" w:hanging="414"/>
        <w:spacing w:after="0"/>
        <w:tabs>
          <w:tab w:leader="none" w:pos="440" w:val="left"/>
        </w:tabs>
        <w:numPr>
          <w:ilvl w:val="0"/>
          <w:numId w:val="15"/>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Membership Criteria</w:t>
      </w:r>
    </w:p>
    <w:p>
      <w:pPr>
        <w:spacing w:after="0" w:line="81"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endeavors to identify, recruit, and nominate candidates based on the following eligibility and experience criteria: a candidate’s integrity and business ethics, strength of character, judgment, experience, and independence, as well as factors relating to the composition of</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the Board, including its size and structure, the relative strengths and experience of current directors, and principles of diversity, including diversity of experience, personal and professional backgrounds, race, gender, ethnicity, and age.</w:t>
      </w:r>
    </w:p>
    <w:p>
      <w:pPr>
        <w:spacing w:after="0" w:line="130"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recognizes the importance of a range of viewpoints, experience, and backgrounds to a well- functioning Board. The committee does not have formal objective criteria for diversity on our Board, but 60% of new director nominations since 2017 have been women or minority candidates. The Board revised its Corporate Governance Guidelines in 2021 to reflect its undertaking to instruct any third-party search firm</w:t>
      </w:r>
    </w:p>
    <w:p>
      <w:pPr>
        <w:spacing w:after="0" w:line="1"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engaged in a director search on our behalf to include in the initial list of candidates individuals reflecting diverse backgrounds. In nominating candidates to the Board, the committee determines whether the incumbent director is willing to stand for re-election. If so, the committee evaluates individual contributions to determine suitability for continued service, taking into consideration the Board’s criteria for candidates, the Board evaluation process, 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other perceived needs of the Board. The Company maintains a corporate membership in the NACD, which provides each director with access to continuing education, research materials, and publications relating to corporate governance, board leadership, and other topical information. The Company also reimburses directors for participation in professional development opportunities. A number of our directors have participated in continuing education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programs, including in the areas of cybersecurity, corporate governance, and climate change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141605</wp:posOffset>
            </wp:positionV>
            <wp:extent cx="6172200" cy="2082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2082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2490470</wp:posOffset>
            </wp:positionV>
            <wp:extent cx="5400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Metrics as of February 21, 2025.</w:t>
      </w:r>
    </w:p>
    <w:p>
      <w:pPr>
        <w:spacing w:after="0" w:line="200" w:lineRule="exact"/>
        <w:rPr>
          <w:sz w:val="20"/>
          <w:szCs w:val="20"/>
          <w:color w:val="auto"/>
        </w:rPr>
      </w:pPr>
    </w:p>
    <w:p>
      <w:pPr>
        <w:spacing w:after="0" w:line="278" w:lineRule="exact"/>
        <w:rPr>
          <w:sz w:val="20"/>
          <w:szCs w:val="20"/>
          <w:color w:val="auto"/>
        </w:rPr>
      </w:pPr>
    </w:p>
    <w:p>
      <w:pPr>
        <w:jc w:val="right"/>
        <w:ind w:left="660" w:right="4700"/>
        <w:spacing w:after="0" w:line="350" w:lineRule="auto"/>
        <w:rPr>
          <w:sz w:val="20"/>
          <w:szCs w:val="20"/>
          <w:color w:val="auto"/>
        </w:rPr>
      </w:pPr>
      <w:r>
        <w:rPr>
          <w:rFonts w:ascii="Times New Roman" w:cs="Times New Roman" w:eastAsia="Times New Roman" w:hAnsi="Times New Roman"/>
          <w:sz w:val="18"/>
          <w:szCs w:val="18"/>
          <w:color w:val="auto"/>
        </w:rPr>
        <w:t xml:space="preserve">The following table provides certain demographic characteristics of our directors. </w:t>
      </w: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-165100</wp:posOffset>
            </wp:positionV>
            <wp:extent cx="4766310" cy="625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6310" cy="625475"/>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05"/>
        </w:trPr>
        <w:tc>
          <w:tcPr>
            <w:tcW w:w="3980" w:type="dxa"/>
            <w:vAlign w:val="bottom"/>
            <w:tcBorders>
              <w:top w:val="single" w:sz="8" w:color="auto"/>
              <w:bottom w:val="single" w:sz="8" w:color="auto"/>
              <w:right w:val="single" w:sz="8" w:color="auto"/>
            </w:tcBorders>
          </w:tcPr>
          <w:p>
            <w:pPr>
              <w:spacing w:after="0"/>
              <w:rPr>
                <w:sz w:val="17"/>
                <w:szCs w:val="17"/>
                <w:color w:val="auto"/>
              </w:rPr>
            </w:pPr>
          </w:p>
        </w:tc>
        <w:tc>
          <w:tcPr>
            <w:tcW w:w="1760" w:type="dxa"/>
            <w:vAlign w:val="bottom"/>
            <w:tcBorders>
              <w:top w:val="single" w:sz="8" w:color="auto"/>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Female</w:t>
            </w:r>
          </w:p>
        </w:tc>
        <w:tc>
          <w:tcPr>
            <w:tcW w:w="1780" w:type="dxa"/>
            <w:vAlign w:val="bottom"/>
            <w:tcBorders>
              <w:top w:val="single" w:sz="8" w:color="auto"/>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Male</w:t>
            </w:r>
          </w:p>
        </w:tc>
      </w:tr>
      <w:tr>
        <w:trPr>
          <w:trHeight w:val="223"/>
        </w:trPr>
        <w:tc>
          <w:tcPr>
            <w:tcW w:w="3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Strategy and Key Risks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Board is responsible for the general oversight of the Company, including our strategic direction, the performance of our executive officers, the</w:t>
      </w:r>
    </w:p>
    <w:p>
      <w:pPr>
        <w:spacing w:after="0" w:line="1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Company’s risk management processes, and corporate responsibility initiatives, to ensure that the long-term interests of our stockholders are being served. In performing this oversight function, the Board, directly or through its standing committees, regularly reviews and discusses our corporate strategy and our material strategic, operational, financial, compensation, and compliance risks with senior management.</w:t>
      </w:r>
    </w:p>
    <w:p>
      <w:pPr>
        <w:spacing w:after="0" w:line="172" w:lineRule="exact"/>
        <w:rPr>
          <w:sz w:val="20"/>
          <w:szCs w:val="20"/>
          <w:color w:val="auto"/>
        </w:rPr>
      </w:pPr>
    </w:p>
    <w:p>
      <w:pPr>
        <w:ind w:right="180" w:firstLine="648"/>
        <w:spacing w:after="0" w:line="216" w:lineRule="auto"/>
        <w:rPr>
          <w:sz w:val="20"/>
          <w:szCs w:val="20"/>
          <w:color w:val="auto"/>
        </w:rPr>
      </w:pPr>
      <w:r>
        <w:rPr>
          <w:rFonts w:ascii="Times New Roman" w:cs="Times New Roman" w:eastAsia="Times New Roman" w:hAnsi="Times New Roman"/>
          <w:sz w:val="18"/>
          <w:szCs w:val="18"/>
          <w:color w:val="auto"/>
        </w:rPr>
        <w:t>The Board receives updates from management at each regular meeting on the Company’s performance, market conditions, and other recent developments, including, among other things, risks and opportunities facing us, as well as the strategies used to hedge the Company’s exposure to market risks, including interest rate, prepayment, and extension risks. The Board periodically reviews and discusses our broader business strategy with</w:t>
      </w:r>
    </w:p>
    <w:p>
      <w:pPr>
        <w:spacing w:after="0" w:line="1"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management and in executive session. The Board also regularly reviews our compliance with policies, procedures, risk limits, and processes addressing other operational risks.</w:t>
      </w:r>
    </w:p>
    <w:p>
      <w:pPr>
        <w:spacing w:after="0" w:line="157"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The Board recognizes the importance of effective executive leadership and the promotion of an ethical and professional culture throughout our organization. The Board and the Compensation Committee are actively engaged in overseeing succession</w:t>
      </w:r>
    </w:p>
    <w:p>
      <w:pPr>
        <w:sectPr>
          <w:pgSz w:w="11900" w:h="16838" w:orient="portrait"/>
          <w:cols w:equalWidth="0" w:num="1">
            <w:col w:w="11240"/>
          </w:cols>
          <w:pgMar w:left="320" w:top="104" w:right="339" w:bottom="1440" w:gutter="0" w:footer="0" w:header="0"/>
        </w:sectPr>
      </w:pPr>
    </w:p>
    <w:p>
      <w:pPr>
        <w:spacing w:after="0" w:line="305"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planning, including a routine review of staffing for critical roles, considering the operational needs of the Company and the potential leadership, industry knowledge, and investment skills of existing employees. Executives and other key employees in the Company are given exposure to the Board during meetings and other events to assist with their development and the Board’s evaluation. In addition, the Board receives updates on management’s strategies</w:t>
      </w:r>
    </w:p>
    <w:p>
      <w:pPr>
        <w:ind w:right="160"/>
        <w:spacing w:after="0" w:line="239" w:lineRule="auto"/>
        <w:rPr>
          <w:sz w:val="20"/>
          <w:szCs w:val="20"/>
          <w:color w:val="auto"/>
        </w:rPr>
      </w:pPr>
      <w:r>
        <w:rPr>
          <w:rFonts w:ascii="Times New Roman" w:cs="Times New Roman" w:eastAsia="Times New Roman" w:hAnsi="Times New Roman"/>
          <w:sz w:val="17"/>
          <w:szCs w:val="17"/>
          <w:color w:val="auto"/>
        </w:rPr>
        <w:t>for recruiting, developing, and retaining outstanding personnel and minimizing employee turnover, as applicable. At least annually, the Audit Committee reviews employee compliance with our Code of Ethics, and the Compensation Committee annually reviews the sufficiency of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137795</wp:posOffset>
            </wp:positionV>
            <wp:extent cx="6172200" cy="2991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Board has delegated certain risk management oversight responsibilities to its committees as follows:</w:t>
      </w:r>
    </w:p>
    <w:p>
      <w:pPr>
        <w:spacing w:after="0" w:line="75" w:lineRule="exact"/>
        <w:rPr>
          <w:sz w:val="20"/>
          <w:szCs w:val="20"/>
          <w:color w:val="auto"/>
        </w:rPr>
      </w:pPr>
    </w:p>
    <w:p>
      <w:pPr>
        <w:ind w:left="900" w:right="100" w:hanging="325"/>
        <w:spacing w:after="0" w:line="248" w:lineRule="auto"/>
        <w:tabs>
          <w:tab w:leader="none" w:pos="8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407CCA"/>
        </w:rPr>
        <w:t xml:space="preserve">Financial and Accounting Risk: </w:t>
      </w:r>
      <w:r>
        <w:rPr>
          <w:rFonts w:ascii="Times New Roman" w:cs="Times New Roman" w:eastAsia="Times New Roman" w:hAnsi="Times New Roman"/>
          <w:sz w:val="17"/>
          <w:szCs w:val="17"/>
          <w:color w:val="000000"/>
        </w:rPr>
        <w:t>The Audit Committee oversees the Company’s management of its financial and accounting systems, its</w:t>
      </w:r>
      <w:r>
        <w:rPr>
          <w:rFonts w:ascii="Times New Roman" w:cs="Times New Roman" w:eastAsia="Times New Roman" w:hAnsi="Times New Roman"/>
          <w:sz w:val="17"/>
          <w:szCs w:val="17"/>
          <w:i w:val="1"/>
          <w:iCs w:val="1"/>
          <w:color w:val="407CCA"/>
        </w:rPr>
        <w:t xml:space="preserve"> </w:t>
      </w:r>
      <w:r>
        <w:rPr>
          <w:rFonts w:ascii="Times New Roman" w:cs="Times New Roman" w:eastAsia="Times New Roman" w:hAnsi="Times New Roman"/>
          <w:sz w:val="17"/>
          <w:szCs w:val="17"/>
          <w:color w:val="000000"/>
        </w:rPr>
        <w:t>internal control over financial reporting, and disclosure controls and procedures through regular meetings with our Chief Financial Officer, senior members of the Company’s internal audit and legal departments, and representatives of the Company’s independent public accountant.</w:t>
      </w:r>
    </w:p>
    <w:p>
      <w:pPr>
        <w:spacing w:after="0" w:line="69" w:lineRule="exact"/>
        <w:rPr>
          <w:rFonts w:ascii="Times New Roman" w:cs="Times New Roman" w:eastAsia="Times New Roman" w:hAnsi="Times New Roman"/>
          <w:sz w:val="17"/>
          <w:szCs w:val="17"/>
          <w:color w:val="auto"/>
        </w:rPr>
      </w:pPr>
    </w:p>
    <w:p>
      <w:pPr>
        <w:jc w:val="both"/>
        <w:ind w:left="900" w:right="120" w:hanging="325"/>
        <w:spacing w:after="0" w:line="221" w:lineRule="auto"/>
        <w:tabs>
          <w:tab w:leader="none" w:pos="89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407CCA"/>
        </w:rPr>
        <w:t xml:space="preserve">Regulatory Compliance Risk: </w:t>
      </w:r>
      <w:r>
        <w:rPr>
          <w:rFonts w:ascii="Times New Roman" w:cs="Times New Roman" w:eastAsia="Times New Roman" w:hAnsi="Times New Roman"/>
          <w:sz w:val="18"/>
          <w:szCs w:val="18"/>
          <w:color w:val="000000"/>
        </w:rPr>
        <w:t>The Board, both directly and through the Audit Committee, receives regular reports from the Company’s Chief</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Financial Officer, General Counsel, and Head of Internal Audit on regulatory compliance matters, including the Company’s compliance with its REIT qualification and exemption from the Investment Company Act of 1940 and compliance with our Code of Ethics.</w:t>
      </w:r>
    </w:p>
    <w:p>
      <w:pPr>
        <w:spacing w:after="0" w:line="47" w:lineRule="exact"/>
        <w:rPr>
          <w:rFonts w:ascii="Times New Roman" w:cs="Times New Roman" w:eastAsia="Times New Roman" w:hAnsi="Times New Roman"/>
          <w:sz w:val="22"/>
          <w:szCs w:val="22"/>
          <w:color w:val="auto"/>
        </w:rPr>
      </w:pPr>
    </w:p>
    <w:p>
      <w:pPr>
        <w:ind w:left="900" w:right="160" w:hanging="325"/>
        <w:spacing w:after="0" w:line="225"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Cybersecurity Risk: </w:t>
      </w:r>
      <w:r>
        <w:rPr>
          <w:rFonts w:ascii="Times New Roman" w:cs="Times New Roman" w:eastAsia="Times New Roman" w:hAnsi="Times New Roman"/>
          <w:sz w:val="18"/>
          <w:szCs w:val="18"/>
          <w:color w:val="000000"/>
        </w:rPr>
        <w:t>The Audit Committee, which is responsible for oversight of information technology and data security controls related to</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our financial reporting, oversees our management of cybersecurity risk and receives regular reporting on such matters from the Company’s Chief Technology Officer. In delegating responsibility to the Audit Committee, the Board discussed our risk exposure with management, taking into consideration our operations and the types of data retained on our systems.</w:t>
      </w:r>
    </w:p>
    <w:p>
      <w:pPr>
        <w:spacing w:after="0" w:line="47" w:lineRule="exact"/>
        <w:rPr>
          <w:rFonts w:ascii="Times New Roman" w:cs="Times New Roman" w:eastAsia="Times New Roman" w:hAnsi="Times New Roman"/>
          <w:sz w:val="18"/>
          <w:szCs w:val="18"/>
          <w:color w:val="auto"/>
        </w:rPr>
      </w:pPr>
    </w:p>
    <w:p>
      <w:pPr>
        <w:ind w:left="900" w:right="440" w:hanging="325"/>
        <w:spacing w:after="0" w:line="253"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Governance Risk: </w:t>
      </w:r>
      <w:r>
        <w:rPr>
          <w:rFonts w:ascii="Times New Roman" w:cs="Times New Roman" w:eastAsia="Times New Roman" w:hAnsi="Times New Roman"/>
          <w:sz w:val="18"/>
          <w:szCs w:val="18"/>
          <w:color w:val="000000"/>
        </w:rPr>
        <w:t>The Compensation Committee also oversees risks related to Board organization, membership, structure, and corporate</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governance.</w:t>
      </w:r>
    </w:p>
    <w:p>
      <w:pPr>
        <w:spacing w:after="0" w:line="3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Litigation Risk: </w:t>
      </w:r>
      <w:r>
        <w:rPr>
          <w:rFonts w:ascii="Times New Roman" w:cs="Times New Roman" w:eastAsia="Times New Roman" w:hAnsi="Times New Roman"/>
          <w:sz w:val="18"/>
          <w:szCs w:val="18"/>
          <w:color w:val="000000"/>
        </w:rPr>
        <w:t>The Compensation Committee monitors the Company’s litigation, if any.</w:t>
      </w:r>
    </w:p>
    <w:p>
      <w:pPr>
        <w:spacing w:after="0" w:line="76" w:lineRule="exact"/>
        <w:rPr>
          <w:rFonts w:ascii="Times New Roman" w:cs="Times New Roman" w:eastAsia="Times New Roman" w:hAnsi="Times New Roman"/>
          <w:sz w:val="18"/>
          <w:szCs w:val="18"/>
          <w:color w:val="auto"/>
        </w:rPr>
      </w:pPr>
    </w:p>
    <w:p>
      <w:pPr>
        <w:ind w:left="900" w:right="60" w:hanging="325"/>
        <w:spacing w:after="0" w:line="253"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Succession Planning and Human Capital Risk: </w:t>
      </w:r>
      <w:r>
        <w:rPr>
          <w:rFonts w:ascii="Times New Roman" w:cs="Times New Roman" w:eastAsia="Times New Roman" w:hAnsi="Times New Roman"/>
          <w:sz w:val="18"/>
          <w:szCs w:val="18"/>
          <w:color w:val="000000"/>
        </w:rPr>
        <w:t>The Compensation Committee is responsible for ensuring that a succession plan is in place for</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our executive officers and other key employees and overseeing the Company’s management and development of its human capital.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relevant environmental, social, and governance considerations into our business and day-to-day operations, and we appreciate the</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increased interest of our stockholders in these matters. We consider the interests of all our stakeholders—our stockholders, employees, lenders, other counterparties, vendors, and community—in pursuing the long-term success of our business. Our review and evaluation of corporate social responsibility issues and opportunities are focused on two areas: our business operations and our investment activity.</w:t>
      </w:r>
    </w:p>
    <w:p>
      <w:pPr>
        <w:spacing w:after="0" w:line="1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primary operational focus from a social perspective is our human capital. AGNC is committed to providing all of our employees an engaging, supportive, and inclusive atmosphere in which to grow professionally and contribute to our corporate</w:t>
      </w:r>
    </w:p>
    <w:p>
      <w:pPr>
        <w:spacing w:after="0" w:line="332" w:lineRule="exact"/>
        <w:rPr>
          <w:sz w:val="20"/>
          <w:szCs w:val="20"/>
          <w:color w:val="auto"/>
        </w:rPr>
      </w:pPr>
    </w:p>
    <w:p>
      <w:pPr>
        <w:ind w:left="440" w:hanging="414"/>
        <w:spacing w:after="0"/>
        <w:tabs>
          <w:tab w:leader="none" w:pos="440" w:val="left"/>
        </w:tabs>
        <w:numPr>
          <w:ilvl w:val="0"/>
          <w:numId w:val="17"/>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objectives. We pride ourselves on providing a wide selection of resources to protect and promote our employees’ professional development, health, well-being, financial security, safety, and work-life balance. We offer our employees comprehensive benefits and participation in our long-term equity incentive program, and we have implemented programs that promote cross training, collaboration, and professional growth. We utilize a hybrid work model that allows for meaningful collaboration among employees while also promoting flexibility in individual employee schedules. As a 53-person organization engaged in managing a portfolio primarily consisting of Agency mortgage-backed securities, our business operations have a limited environmental impact, but we regularly evaluate opportunities to reduce our direct environmental effects.</w:t>
      </w:r>
    </w:p>
    <w:p>
      <w:pPr>
        <w:spacing w:after="0" w:line="173" w:lineRule="exact"/>
        <w:rPr>
          <w:sz w:val="20"/>
          <w:szCs w:val="20"/>
          <w:color w:val="auto"/>
        </w:rPr>
      </w:pPr>
    </w:p>
    <w:p>
      <w:pPr>
        <w:ind w:right="100" w:firstLine="648"/>
        <w:spacing w:after="0" w:line="232" w:lineRule="auto"/>
        <w:rPr>
          <w:sz w:val="20"/>
          <w:szCs w:val="20"/>
          <w:color w:val="auto"/>
        </w:rPr>
      </w:pPr>
      <w:r>
        <w:rPr>
          <w:rFonts w:ascii="Times New Roman" w:cs="Times New Roman" w:eastAsia="Times New Roman" w:hAnsi="Times New Roman"/>
          <w:sz w:val="18"/>
          <w:szCs w:val="18"/>
          <w:color w:val="auto"/>
        </w:rPr>
        <w:t>From an investment perspective, our business supports home ownership in the United States, which has long been viewed as an important vehicle of individual wealth creation and aids in the development of strong communities. Our investments in residential mortgage-backed securities and other mortgage-related instruments play a meaningful role in helping Americans become homeowners. As an investor predominantly in Agency mortgage-backed securities, we have limited insight into the location, age, or other characteristics of individual homes or the identity of the mortgage borrowers included in these investments.</w:t>
      </w:r>
    </w:p>
    <w:p>
      <w:pPr>
        <w:spacing w:after="0" w:line="18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Our Board has elected to allocate oversight of these corporate responsibility matters among the Board and our Compensation and Audit Committees rather than delegating responsibility for oversight to a single committee. Our allocation of these matters in this manner allows for each of these committees and the Board to govern and oversee the areas of corporate responsibility relevant to their respective areas of focus in the context of our business.</w:t>
      </w:r>
    </w:p>
    <w:p>
      <w:pPr>
        <w:spacing w:after="0" w:line="185"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Our Compensation Committee oversees our approach to human capital management and development, the governance and operations of our Board (including its governance and oversight of corporate social responsibility and sustainability), and the composition and diversity of our Board. As part of its oversight of human capital management and corporate responsibility, the Compensation Committee receives reports on the results of employee surveys and updates from management regarding actions taken to promote development and engagement of our workforce. Our Audit Committee oversees our management’s governance of our business conduct in the areas of financial reporting, information security, legal and regulatory compliance, and compliance with our Code of Ethics. Our full Board oversees our investment guidelines, portfolio and risk management framework, and overall strategic direction, which incorporates our responsibility to the people and communities we serve.</w:t>
      </w:r>
    </w:p>
    <w:p>
      <w:pPr>
        <w:spacing w:after="0" w:line="171"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In November 2024, we issued our fourth annual ESG Report, which provides disclosures consistent with the recommendations of the SASB and the TCFD, including Scope 1 and 2 greenhouse gas emissions data. The report provides disclosure on environmental, social, and governance issues and topics most material to our business and operations and further details our ongoing efforts to enhance our corporate responsibility and sustainability practices. Our ESG Report is available in the Responsibility section of our website at www.AGNC.com/corporate-responsibility.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in more detail below, we compensate our independent directors with cash retainers and equity-based awards. Directors who are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employees of the Company or our subsidiaries do not receive any compensation for service as a member of the Board although we reimburse all directors for travel expenses incurred in connection with Board and committee meetings and Board-related functions. The Compensation Committee periodically reviews the form and amount of compensation paid to our independent directors to ensure it remains consistent with quality corporate governance practices.</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In these reviews, the Compensation Committee regularly consults with FW Cook for advice on the design and structure of the program, information on recent trends and developments in non-employee director compensation, general industry data, and analyses of the competitiveness of our non-employee director compensation levels relative to comparable companies.</w:t>
      </w:r>
    </w:p>
    <w:p>
      <w:pPr>
        <w:spacing w:after="0" w:line="17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In 2024, independent directors received a cash retainer for service on the Board at the annual rate of $125,000, payable quarterly in advance; the Chairs of our Audit Committee and Compensation Committee each received an additional retainer at an annual rate of $35,000, payable quarterly in advance, and our Vice Chair and Lead Independent Director received an additional annual retainer of $140,000, also payable quarterly in advance. The cash</w:t>
      </w:r>
    </w:p>
    <w:p>
      <w:pPr>
        <w:ind w:right="240"/>
        <w:spacing w:after="0" w:line="208" w:lineRule="auto"/>
        <w:rPr>
          <w:sz w:val="20"/>
          <w:szCs w:val="20"/>
          <w:color w:val="auto"/>
        </w:rPr>
      </w:pPr>
      <w:r>
        <w:rPr>
          <w:rFonts w:ascii="Times New Roman" w:cs="Times New Roman" w:eastAsia="Times New Roman" w:hAnsi="Times New Roman"/>
          <w:sz w:val="18"/>
          <w:szCs w:val="18"/>
          <w:color w:val="auto"/>
        </w:rPr>
        <w:t>retainer level was increased in 2023 in consultation with FW Cook following the Compensation Committee’s review of market practices at a group of comparable companies and taking into consideration the level of work required of our directors. The Compensation Committee, in consultation with FW Cook, concluded that the cash retainers for independent directors, committee chair positions, and Vice Chair and Lead Independent Director remained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for 2024 in light of the work expected in each role.</w:t>
      </w:r>
    </w:p>
    <w:p>
      <w:pPr>
        <w:spacing w:after="0" w:line="16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The Board believes that a substantial portion of director compensation should consist of equity-based compensation to assist in aligning the long-term interests of our directors with those of our stockholders. On April 18, 2024, each of our independent directors serving on the Board at that time received 18,211 RSUs under the Amended and Restated AGNC Investment Corp. 2016 Equity and Incentive Compensation Plan (the “2016 Equity Plan”), which is described in more detail below. The RSUs vest on the earlier of April 18, 2025 or the date of the 2025 Annual Meeting of Stockholders, subject to the director’s continued service on our Board through the vesting date. Each RSU represents the right to receive an equivalent number of shares of our common stock, plus dividend equivalents, subject to the terms of the 2016 Equity Plan. The Compensation Committee recommended the amount of annual equity awards in consultation with FW Cook as part of its review of our director compensation relative to our compensation philosophy and objectives, comparable market practices for independent director compensation, and the work required of our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tcPr>
          <w:p>
            <w:pPr>
              <w:ind w:left="79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407CCA"/>
              </w:rPr>
              <w:t>7</w:t>
            </w:r>
          </w:p>
        </w:tc>
      </w:tr>
      <w:tr>
        <w:trPr>
          <w:trHeight w:val="233"/>
        </w:trPr>
        <w:tc>
          <w:tcPr>
            <w:tcW w:w="10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received by each independent director during 2024:</w:t>
      </w:r>
    </w:p>
    <w:p>
      <w:pPr>
        <w:spacing w:after="0" w:line="223" w:lineRule="exact"/>
        <w:rPr>
          <w:sz w:val="20"/>
          <w:szCs w:val="20"/>
          <w:color w:val="auto"/>
        </w:rPr>
      </w:pPr>
    </w:p>
    <w:tbl>
      <w:tblPr>
        <w:tblLayout w:type="fixed"/>
        <w:tblInd w:w="800" w:type="dxa"/>
        <w:tblCellMar>
          <w:top w:w="0" w:type="dxa"/>
          <w:left w:w="0" w:type="dxa"/>
          <w:bottom w:w="0" w:type="dxa"/>
          <w:right w:w="0" w:type="dxa"/>
        </w:tblCellMar>
      </w:tblPr>
      <w:tr>
        <w:trPr>
          <w:trHeight w:val="135"/>
        </w:trPr>
        <w:tc>
          <w:tcPr>
            <w:tcW w:w="3520" w:type="dxa"/>
            <w:vAlign w:val="bottom"/>
            <w:tcBorders>
              <w:top w:val="single" w:sz="8" w:color="407CCA"/>
            </w:tcBorders>
          </w:tcPr>
          <w:p>
            <w:pPr>
              <w:spacing w:after="0"/>
              <w:rPr>
                <w:sz w:val="11"/>
                <w:szCs w:val="11"/>
                <w:color w:val="auto"/>
              </w:rPr>
            </w:pPr>
          </w:p>
        </w:tc>
        <w:tc>
          <w:tcPr>
            <w:tcW w:w="2680" w:type="dxa"/>
            <w:vAlign w:val="bottom"/>
            <w:tcBorders>
              <w:top w:val="single" w:sz="8" w:color="407CCA"/>
            </w:tcBorders>
          </w:tcPr>
          <w:p>
            <w:pPr>
              <w:jc w:val="center"/>
              <w:ind w:left="1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Fees Earned</w:t>
            </w:r>
          </w:p>
        </w:tc>
        <w:tc>
          <w:tcPr>
            <w:tcW w:w="1200" w:type="dxa"/>
            <w:vAlign w:val="bottom"/>
            <w:tcBorders>
              <w:top w:val="single" w:sz="8" w:color="407CCA"/>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38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680" w:type="dxa"/>
            <w:vAlign w:val="bottom"/>
          </w:tcPr>
          <w:p>
            <w:pPr>
              <w:jc w:val="center"/>
              <w:ind w:left="13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Paid in</w:t>
            </w:r>
          </w:p>
        </w:tc>
        <w:tc>
          <w:tcPr>
            <w:tcW w:w="1200" w:type="dxa"/>
            <w:vAlign w:val="bottom"/>
            <w:vMerge w:val="continue"/>
          </w:tcPr>
          <w:p>
            <w:pPr>
              <w:spacing w:after="0"/>
              <w:rPr>
                <w:sz w:val="10"/>
                <w:szCs w:val="10"/>
                <w:color w:val="auto"/>
              </w:rPr>
            </w:pP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tcPr>
          <w:p>
            <w:pPr>
              <w:jc w:val="center"/>
              <w:ind w:left="136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Borders>
              <w:bottom w:val="single" w:sz="8" w:color="407CCA"/>
            </w:tcBorders>
            <w:vMerge w:val="continue"/>
          </w:tcPr>
          <w:p>
            <w:pPr>
              <w:spacing w:after="0"/>
              <w:rPr>
                <w:sz w:val="16"/>
                <w:szCs w:val="16"/>
                <w:color w:val="auto"/>
              </w:rPr>
            </w:pPr>
          </w:p>
        </w:tc>
        <w:tc>
          <w:tcPr>
            <w:tcW w:w="2680" w:type="dxa"/>
            <w:vAlign w:val="bottom"/>
            <w:tcBorders>
              <w:bottom w:val="single" w:sz="8" w:color="407CCA"/>
            </w:tcBorders>
          </w:tcPr>
          <w:p>
            <w:pPr>
              <w:jc w:val="center"/>
              <w:ind w:left="134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7"/>
                <w:szCs w:val="7"/>
                <w:b w:val="1"/>
                <w:bCs w:val="1"/>
                <w:color w:val="auto"/>
              </w:rPr>
              <w:t>1</w:t>
            </w:r>
          </w:p>
        </w:tc>
        <w:tc>
          <w:tcPr>
            <w:tcW w:w="1380" w:type="dxa"/>
            <w:vAlign w:val="bottom"/>
            <w:tcBorders>
              <w:bottom w:val="single" w:sz="8" w:color="407CCA"/>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91"/>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Donna J. Blank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160,000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325,000</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Morris A. Davis</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160,000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325,000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Fisk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125,000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290,000</w:t>
            </w: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Andrew A. Johnson, Jr.</w:t>
            </w:r>
          </w:p>
        </w:tc>
        <w:tc>
          <w:tcPr>
            <w:tcW w:w="2680" w:type="dxa"/>
            <w:vAlign w:val="bottom"/>
          </w:tcPr>
          <w:p>
            <w:pPr>
              <w:jc w:val="center"/>
              <w:ind w:left="1340"/>
              <w:spacing w:after="0"/>
              <w:rPr>
                <w:sz w:val="20"/>
                <w:szCs w:val="20"/>
                <w:color w:val="auto"/>
              </w:rPr>
            </w:pPr>
            <w:r>
              <w:rPr>
                <w:rFonts w:ascii="Times New Roman" w:cs="Times New Roman" w:eastAsia="Times New Roman" w:hAnsi="Times New Roman"/>
                <w:sz w:val="18"/>
                <w:szCs w:val="18"/>
                <w:color w:val="auto"/>
                <w:w w:val="99"/>
              </w:rPr>
              <w:t>125,000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9"/>
              </w:rPr>
              <w:t>290,000</w:t>
            </w: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Prue B. Larocca</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265,000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430,000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 E. Mullings</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125,000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290,000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Frances R. Spark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125,000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290,000</w:t>
            </w:r>
          </w:p>
        </w:tc>
        <w:tc>
          <w:tcPr>
            <w:tcW w:w="0" w:type="dxa"/>
            <w:vAlign w:val="bottom"/>
          </w:tcPr>
          <w:p>
            <w:pPr>
              <w:spacing w:after="0"/>
              <w:rPr>
                <w:sz w:val="1"/>
                <w:szCs w:val="1"/>
                <w:color w:val="auto"/>
              </w:rPr>
            </w:pPr>
          </w:p>
        </w:tc>
      </w:tr>
      <w:tr>
        <w:trPr>
          <w:trHeight w:val="95"/>
        </w:trPr>
        <w:tc>
          <w:tcPr>
            <w:tcW w:w="3520" w:type="dxa"/>
            <w:vAlign w:val="bottom"/>
            <w:tcBorders>
              <w:bottom w:val="single" w:sz="8" w:color="407CCA"/>
            </w:tcBorders>
          </w:tcPr>
          <w:p>
            <w:pPr>
              <w:spacing w:after="0"/>
              <w:rPr>
                <w:sz w:val="8"/>
                <w:szCs w:val="8"/>
                <w:color w:val="auto"/>
              </w:rPr>
            </w:pPr>
          </w:p>
        </w:tc>
        <w:tc>
          <w:tcPr>
            <w:tcW w:w="2680" w:type="dxa"/>
            <w:vAlign w:val="bottom"/>
            <w:tcBorders>
              <w:bottom w:val="single" w:sz="8" w:color="407CCA"/>
            </w:tcBorders>
            <w:vMerge w:val="continue"/>
          </w:tcPr>
          <w:p>
            <w:pPr>
              <w:spacing w:after="0"/>
              <w:rPr>
                <w:sz w:val="8"/>
                <w:szCs w:val="8"/>
                <w:color w:val="auto"/>
              </w:rPr>
            </w:pPr>
          </w:p>
        </w:tc>
        <w:tc>
          <w:tcPr>
            <w:tcW w:w="1200" w:type="dxa"/>
            <w:vAlign w:val="bottom"/>
            <w:tcBorders>
              <w:bottom w:val="single" w:sz="8" w:color="407CCA"/>
            </w:tcBorders>
            <w:vMerge w:val="continue"/>
          </w:tcPr>
          <w:p>
            <w:pPr>
              <w:spacing w:after="0"/>
              <w:rPr>
                <w:sz w:val="8"/>
                <w:szCs w:val="8"/>
                <w:color w:val="auto"/>
              </w:rPr>
            </w:pPr>
          </w:p>
        </w:tc>
        <w:tc>
          <w:tcPr>
            <w:tcW w:w="138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line="231" w:lineRule="auto"/>
        <w:tabs>
          <w:tab w:leader="none" w:pos="34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the “Stock Awards” column represent the grant date fair value of each award granted calculated in accordance with Financial Accounting Standards Board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as required by Securities and Exchange Commission (“SEC”) regulations. Each award represents the right to receive 18,211 shares of common stock (calculated by dividing the value of the award by the closing price of a share of common stock on the grant date, which was $9.06 on April 18, 2024). As of December 31, 2024, in connection with these awards, each independent director had unvested RSUs relating to 20,330 shares of common stock, including dividend equivalents on the RSUs.</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The 2016 Equity Plan</w:t>
      </w:r>
    </w:p>
    <w:p>
      <w:pPr>
        <w:spacing w:after="0" w:line="92" w:lineRule="exact"/>
        <w:rPr>
          <w:sz w:val="20"/>
          <w:szCs w:val="20"/>
          <w:color w:val="auto"/>
        </w:rPr>
      </w:pPr>
    </w:p>
    <w:p>
      <w:pPr>
        <w:ind w:right="160" w:firstLine="648"/>
        <w:spacing w:after="0" w:line="216" w:lineRule="auto"/>
        <w:rPr>
          <w:sz w:val="20"/>
          <w:szCs w:val="20"/>
          <w:color w:val="auto"/>
        </w:rPr>
      </w:pPr>
      <w:r>
        <w:rPr>
          <w:rFonts w:ascii="Times New Roman" w:cs="Times New Roman" w:eastAsia="Times New Roman" w:hAnsi="Times New Roman"/>
          <w:sz w:val="18"/>
          <w:szCs w:val="18"/>
          <w:color w:val="auto"/>
        </w:rPr>
        <w:t>The Company maintains the 2016 Equity Plan to provide our directors, executive officers, and other employees with equity incentive compensation. Stockholders initially approved the Company’s equity plan in December 2016 and subsequently approved an amendment and restatement with 91.7% of the shares voted in support at the 2021 Annual Meeting. Subject to adjustment as described in the 2016 Equity Plan, total awards under the</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2016 Equity Plan are currently limited to 40,000,000 shares, inclusive of dividend equivalents paid on such awards. These shares may be shares of original issuance or treasury shares or a combination of the two, and awards may be time-vested or performance-vested.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2016 Equity Plan authorizes the Compensation Committee to provide equity-based compensation in the form of stock options, appreciation</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rights, restricted shares, restricted stock units, performance shares, performance units, dividend equivalents, and certain other awards denominated or payable in, or otherwise based on, shares of common stock, plus cash incentive awards, for the purpose of providing our non-employee directors, officers, and other employees, and those of our subsidiaries, incentives and rewards for service or performance. Although various types of awards are authorized</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under the 2016 Equity Plan, the Company has never made awards other than RSUs to any person. The 2016 Equity Plan places a limit on the dollar value of awards and other compensation that may be made to a director in any year. Independent directors may elect to defer distribution of their awards under the 2016 Equity Plan for a period of up to ten years; deferred awards are non-forfeitable following the vesting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practice is to make annual equity awards in the form of RSUs to all employees one time per year on or about March 1 of each</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year, which is after the Company’s announcement of its prior year financial results (generally occurring prior to the end of January) and also typically promptly after public filing of the Company’s Annual Report on Form 10-K. Independent directors receive an annual equity award in the form of RSUs on the date of the Company’s Annual Meeting.</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Independent Director Plan</w:t>
      </w:r>
    </w:p>
    <w:p>
      <w:pPr>
        <w:spacing w:after="0" w:line="7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The American Capital Agency Corp. Equity Incentive Plan for Independent Directors (the “Independent Director Plan”), created at the time of our IPO, provided for the issuance of equity-based awards to our independent directors and was terminated when our stockholders approved the 2016 Equity</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Plan, except with respect to then outstanding awards. Restricted stock units awarded under the Independent Director Plan conferred to the participant the right to receive common stock having a value equal to the number of shares of our common stock that were subject to the award. The holders of awards of restricted stock units were also entitled to receive dividend equivalents and could elect to defer distribution of their equity-based awards for a period of 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ten years. Deferred awards are non-forfeitable after the vesting date.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believes that directors more effectively represent the best interests of the Company if they are stockholders themselves. Thus, each</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independent director is encouraged to own shares of our common stock equal in value to at least 5x the annual cash retainer paid to independent directors (which was $125,000 in 2024). Fully vested RSUs that have been deferred and unvested time-based RSUs are included in determining the number of shares held for this purpose. Although our independent directors do not receive performance-based equity awards, for the avoidance of doubt, unvested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performance-based awards, if they were awarded, would not be included in the number of shares held for purposes of our share ownership guidelines. Until the stated minimum is met, each independent director must retain at least 50% of the shares of common stock received upon vesting, net of any shares withheld or sold to pay or reimburse taxes on such income. As of February 21, 2025, all of our directors were in compliance with their obligations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ownership guidelines.</w:t>
      </w:r>
    </w:p>
    <w:p>
      <w:pPr>
        <w:spacing w:after="0" w:line="165"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In addition, our Board has adopted a policy prohibiting our executive officers and directors from any hedging, pledging, or entering into margin loans with respect to any shares of our common stock (regardless of whether such stock is owned directly or indirectly, as such terms are used in the SEC</w:t>
      </w:r>
    </w:p>
    <w:p>
      <w:pPr>
        <w:spacing w:after="0"/>
        <w:rPr>
          <w:sz w:val="20"/>
          <w:szCs w:val="20"/>
          <w:color w:val="auto"/>
        </w:rPr>
      </w:pPr>
      <w:r>
        <w:rPr>
          <w:rFonts w:ascii="Times New Roman" w:cs="Times New Roman" w:eastAsia="Times New Roman" w:hAnsi="Times New Roman"/>
          <w:sz w:val="18"/>
          <w:szCs w:val="18"/>
          <w:color w:val="auto"/>
        </w:rPr>
        <w:t>rules promulgated under the Exchange Act) or from engaging in short sales of our</w:t>
      </w:r>
    </w:p>
    <w:p>
      <w:pPr>
        <w:sectPr>
          <w:pgSz w:w="11900" w:h="16838" w:orient="portrait"/>
          <w:cols w:equalWidth="0" w:num="1">
            <w:col w:w="11240"/>
          </w:cols>
          <w:pgMar w:left="320" w:top="104" w:right="339" w:bottom="1440" w:gutter="0" w:footer="0" w:header="0"/>
        </w:sectPr>
      </w:pPr>
    </w:p>
    <w:p>
      <w:pPr>
        <w:spacing w:after="0" w:line="320" w:lineRule="exact"/>
        <w:rPr>
          <w:sz w:val="20"/>
          <w:szCs w:val="20"/>
          <w:color w:val="auto"/>
        </w:rPr>
      </w:pPr>
    </w:p>
    <w:p>
      <w:pPr>
        <w:ind w:left="440" w:hanging="414"/>
        <w:spacing w:after="0"/>
        <w:tabs>
          <w:tab w:leader="none" w:pos="440" w:val="left"/>
        </w:tabs>
        <w:numPr>
          <w:ilvl w:val="0"/>
          <w:numId w:val="19"/>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common stock or entering into any other transaction or derivative agreement where he or she would earn a profit or offset losses due to a decline of our stock price.</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total stock ownership of our independent directors, including beneficially owned, unvested, and deferred shares, as calculated pursuant to our stock ownership guidelines as of February 21, 2025:</w:t>
      </w:r>
    </w:p>
    <w:p>
      <w:pPr>
        <w:spacing w:after="0" w:line="200" w:lineRule="exact"/>
        <w:rPr>
          <w:sz w:val="20"/>
          <w:szCs w:val="20"/>
          <w:color w:val="auto"/>
        </w:rPr>
      </w:pPr>
    </w:p>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3880" w:type="dxa"/>
            <w:vAlign w:val="bottom"/>
            <w:tcBorders>
              <w:top w:val="single" w:sz="8" w:color="407CCA"/>
            </w:tcBorders>
          </w:tcPr>
          <w:p>
            <w:pPr>
              <w:spacing w:after="0"/>
              <w:rPr>
                <w:sz w:val="12"/>
                <w:szCs w:val="12"/>
                <w:color w:val="auto"/>
              </w:rPr>
            </w:pPr>
          </w:p>
        </w:tc>
        <w:tc>
          <w:tcPr>
            <w:tcW w:w="3000" w:type="dxa"/>
            <w:vAlign w:val="bottom"/>
            <w:tcBorders>
              <w:top w:val="single" w:sz="8" w:color="407CCA"/>
            </w:tcBorders>
          </w:tcPr>
          <w:p>
            <w:pPr>
              <w:jc w:val="center"/>
              <w:ind w:left="1738"/>
              <w:spacing w:after="0"/>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40" w:type="dxa"/>
            <w:vAlign w:val="bottom"/>
            <w:tcBorders>
              <w:top w:val="single" w:sz="8" w:color="407CCA"/>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Unvested</w:t>
            </w:r>
          </w:p>
        </w:tc>
        <w:tc>
          <w:tcPr>
            <w:tcW w:w="1220" w:type="dxa"/>
            <w:vAlign w:val="bottom"/>
            <w:tcBorders>
              <w:top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Vested/Deferred</w:t>
            </w:r>
          </w:p>
        </w:tc>
        <w:tc>
          <w:tcPr>
            <w:tcW w:w="960" w:type="dxa"/>
            <w:vAlign w:val="bottom"/>
            <w:tcBorders>
              <w:top w:val="single" w:sz="8" w:color="407CCA"/>
            </w:tcBorders>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8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tcPr>
          <w:p>
            <w:pPr>
              <w:jc w:val="center"/>
              <w:ind w:left="1738"/>
              <w:spacing w:after="0" w:line="122"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940" w:type="dxa"/>
            <w:vAlign w:val="bottom"/>
          </w:tcPr>
          <w:p>
            <w:pPr>
              <w:jc w:val="center"/>
              <w:ind w:left="18"/>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4"/>
                <w:szCs w:val="14"/>
                <w:b w:val="1"/>
                <w:bCs w:val="1"/>
                <w:color w:val="auto"/>
                <w:vertAlign w:val="superscript"/>
              </w:rPr>
              <w:t>1</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407CCA"/>
            </w:tcBorders>
            <w:vMerge w:val="continue"/>
          </w:tcPr>
          <w:p>
            <w:pPr>
              <w:spacing w:after="0"/>
              <w:rPr>
                <w:sz w:val="16"/>
                <w:szCs w:val="16"/>
                <w:color w:val="auto"/>
              </w:rPr>
            </w:pPr>
          </w:p>
        </w:tc>
        <w:tc>
          <w:tcPr>
            <w:tcW w:w="3000" w:type="dxa"/>
            <w:vAlign w:val="bottom"/>
            <w:tcBorders>
              <w:bottom w:val="single" w:sz="8" w:color="407CCA"/>
            </w:tcBorders>
          </w:tcPr>
          <w:p>
            <w:pPr>
              <w:jc w:val="center"/>
              <w:ind w:left="1738"/>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940" w:type="dxa"/>
            <w:vAlign w:val="bottom"/>
            <w:tcBorders>
              <w:bottom w:val="single" w:sz="8" w:color="407CCA"/>
            </w:tcBorders>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04"/>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Donna J. Blank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17,218</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46,480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84,266</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Morris A. Davis</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12,122</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36,039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68,729</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Fisk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39,079</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47,217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106,864</w:t>
            </w:r>
          </w:p>
        </w:tc>
        <w:tc>
          <w:tcPr>
            <w:tcW w:w="0" w:type="dxa"/>
            <w:vAlign w:val="bottom"/>
          </w:tcPr>
          <w:p>
            <w:pPr>
              <w:spacing w:after="0"/>
              <w:rPr>
                <w:sz w:val="1"/>
                <w:szCs w:val="1"/>
                <w:color w:val="auto"/>
              </w:rPr>
            </w:pPr>
          </w:p>
        </w:tc>
      </w:tr>
      <w:tr>
        <w:trPr>
          <w:trHeight w:val="310"/>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Andrew A. Johnson, Jr.</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40,382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60,950</w:t>
            </w:r>
          </w:p>
        </w:tc>
        <w:tc>
          <w:tcPr>
            <w:tcW w:w="0" w:type="dxa"/>
            <w:vAlign w:val="bottom"/>
          </w:tcPr>
          <w:p>
            <w:pPr>
              <w:spacing w:after="0"/>
              <w:rPr>
                <w:sz w:val="1"/>
                <w:szCs w:val="1"/>
                <w:color w:val="auto"/>
              </w:rPr>
            </w:pPr>
          </w:p>
        </w:tc>
      </w:tr>
      <w:tr>
        <w:trPr>
          <w:trHeight w:val="311"/>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Prue B. Larocca</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92,892</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5,689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119,149</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 E. Mullings</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16,884</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86,862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124,314</w:t>
            </w:r>
          </w:p>
        </w:tc>
        <w:tc>
          <w:tcPr>
            <w:tcW w:w="0" w:type="dxa"/>
            <w:vAlign w:val="bottom"/>
          </w:tcPr>
          <w:p>
            <w:pPr>
              <w:spacing w:after="0"/>
              <w:rPr>
                <w:sz w:val="1"/>
                <w:szCs w:val="1"/>
                <w:color w:val="auto"/>
              </w:rPr>
            </w:pPr>
          </w:p>
        </w:tc>
      </w:tr>
      <w:tr>
        <w:trPr>
          <w:trHeight w:val="391"/>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Frances R. Spark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26,752</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20,568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29,176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76,496</w:t>
            </w:r>
          </w:p>
        </w:tc>
        <w:tc>
          <w:tcPr>
            <w:tcW w:w="0" w:type="dxa"/>
            <w:vAlign w:val="bottom"/>
          </w:tcPr>
          <w:p>
            <w:pPr>
              <w:spacing w:after="0"/>
              <w:rPr>
                <w:sz w:val="1"/>
                <w:szCs w:val="1"/>
                <w:color w:val="auto"/>
              </w:rPr>
            </w:pPr>
          </w:p>
        </w:tc>
      </w:tr>
      <w:tr>
        <w:trPr>
          <w:trHeight w:val="81"/>
        </w:trPr>
        <w:tc>
          <w:tcPr>
            <w:tcW w:w="3880" w:type="dxa"/>
            <w:vAlign w:val="bottom"/>
            <w:tcBorders>
              <w:bottom w:val="single" w:sz="8" w:color="407CCA"/>
            </w:tcBorders>
          </w:tcPr>
          <w:p>
            <w:pPr>
              <w:spacing w:after="0"/>
              <w:rPr>
                <w:sz w:val="7"/>
                <w:szCs w:val="7"/>
                <w:color w:val="auto"/>
              </w:rPr>
            </w:pPr>
          </w:p>
        </w:tc>
        <w:tc>
          <w:tcPr>
            <w:tcW w:w="3000" w:type="dxa"/>
            <w:vAlign w:val="bottom"/>
            <w:tcBorders>
              <w:bottom w:val="single" w:sz="8" w:color="407CCA"/>
            </w:tcBorders>
          </w:tcPr>
          <w:p>
            <w:pPr>
              <w:spacing w:after="0"/>
              <w:rPr>
                <w:sz w:val="7"/>
                <w:szCs w:val="7"/>
                <w:color w:val="auto"/>
              </w:rPr>
            </w:pPr>
          </w:p>
        </w:tc>
        <w:tc>
          <w:tcPr>
            <w:tcW w:w="940" w:type="dxa"/>
            <w:vAlign w:val="bottom"/>
            <w:tcBorders>
              <w:bottom w:val="single" w:sz="8" w:color="407CCA"/>
            </w:tcBorders>
          </w:tcPr>
          <w:p>
            <w:pPr>
              <w:spacing w:after="0"/>
              <w:rPr>
                <w:sz w:val="7"/>
                <w:szCs w:val="7"/>
                <w:color w:val="auto"/>
              </w:rPr>
            </w:pPr>
          </w:p>
        </w:tc>
        <w:tc>
          <w:tcPr>
            <w:tcW w:w="1220" w:type="dxa"/>
            <w:vAlign w:val="bottom"/>
            <w:tcBorders>
              <w:bottom w:val="single" w:sz="8" w:color="407CCA"/>
            </w:tcBorders>
          </w:tcPr>
          <w:p>
            <w:pPr>
              <w:spacing w:after="0"/>
              <w:rPr>
                <w:sz w:val="7"/>
                <w:szCs w:val="7"/>
                <w:color w:val="auto"/>
              </w:rPr>
            </w:pPr>
          </w:p>
        </w:tc>
        <w:tc>
          <w:tcPr>
            <w:tcW w:w="960" w:type="dxa"/>
            <w:vAlign w:val="bottom"/>
            <w:tcBorders>
              <w:bottom w:val="single" w:sz="8" w:color="407CC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520" w:hanging="251"/>
        <w:spacing w:after="0" w:line="241" w:lineRule="auto"/>
        <w:tabs>
          <w:tab w:leader="none" w:pos="34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that are fully vested but distribution has been deferred. Pursuant to the terms of the 2016 Equity Plan and the Independent Director Plan, directors may elect to defer distribution of their awards for a period of up to ten years. Deferral does not alter the vesting schedule, and vested and deferred shares are non-forfeitable.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Bylaws require a candidate in an uncontested election for director to receive a majority of the votes cast in order to be elected as a director.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Under this provision, each vote is specifically counted “for” or “against” the director’s election, unless a common stockholder abstains from voting with respect to the matter. A director nominee is required to receive more votes “for” than “against” to be elected. Pursuant to Delaware law, a director shall remain in office until his or her successor is elected and qualified even if the director has not received a vote sufficient for re-election. Thus, a corporation</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could have a “holdover” director. However, pursuant to our Board-approved director resignation policy, an incumbent director must tender his or her resignation to the Board if the director is nominated but not re-elected. The policy also requires the Compensation Committee to make a recommendation to the full Board on whether to accept or reject the resignation within 90 days of receipt of the tendered resignation and the full Board to make that</w:t>
      </w:r>
    </w:p>
    <w:p>
      <w:pPr>
        <w:spacing w:after="0" w:line="2"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18"/>
          <w:szCs w:val="18"/>
          <w:color w:val="auto"/>
        </w:rPr>
        <w:t>determination. The Board would publicly disclose its decision by filing a Current Report on Form 8-K with the SEC within four days of making its determination.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director who tenders his or her resignation pursuant to this policy may not participate in the Compensation Committee recommendation or</w:t>
      </w:r>
    </w:p>
    <w:p>
      <w:pPr>
        <w:spacing w:after="0" w:line="2" w:lineRule="exact"/>
        <w:rPr>
          <w:sz w:val="20"/>
          <w:szCs w:val="20"/>
          <w:color w:val="auto"/>
        </w:rPr>
      </w:pPr>
    </w:p>
    <w:p>
      <w:pPr>
        <w:jc w:val="both"/>
        <w:ind w:right="180"/>
        <w:spacing w:after="0" w:line="214" w:lineRule="auto"/>
        <w:rPr>
          <w:sz w:val="20"/>
          <w:szCs w:val="20"/>
          <w:color w:val="auto"/>
        </w:rPr>
      </w:pPr>
      <w:r>
        <w:rPr>
          <w:rFonts w:ascii="Times New Roman" w:cs="Times New Roman" w:eastAsia="Times New Roman" w:hAnsi="Times New Roman"/>
          <w:sz w:val="18"/>
          <w:szCs w:val="18"/>
          <w:color w:val="auto"/>
        </w:rPr>
        <w:t>Board action regarding whether to accept the resignation offer. If each member of the Compensation Committee does not receive a vote sufficient for re-election, then the independent directors who did receive a sufficient vote shall appoint a committee amongst themselves to consider the resignation offers and recommend to the Board whether to accept them. If only three or fewer directors receive a sufficient vote for re-election, all directors (other than the director who tendered the resignation under review) may participate in the action regarding whether to accept the resignation offers.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 with Related Persons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Related Person Transaction Policies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adopted a policy regarding the approval of any “related person transaction,” which is any transaction or series of transactions in</w:t>
      </w:r>
    </w:p>
    <w:p>
      <w:pPr>
        <w:spacing w:after="0" w:line="2" w:lineRule="exact"/>
        <w:rPr>
          <w:sz w:val="20"/>
          <w:szCs w:val="20"/>
          <w:color w:val="auto"/>
        </w:rPr>
      </w:pPr>
    </w:p>
    <w:p>
      <w:pPr>
        <w:jc w:val="both"/>
        <w:ind w:right="420"/>
        <w:spacing w:after="0" w:line="220" w:lineRule="auto"/>
        <w:rPr>
          <w:sz w:val="20"/>
          <w:szCs w:val="20"/>
          <w:color w:val="auto"/>
        </w:rPr>
      </w:pPr>
      <w:r>
        <w:rPr>
          <w:rFonts w:ascii="Times New Roman" w:cs="Times New Roman" w:eastAsia="Times New Roman" w:hAnsi="Times New Roman"/>
          <w:sz w:val="17"/>
          <w:szCs w:val="17"/>
          <w:color w:val="auto"/>
        </w:rPr>
        <w:t>which we or any of our subsidiaries is or are to be a participant,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promptly assess and communicate that information to the Audit</w:t>
      </w:r>
    </w:p>
    <w:p>
      <w:pPr>
        <w:spacing w:after="0" w:line="2" w:lineRule="exact"/>
        <w:rPr>
          <w:sz w:val="20"/>
          <w:szCs w:val="20"/>
          <w:color w:val="auto"/>
        </w:rPr>
      </w:pPr>
    </w:p>
    <w:p>
      <w:pPr>
        <w:jc w:val="both"/>
        <w:ind w:right="360"/>
        <w:spacing w:after="0" w:line="220" w:lineRule="auto"/>
        <w:rPr>
          <w:sz w:val="20"/>
          <w:szCs w:val="20"/>
          <w:color w:val="auto"/>
        </w:rPr>
      </w:pPr>
      <w:r>
        <w:rPr>
          <w:rFonts w:ascii="Times New Roman" w:cs="Times New Roman" w:eastAsia="Times New Roman" w:hAnsi="Times New Roman"/>
          <w:sz w:val="17"/>
          <w:szCs w:val="17"/>
          <w:color w:val="auto"/>
        </w:rPr>
        <w:t>Committee. Based on its consideration of all of the relevant facts and circumstances, the Audit Committee will decide whether or not to approve such transaction and will generally approve only those transactions that do not create a conflict of interest. If we become aware of an existing related person transaction that has not been pre-approved under this policy, the transaction will be referred to the Audit Committee, which will evaluate all options</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available, including ratification, revision, or termination of such transaction. Our policy requires any director who may be interested in a related person transaction to recuse himself or herself from any consideration of such related person transaction.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Code of Ethics, which is reviewed annually by our Board and provided to all of our directors, officers, and employees, requires that all such</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persons avoid any situations or relationships that involve actual or potential conflicts of interest, or perceived conflicts of interest, between an individual’s personal interests and the interests of AGNC. Pursuant to our Code of Ethics, each of these persons must disclose any conflicts of interest, or actions or relationships that might give rise to a conflict, to their supervisor or our chief compliance officer. If a conflict is determined to exist, the person must</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disengage from the conflict situation or terminate his or her provision of services to us. Our president and chief executive officer, chief financial officer and principal accounting officer, controller, directors and certain other persons who may be designated by our Board or its Audit Committee, whom we collectively refer to as our financial executives, must consult with our chief compliance officer with respect to any proposed actions or</w:t>
      </w:r>
    </w:p>
    <w:p>
      <w:pPr>
        <w:sectPr>
          <w:pgSz w:w="11900" w:h="16838" w:orient="portrait"/>
          <w:cols w:equalWidth="0" w:num="1">
            <w:col w:w="11220"/>
          </w:cols>
          <w:pgMar w:left="320" w:top="104" w:right="359" w:bottom="1440" w:gutter="0" w:footer="0" w:header="0"/>
        </w:sectPr>
      </w:pPr>
    </w:p>
    <w:p>
      <w:pPr>
        <w:spacing w:after="0" w:line="328"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arrangements that are not clearly consistent with our Code of Ethics. In the event that a financial executive desires to engage in a proposed action or arrangement that is not consistent with our Code of Ethics, the financial executive must obtain a waiver of the relevant provisions of our Code of Ethics in advance from our Audit Committee. We intend to post amendments to or waivers from the Code of Ethics (to the extent applicable to our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on our web site at www.AGNC.com.</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Related Person Transactions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enter into any transactions in 2024 in which any related person of ours had any material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7"/>
          <w:szCs w:val="17"/>
          <w:color w:val="auto"/>
        </w:rPr>
        <w:t>No member of the Compensation Committee during fiscal year 2024 served as an officer, former officer, or employee of ours or had a relationship required to be disclosed under “Board and Governance Matters—Certain Transactions with Related Persons.” Further, during 2024, none of our executive</w:t>
      </w:r>
    </w:p>
    <w:p>
      <w:pPr>
        <w:spacing w:after="0"/>
        <w:rPr>
          <w:sz w:val="20"/>
          <w:szCs w:val="20"/>
          <w:color w:val="auto"/>
        </w:rPr>
      </w:pPr>
      <w:r>
        <w:rPr>
          <w:rFonts w:ascii="Times New Roman" w:cs="Times New Roman" w:eastAsia="Times New Roman" w:hAnsi="Times New Roman"/>
          <w:sz w:val="18"/>
          <w:szCs w:val="18"/>
          <w:color w:val="auto"/>
        </w:rPr>
        <w:t>officers served as:</w:t>
      </w:r>
    </w:p>
    <w:p>
      <w:pPr>
        <w:spacing w:after="0" w:line="57" w:lineRule="exact"/>
        <w:rPr>
          <w:sz w:val="20"/>
          <w:szCs w:val="20"/>
          <w:color w:val="auto"/>
        </w:rPr>
      </w:pPr>
    </w:p>
    <w:p>
      <w:pPr>
        <w:ind w:left="900" w:right="80" w:hanging="406"/>
        <w:spacing w:after="0" w:line="237"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compensation committee (or equivalent) of any other entity, one of whose executive officers served as one of our directors or was an immediate family member of a director, or served on our Compensation Committee; or</w:t>
      </w:r>
    </w:p>
    <w:p>
      <w:pPr>
        <w:spacing w:after="0" w:line="6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any other entity, one of whose executive officers or their immediate family member served on our Compensation Committee.</w:t>
      </w:r>
    </w:p>
    <w:p>
      <w:pPr>
        <w:spacing w:after="0" w:line="34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PROPOSAL 1: ELECTION OF DIRECTORS</w:t>
      </w:r>
    </w:p>
    <w:p>
      <w:pPr>
        <w:spacing w:after="0" w:line="84"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Pursuant to our Certificate of Incorporation, our common stockholders elect each of the members of the Board annually. The term of each director will expire at the Annual Meeting. Each director has been nominated by the Compensation Committee of the Board, in accordance with our Bylaws, to stand for re-election at the Annual Meeting and to serve as a director until our Annual Meeting to be held in 2026 and until his or her successor is elected</w:t>
      </w:r>
    </w:p>
    <w:p>
      <w:pPr>
        <w:ind w:right="200"/>
        <w:spacing w:after="0" w:line="218" w:lineRule="auto"/>
        <w:rPr>
          <w:sz w:val="20"/>
          <w:szCs w:val="20"/>
          <w:color w:val="auto"/>
        </w:rPr>
      </w:pPr>
      <w:r>
        <w:rPr>
          <w:rFonts w:ascii="Times New Roman" w:cs="Times New Roman" w:eastAsia="Times New Roman" w:hAnsi="Times New Roman"/>
          <w:sz w:val="18"/>
          <w:szCs w:val="18"/>
          <w:color w:val="auto"/>
        </w:rPr>
        <w:t>and qualified. It is expected that each of the nominees will be able to serve, but if any such nominee is unable to serve for any reason, the proxies reserve discretion to vote or refrain from voting for a substitute nominee or nominees. A common stockholder using the enclosed form of proxy can vote for or against any or all of the nominees or may abstain from voting for any or all of the nominees.</w:t>
      </w:r>
    </w:p>
    <w:p>
      <w:pPr>
        <w:spacing w:after="0" w:line="17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We believe that all of our nominees possess the personal and professional qualifications necessary to serve as a member of our Board and collectively represent a balance of industry knowledge, skills, and expertise. Our directors have been evaluated by the Compensation Committee pursuant to the guidelines described above under “Board and Governance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Board Membership Criteria,” and the determination was made that each of them</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fulfills and exceeds the qualities that we look for in members of our Board. Mr. Kain is our Executive Chair, and Mr. Federico is our President and Chief Executive Officer. All other nominees are independent as defined in the Nasdaq rules.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Board’s Industry and Functional Expertise</w:t>
      </w:r>
    </w:p>
    <w:p>
      <w:pPr>
        <w:spacing w:after="0" w:line="94"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directors have a diversity of experience and a wide variety of skills and qualifications that strengthen their ability to provide guidance and oversight to the Company and management on behalf of stockholders.</w:t>
      </w:r>
    </w:p>
    <w:p>
      <w:pPr>
        <w:spacing w:after="0" w:line="131" w:lineRule="exact"/>
        <w:rPr>
          <w:sz w:val="20"/>
          <w:szCs w:val="20"/>
          <w:color w:val="auto"/>
        </w:rPr>
      </w:pPr>
    </w:p>
    <w:p>
      <w:pPr>
        <w:jc w:val="both"/>
        <w:ind w:right="440" w:firstLine="648"/>
        <w:spacing w:after="0" w:line="226" w:lineRule="auto"/>
        <w:rPr>
          <w:sz w:val="20"/>
          <w:szCs w:val="20"/>
          <w:color w:val="auto"/>
        </w:rPr>
      </w:pPr>
      <w:r>
        <w:rPr>
          <w:rFonts w:ascii="Times New Roman" w:cs="Times New Roman" w:eastAsia="Times New Roman" w:hAnsi="Times New Roman"/>
          <w:sz w:val="18"/>
          <w:szCs w:val="18"/>
          <w:color w:val="auto"/>
        </w:rPr>
        <w:t>The information set forth below with respect to each of our directors, each of whom is a nominee for election at the Annual Meeting, is as of February 21, 2025. The business address of each nominee is c/o AGNC Investment Corp., 7373 Wisconsin Avenue, 22nd Floor, Bethesda, Maryland 20814. We have highlighted specific attributes for each Board member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 Biographies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122555</wp:posOffset>
            </wp:positionV>
            <wp:extent cx="53403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30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DONNA J. BLANK,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-107950</wp:posOffset>
            </wp:positionV>
            <wp:extent cx="7115175" cy="257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2571750"/>
                    </a:xfrm>
                    <a:prstGeom prst="rect">
                      <a:avLst/>
                    </a:prstGeom>
                    <a:noFill/>
                  </pic:spPr>
                </pic:pic>
              </a:graphicData>
            </a:graphic>
          </wp:anchor>
        </w:drawing>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840"/>
        <w:spacing w:after="0" w:line="219" w:lineRule="auto"/>
        <w:rPr>
          <w:sz w:val="20"/>
          <w:szCs w:val="20"/>
          <w:color w:val="auto"/>
        </w:rPr>
      </w:pPr>
      <w:r>
        <w:rPr>
          <w:rFonts w:ascii="Times New Roman" w:cs="Times New Roman" w:eastAsia="Times New Roman" w:hAnsi="Times New Roman"/>
          <w:sz w:val="18"/>
          <w:szCs w:val="18"/>
          <w:color w:val="auto"/>
        </w:rPr>
        <w:t>Ms. Blank is a finance executive with over 30 years of financial and operational experience, primarily in financial</w:t>
      </w:r>
    </w:p>
    <w:p>
      <w:pPr>
        <w:ind w:left="2840" w:right="240"/>
        <w:spacing w:after="0" w:line="220" w:lineRule="auto"/>
        <w:rPr>
          <w:sz w:val="20"/>
          <w:szCs w:val="20"/>
          <w:color w:val="auto"/>
        </w:rPr>
      </w:pPr>
      <w:r>
        <w:rPr>
          <w:rFonts w:ascii="Times New Roman" w:cs="Times New Roman" w:eastAsia="Times New Roman" w:hAnsi="Times New Roman"/>
          <w:sz w:val="17"/>
          <w:szCs w:val="17"/>
          <w:color w:val="auto"/>
        </w:rPr>
        <w:t>services. From 2015 through 2016, she was Chief Financial Officer at ZAIS Group, LLC, an alternative asset manager. While at ZAIS, Ms. Blank also served as the Chief Financial Officer of its externally managed publicly traded residential mortgage REIT and its public holding company. Prior to her role at ZAIS, she served as Chief</w:t>
      </w:r>
    </w:p>
    <w:p>
      <w:pPr>
        <w:spacing w:after="0" w:line="2" w:lineRule="exact"/>
        <w:rPr>
          <w:sz w:val="20"/>
          <w:szCs w:val="20"/>
          <w:color w:val="auto"/>
        </w:rPr>
      </w:pPr>
    </w:p>
    <w:p>
      <w:pPr>
        <w:ind w:left="2840" w:right="160"/>
        <w:spacing w:after="0" w:line="220" w:lineRule="auto"/>
        <w:rPr>
          <w:sz w:val="20"/>
          <w:szCs w:val="20"/>
          <w:color w:val="auto"/>
        </w:rPr>
      </w:pPr>
      <w:r>
        <w:rPr>
          <w:rFonts w:ascii="Times New Roman" w:cs="Times New Roman" w:eastAsia="Times New Roman" w:hAnsi="Times New Roman"/>
          <w:sz w:val="17"/>
          <w:szCs w:val="17"/>
          <w:color w:val="auto"/>
        </w:rPr>
        <w:t>Financial Officer and Executive Vice President at NFP Corp., a publicly traded insurance brokerage, from 2008 until 2013. From 2003 to 2008, Ms. Blank was Chief Financial Officer at Financial Guaranty Insurance Company, both before and subsequent to its sale by GE Capital to an investor group in late 2003. She currently serves as the</w:t>
      </w:r>
    </w:p>
    <w:p>
      <w:pPr>
        <w:spacing w:after="0" w:line="2" w:lineRule="exact"/>
        <w:rPr>
          <w:sz w:val="20"/>
          <w:szCs w:val="20"/>
          <w:color w:val="auto"/>
        </w:rPr>
      </w:pPr>
    </w:p>
    <w:p>
      <w:pPr>
        <w:ind w:left="2840" w:right="60"/>
        <w:spacing w:after="0" w:line="208" w:lineRule="auto"/>
        <w:rPr>
          <w:sz w:val="20"/>
          <w:szCs w:val="20"/>
          <w:color w:val="auto"/>
        </w:rPr>
      </w:pPr>
      <w:r>
        <w:rPr>
          <w:rFonts w:ascii="Times New Roman" w:cs="Times New Roman" w:eastAsia="Times New Roman" w:hAnsi="Times New Roman"/>
          <w:sz w:val="18"/>
          <w:szCs w:val="18"/>
          <w:color w:val="auto"/>
        </w:rPr>
        <w:t>Chair of the Audit and Risk Committee at Wellabe Mutual Holding Company. Ms. Blank holds an MBA in Finance and a Master of International Affairs, both from Columbia University. In 2022, she completed the MIT Sloan School of Management Executive Education program in Cybersecurity Leadership. Ms. Blank is an “audit</w:t>
      </w:r>
    </w:p>
    <w:p>
      <w:pPr>
        <w:spacing w:after="0" w:line="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committee financial expert” (as defined in Item 407 of Regulation S-K under the Securities Act).</w:t>
      </w:r>
    </w:p>
    <w:p>
      <w:pPr>
        <w:spacing w:after="0" w:line="16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840" w:right="500"/>
        <w:spacing w:after="0" w:line="218" w:lineRule="auto"/>
        <w:rPr>
          <w:sz w:val="20"/>
          <w:szCs w:val="20"/>
          <w:color w:val="auto"/>
        </w:rPr>
      </w:pPr>
      <w:r>
        <w:rPr>
          <w:rFonts w:ascii="Times New Roman" w:cs="Times New Roman" w:eastAsia="Times New Roman" w:hAnsi="Times New Roman"/>
          <w:sz w:val="18"/>
          <w:szCs w:val="18"/>
          <w:color w:val="auto"/>
        </w:rPr>
        <w:t>Ms. Blank’s extensive public company accounting and operational experience in the financial services sector, including her senior executive role at a publicly traded residential mortgage REIT,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349250</wp:posOffset>
            </wp:positionV>
            <wp:extent cx="54432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MORRIS A. DAVIS,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19685</wp:posOffset>
            </wp:positionV>
            <wp:extent cx="54432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1371600" cy="2228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0" cy="2228850"/>
                    </a:xfrm>
                    <a:prstGeom prst="rect">
                      <a:avLst/>
                    </a:prstGeom>
                    <a:noFill/>
                  </pic:spPr>
                </pic:pic>
              </a:graphicData>
            </a:graphic>
          </wp:anchor>
        </w:drawing>
      </w:r>
    </w:p>
    <w:p>
      <w:pPr>
        <w:ind w:left="2680" w:right="140"/>
        <w:spacing w:after="0" w:line="223" w:lineRule="auto"/>
        <w:rPr>
          <w:sz w:val="20"/>
          <w:szCs w:val="20"/>
          <w:color w:val="auto"/>
        </w:rPr>
      </w:pPr>
      <w:r>
        <w:rPr>
          <w:rFonts w:ascii="Times New Roman" w:cs="Times New Roman" w:eastAsia="Times New Roman" w:hAnsi="Times New Roman"/>
          <w:sz w:val="17"/>
          <w:szCs w:val="17"/>
          <w:color w:val="auto"/>
        </w:rPr>
        <w:t>Dr. Davis is the Paul V. Profeta Chair of Real Estate and Academic Director of the Center for Real Estate at Rutgers Business School, where he has worked since September 2014. Dr. Davis is also currently a Visiting Scholar of the</w:t>
      </w:r>
    </w:p>
    <w:p>
      <w:pPr>
        <w:spacing w:after="0" w:line="1" w:lineRule="exact"/>
        <w:rPr>
          <w:sz w:val="20"/>
          <w:szCs w:val="20"/>
          <w:color w:val="auto"/>
        </w:rPr>
      </w:pPr>
    </w:p>
    <w:p>
      <w:pPr>
        <w:ind w:left="2680" w:right="60"/>
        <w:spacing w:after="0" w:line="220" w:lineRule="auto"/>
        <w:rPr>
          <w:sz w:val="20"/>
          <w:szCs w:val="20"/>
          <w:color w:val="auto"/>
        </w:rPr>
      </w:pPr>
      <w:r>
        <w:rPr>
          <w:rFonts w:ascii="Times New Roman" w:cs="Times New Roman" w:eastAsia="Times New Roman" w:hAnsi="Times New Roman"/>
          <w:sz w:val="17"/>
          <w:szCs w:val="17"/>
          <w:color w:val="auto"/>
        </w:rPr>
        <w:t>Opportunity and Inclusive Growth Institute of the Federal Reserve Bank of Minneapolis and a Visiting Scholar at the Federal Reserve Bank of Chicago. Previously, Dr. Davis was the James A. Graaskamp Chair of Real Estate in the Department of Real Estate at the University of Wisconsin-Madison, where he worked from September 2006 through</w:t>
      </w:r>
    </w:p>
    <w:p>
      <w:pPr>
        <w:spacing w:after="0" w:line="2" w:lineRule="exact"/>
        <w:rPr>
          <w:sz w:val="20"/>
          <w:szCs w:val="20"/>
          <w:color w:val="auto"/>
        </w:rPr>
      </w:pPr>
    </w:p>
    <w:p>
      <w:pPr>
        <w:ind w:left="2680" w:right="340"/>
        <w:spacing w:after="0" w:line="220" w:lineRule="auto"/>
        <w:rPr>
          <w:sz w:val="20"/>
          <w:szCs w:val="20"/>
          <w:color w:val="auto"/>
        </w:rPr>
      </w:pPr>
      <w:r>
        <w:rPr>
          <w:rFonts w:ascii="Times New Roman" w:cs="Times New Roman" w:eastAsia="Times New Roman" w:hAnsi="Times New Roman"/>
          <w:sz w:val="17"/>
          <w:szCs w:val="17"/>
          <w:color w:val="auto"/>
        </w:rPr>
        <w:t>August 2014. Dr. Davis was also the Academic Director of the James A. Graaskamp Center for Real Estate at the University of Wisconsin-Madison. From July 2002 to August 2006, Dr. Davis was an economist at the Federal Reserve Board working in the Flow of Funds Section. From October 2001 to July 2002, he was Director of Yield</w:t>
      </w:r>
    </w:p>
    <w:p>
      <w:pPr>
        <w:spacing w:after="0" w:line="2" w:lineRule="exact"/>
        <w:rPr>
          <w:sz w:val="20"/>
          <w:szCs w:val="20"/>
          <w:color w:val="auto"/>
        </w:rPr>
      </w:pPr>
    </w:p>
    <w:p>
      <w:pPr>
        <w:ind w:left="2680" w:right="140"/>
        <w:spacing w:after="0" w:line="220" w:lineRule="auto"/>
        <w:rPr>
          <w:sz w:val="20"/>
          <w:szCs w:val="20"/>
          <w:color w:val="auto"/>
        </w:rPr>
      </w:pPr>
      <w:r>
        <w:rPr>
          <w:rFonts w:ascii="Times New Roman" w:cs="Times New Roman" w:eastAsia="Times New Roman" w:hAnsi="Times New Roman"/>
          <w:sz w:val="17"/>
          <w:szCs w:val="17"/>
          <w:color w:val="auto"/>
        </w:rPr>
        <w:t>Optimization at Return Buy, Inc. and from August 1998 to October 2001, Dr. Davis was an economist at the Macroeconomics and Quantitative Studies Section of the Federal Reserve Board. Dr. Davis also served on the board of directors of the SkyBridge Opportunity Zone Real Estate Investment Trust, Inc., a private REIT, from November</w:t>
      </w:r>
    </w:p>
    <w:p>
      <w:pPr>
        <w:spacing w:after="0" w:line="2" w:lineRule="exact"/>
        <w:rPr>
          <w:sz w:val="20"/>
          <w:szCs w:val="20"/>
          <w:color w:val="auto"/>
        </w:rPr>
      </w:pPr>
    </w:p>
    <w:p>
      <w:pPr>
        <w:ind w:left="2680" w:right="80"/>
        <w:spacing w:after="0" w:line="208" w:lineRule="auto"/>
        <w:rPr>
          <w:sz w:val="20"/>
          <w:szCs w:val="20"/>
          <w:color w:val="auto"/>
        </w:rPr>
      </w:pPr>
      <w:r>
        <w:rPr>
          <w:rFonts w:ascii="Times New Roman" w:cs="Times New Roman" w:eastAsia="Times New Roman" w:hAnsi="Times New Roman"/>
          <w:sz w:val="18"/>
          <w:szCs w:val="18"/>
          <w:color w:val="auto"/>
        </w:rPr>
        <w:t>2018 until September 2019 where he was the chair of the valuation committee. Dr. Davis was formerly an Adjunct Scholar at the American Enterprise Institute and also formerly served as a Research Associate at the Federal Reserve Bank of Cleveland. Dr. Davis is widely published on issues related to the U.S. housing markets and a frequent</w:t>
      </w:r>
    </w:p>
    <w:p>
      <w:pPr>
        <w:spacing w:after="0" w:line="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lecturer. He holds a Ph.D. in Economics from the University of Pennsylvania.</w:t>
      </w:r>
    </w:p>
    <w:p>
      <w:pPr>
        <w:spacing w:after="0" w:line="16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680" w:right="120"/>
        <w:spacing w:after="0" w:line="226" w:lineRule="auto"/>
        <w:rPr>
          <w:sz w:val="20"/>
          <w:szCs w:val="20"/>
          <w:color w:val="auto"/>
        </w:rPr>
      </w:pPr>
      <w:r>
        <w:rPr>
          <w:rFonts w:ascii="Times New Roman" w:cs="Times New Roman" w:eastAsia="Times New Roman" w:hAnsi="Times New Roman"/>
          <w:sz w:val="18"/>
          <w:szCs w:val="18"/>
          <w:color w:val="auto"/>
        </w:rPr>
        <w:t>Dr. Davis’s extensive expertise in economics, housing policy, and finance matters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565785</wp:posOffset>
            </wp:positionV>
            <wp:extent cx="5434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PETER J. FEDERICO,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34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80"/>
        <w:spacing w:after="0" w:line="234" w:lineRule="auto"/>
        <w:rPr>
          <w:sz w:val="20"/>
          <w:szCs w:val="20"/>
          <w:color w:val="auto"/>
        </w:rPr>
      </w:pPr>
      <w:r>
        <w:rPr>
          <w:rFonts w:ascii="Times New Roman" w:cs="Times New Roman" w:eastAsia="Times New Roman" w:hAnsi="Times New Roman"/>
          <w:sz w:val="18"/>
          <w:szCs w:val="18"/>
          <w:color w:val="auto"/>
        </w:rPr>
        <w:t>Mr. Federico has served as a Director and our Chief Executive Officer since July 2021 and as our President since March 2018. He previously served as our Chief Operating Officer from March 2018 until July 2021, as Executive Vice President and Chief Financial Officer from July 2016 until March 2018, and as Senior Vice President and Chief Risk Officer from June 2011 until our internalization in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-444500</wp:posOffset>
            </wp:positionV>
            <wp:extent cx="1371600" cy="2194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spacing w:after="0" w:line="192" w:lineRule="exact"/>
        <w:rPr>
          <w:sz w:val="20"/>
          <w:szCs w:val="20"/>
          <w:color w:val="auto"/>
        </w:rPr>
      </w:pPr>
    </w:p>
    <w:p>
      <w:pPr>
        <w:ind w:left="2700"/>
        <w:spacing w:after="0" w:line="258" w:lineRule="auto"/>
        <w:rPr>
          <w:sz w:val="20"/>
          <w:szCs w:val="20"/>
          <w:color w:val="auto"/>
        </w:rPr>
      </w:pPr>
      <w:r>
        <w:rPr>
          <w:rFonts w:ascii="Times New Roman" w:cs="Times New Roman" w:eastAsia="Times New Roman" w:hAnsi="Times New Roman"/>
          <w:sz w:val="17"/>
          <w:szCs w:val="17"/>
          <w:color w:val="auto"/>
        </w:rPr>
        <w:t>Prior to joining AGNC Investment Corp.,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 and long-term debt issuance programs. Mr. Federico also served in a number of other capacities at Freddie Mac, including as Senior Vice President, Asset &amp; Liability Management, during his tenure with the company, which began in 1988.</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260"/>
        <w:spacing w:after="0" w:line="239" w:lineRule="auto"/>
        <w:rPr>
          <w:sz w:val="20"/>
          <w:szCs w:val="20"/>
          <w:color w:val="auto"/>
        </w:rPr>
      </w:pPr>
      <w:r>
        <w:rPr>
          <w:rFonts w:ascii="Times New Roman" w:cs="Times New Roman" w:eastAsia="Times New Roman" w:hAnsi="Times New Roman"/>
          <w:sz w:val="18"/>
          <w:szCs w:val="18"/>
          <w:color w:val="auto"/>
        </w:rPr>
        <w:t>Mr. Federico’s knowledge and understanding of our business as our President and Chief Executive Officer and his expertise in risk mitigation strategies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349250</wp:posOffset>
            </wp:positionV>
            <wp:extent cx="54260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JOHN D. FISK,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26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-120650</wp:posOffset>
            </wp:positionV>
            <wp:extent cx="1371600" cy="2143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0" cy="2143125"/>
                    </a:xfrm>
                    <a:prstGeom prst="rect">
                      <a:avLst/>
                    </a:prstGeom>
                    <a:noFill/>
                  </pic:spPr>
                </pic:pic>
              </a:graphicData>
            </a:graphic>
          </wp:anchor>
        </w:drawing>
      </w:r>
    </w:p>
    <w:p>
      <w:pPr>
        <w:ind w:left="2700" w:right="200"/>
        <w:spacing w:after="0" w:line="223" w:lineRule="auto"/>
        <w:rPr>
          <w:sz w:val="20"/>
          <w:szCs w:val="20"/>
          <w:color w:val="auto"/>
        </w:rPr>
      </w:pPr>
      <w:r>
        <w:rPr>
          <w:rFonts w:ascii="Times New Roman" w:cs="Times New Roman" w:eastAsia="Times New Roman" w:hAnsi="Times New Roman"/>
          <w:sz w:val="17"/>
          <w:szCs w:val="17"/>
          <w:color w:val="auto"/>
        </w:rPr>
        <w:t>Mr. Fisk retired in March 2019 as the Chief Executive Officer of the FHLBanks Office of Finance, a division of the Federal Home Loan Banks that issues and services all debt securities for the regional Federal Home Loan Banks,</w:t>
      </w:r>
    </w:p>
    <w:p>
      <w:pPr>
        <w:spacing w:after="0" w:line="1" w:lineRule="exact"/>
        <w:rPr>
          <w:sz w:val="20"/>
          <w:szCs w:val="20"/>
          <w:color w:val="auto"/>
        </w:rPr>
      </w:pPr>
    </w:p>
    <w:p>
      <w:pPr>
        <w:ind w:left="2700" w:right="340"/>
        <w:spacing w:after="0" w:line="220" w:lineRule="auto"/>
        <w:rPr>
          <w:sz w:val="20"/>
          <w:szCs w:val="20"/>
          <w:color w:val="auto"/>
        </w:rPr>
      </w:pPr>
      <w:r>
        <w:rPr>
          <w:rFonts w:ascii="Times New Roman" w:cs="Times New Roman" w:eastAsia="Times New Roman" w:hAnsi="Times New Roman"/>
          <w:sz w:val="17"/>
          <w:szCs w:val="17"/>
          <w:color w:val="auto"/>
        </w:rPr>
        <w:t>supporting borrowings of $1 trillion. Mr. Fisk had previously served as the Deputy Managing Director and Chief Operating Officer of the FHLBanks Office of Finance from 2004 until 2007 when he became the Chief Executive Officer. Prior to joining the FHLBanks Office of Finance, Mr. Fisk was the Executive Vice President of Strategic</w:t>
      </w:r>
    </w:p>
    <w:p>
      <w:pPr>
        <w:spacing w:after="0" w:line="2" w:lineRule="exact"/>
        <w:rPr>
          <w:sz w:val="20"/>
          <w:szCs w:val="20"/>
          <w:color w:val="auto"/>
        </w:rPr>
      </w:pPr>
    </w:p>
    <w:p>
      <w:pPr>
        <w:ind w:left="2700" w:right="260"/>
        <w:spacing w:after="0" w:line="220" w:lineRule="auto"/>
        <w:rPr>
          <w:sz w:val="20"/>
          <w:szCs w:val="20"/>
          <w:color w:val="auto"/>
        </w:rPr>
      </w:pPr>
      <w:r>
        <w:rPr>
          <w:rFonts w:ascii="Times New Roman" w:cs="Times New Roman" w:eastAsia="Times New Roman" w:hAnsi="Times New Roman"/>
          <w:sz w:val="17"/>
          <w:szCs w:val="17"/>
          <w:color w:val="auto"/>
        </w:rPr>
        <w:t>Planning at MGIC Investment Corporation, one of the nation’s largest providers of mortgage insurance, from 2002 until 2004. Mr. Fisk also serves on the Board of Directors of Enact Holdings, Inc., where he chairs the Risk Committee and is a member of the Independent Capital Committee. Mr. Fisk holds an MBA in Finance and Public</w:t>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Management from The Wharton School at the University of Pennsylvania and a BA from Yale University.</w:t>
      </w:r>
    </w:p>
    <w:p>
      <w:pPr>
        <w:spacing w:after="0" w:line="1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700" w:right="80"/>
        <w:spacing w:after="0" w:line="218" w:lineRule="auto"/>
        <w:rPr>
          <w:sz w:val="20"/>
          <w:szCs w:val="20"/>
          <w:color w:val="auto"/>
        </w:rPr>
      </w:pPr>
      <w:r>
        <w:rPr>
          <w:rFonts w:ascii="Times New Roman" w:cs="Times New Roman" w:eastAsia="Times New Roman" w:hAnsi="Times New Roman"/>
          <w:sz w:val="18"/>
          <w:szCs w:val="18"/>
          <w:color w:val="auto"/>
        </w:rPr>
        <w:t>Mr. Fisk’s expertise in the US housing sector, including debt issuance and mortgage insurance, and his senior executive officer experience overseeing human capital management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926465</wp:posOffset>
            </wp:positionV>
            <wp:extent cx="54260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ANDREW A. JOHNSON, JR.,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-31115</wp:posOffset>
            </wp:positionV>
            <wp:extent cx="6858000" cy="2228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00" cy="2228850"/>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80"/>
        <w:spacing w:after="0" w:line="234" w:lineRule="auto"/>
        <w:rPr>
          <w:sz w:val="20"/>
          <w:szCs w:val="20"/>
          <w:color w:val="auto"/>
        </w:rPr>
      </w:pPr>
      <w:r>
        <w:rPr>
          <w:rFonts w:ascii="Times New Roman" w:cs="Times New Roman" w:eastAsia="Times New Roman" w:hAnsi="Times New Roman"/>
          <w:sz w:val="18"/>
          <w:szCs w:val="18"/>
          <w:color w:val="auto"/>
        </w:rPr>
        <w:t>Mr. Johnson is an investment professional with over 20 years’ experience leading teams focused on fixed income investments. Mr. Johnson served as Managing Director, Head of Global Investment Grade Fixed Income and Chief Investment Officer for Neuberger Berman Investment Advisers, LLC and Neuberger Berman Fixed Income LLC from 2009 to 2019. He retired from his role as Managing Director and Chief Investment Officer in 2019 and transitioned to the role of Senior Diversity and Inclusion Leader at Neuberger Berman Services. In his current position, Mr. Johnson leads the firm’s efforts to improve diversity and inclusion in the workforce across Neuberger Berman entities. Prior to his roles at Neuberger Berman, from 2003 to 2009 Mr. Johnson was a Managing Director, Co-Head Investment Grade Fixed Income and Chief Investment Officer at Lehman Brothers Asset Management, LLC. He currently serves as a Non-Interested Trustee on the Board of Trustees of certain mutual funds advised by Hartford Mutual Funds, Inc. Mr. Johnson holds an MBA in Finance from the University of Chicago and a MSEE and BSEE from Illinois Institute of Technology.</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jc w:val="both"/>
        <w:ind w:left="2700" w:right="240"/>
        <w:spacing w:after="0" w:line="271" w:lineRule="auto"/>
        <w:rPr>
          <w:sz w:val="20"/>
          <w:szCs w:val="20"/>
          <w:color w:val="auto"/>
        </w:rPr>
      </w:pPr>
      <w:r>
        <w:rPr>
          <w:rFonts w:ascii="Times New Roman" w:cs="Times New Roman" w:eastAsia="Times New Roman" w:hAnsi="Times New Roman"/>
          <w:sz w:val="17"/>
          <w:szCs w:val="17"/>
          <w:color w:val="auto"/>
        </w:rPr>
        <w:t>Mr. Johnson’s extensive background in fixed income investments and his experience working to improve diversity and inclusion in the workforce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246380</wp:posOffset>
            </wp:positionV>
            <wp:extent cx="5340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GARY D. KAIN,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6772275" cy="2211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2275" cy="2211705"/>
                    </a:xfrm>
                    <a:prstGeom prst="rect">
                      <a:avLst/>
                    </a:prstGeom>
                    <a:noFill/>
                  </pic:spPr>
                </pic:pic>
              </a:graphicData>
            </a:graphic>
          </wp:anchor>
        </w:drawing>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840" w:right="60"/>
        <w:spacing w:after="0" w:line="223" w:lineRule="auto"/>
        <w:rPr>
          <w:sz w:val="20"/>
          <w:szCs w:val="20"/>
          <w:color w:val="auto"/>
        </w:rPr>
      </w:pPr>
      <w:r>
        <w:rPr>
          <w:rFonts w:ascii="Times New Roman" w:cs="Times New Roman" w:eastAsia="Times New Roman" w:hAnsi="Times New Roman"/>
          <w:sz w:val="17"/>
          <w:szCs w:val="17"/>
          <w:color w:val="auto"/>
        </w:rPr>
        <w:t>Mr. Kain has served as the Executive Chair of our Board of Directors since July 2021 and has been a Director since March 2016. Previously, he was our Chief Executive Officer from March 2016 until July 2021, Chief Investment</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Officer from January 2009 until July 2021, and President from April 2011 until March 2018.</w:t>
      </w:r>
    </w:p>
    <w:p>
      <w:pPr>
        <w:spacing w:after="0" w:line="165" w:lineRule="exact"/>
        <w:rPr>
          <w:sz w:val="20"/>
          <w:szCs w:val="20"/>
          <w:color w:val="auto"/>
        </w:rPr>
      </w:pPr>
    </w:p>
    <w:p>
      <w:pPr>
        <w:ind w:left="2840" w:right="140"/>
        <w:spacing w:after="0" w:line="222" w:lineRule="auto"/>
        <w:rPr>
          <w:sz w:val="20"/>
          <w:szCs w:val="20"/>
          <w:color w:val="auto"/>
        </w:rPr>
      </w:pPr>
      <w:r>
        <w:rPr>
          <w:rFonts w:ascii="Times New Roman" w:cs="Times New Roman" w:eastAsia="Times New Roman" w:hAnsi="Times New Roman"/>
          <w:sz w:val="18"/>
          <w:szCs w:val="18"/>
          <w:color w:val="auto"/>
        </w:rPr>
        <w:t>Prior to joining AGNC Investment Corp., Mr. Kain was Senior Vice President of Investments and Capital Markets of Freddie Mac from May 2008 to January 2009. He also served as Senior Vice President of Mortgage</w:t>
      </w:r>
    </w:p>
    <w:p>
      <w:pPr>
        <w:spacing w:after="0" w:line="2" w:lineRule="exact"/>
        <w:rPr>
          <w:sz w:val="20"/>
          <w:szCs w:val="20"/>
          <w:color w:val="auto"/>
        </w:rPr>
      </w:pPr>
    </w:p>
    <w:p>
      <w:pPr>
        <w:ind w:left="2840" w:right="60"/>
        <w:spacing w:after="0" w:line="220" w:lineRule="auto"/>
        <w:rPr>
          <w:sz w:val="20"/>
          <w:szCs w:val="20"/>
          <w:color w:val="auto"/>
        </w:rPr>
      </w:pPr>
      <w:r>
        <w:rPr>
          <w:rFonts w:ascii="Times New Roman" w:cs="Times New Roman" w:eastAsia="Times New Roman" w:hAnsi="Times New Roman"/>
          <w:sz w:val="17"/>
          <w:szCs w:val="17"/>
          <w:color w:val="auto"/>
        </w:rPr>
        <w:t>Investments &amp; Structuring of Freddie Mac from February 2005 to April 2008, during which time he was responsible for managing all of Freddie Mac’s mortgage investment activities for the company’s $700 billion retained portfolio. From 2001 to 2005, Mr. Kain served as Vice President of Mortgage Portfolio Strategy at Freddie</w:t>
      </w:r>
    </w:p>
    <w:p>
      <w:pPr>
        <w:spacing w:after="0" w:line="2" w:lineRule="exact"/>
        <w:rPr>
          <w:sz w:val="20"/>
          <w:szCs w:val="20"/>
          <w:color w:val="auto"/>
        </w:rPr>
      </w:pPr>
    </w:p>
    <w:p>
      <w:pPr>
        <w:ind w:left="2840" w:right="40"/>
        <w:spacing w:after="0" w:line="220" w:lineRule="auto"/>
        <w:rPr>
          <w:sz w:val="20"/>
          <w:szCs w:val="20"/>
          <w:color w:val="auto"/>
        </w:rPr>
      </w:pPr>
      <w:r>
        <w:rPr>
          <w:rFonts w:ascii="Times New Roman" w:cs="Times New Roman" w:eastAsia="Times New Roman" w:hAnsi="Times New Roman"/>
          <w:sz w:val="17"/>
          <w:szCs w:val="17"/>
          <w:color w:val="auto"/>
        </w:rPr>
        <w:t>Mac. From 1995 to 2001, he was the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w:t>
      </w:r>
    </w:p>
    <w:p>
      <w:pPr>
        <w:spacing w:after="0" w:line="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for managing the adjustable-rate mortgage and REMIC sectors.</w:t>
      </w:r>
    </w:p>
    <w:p>
      <w:pPr>
        <w:spacing w:after="0" w:line="1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840"/>
        <w:spacing w:after="0" w:line="219" w:lineRule="auto"/>
        <w:rPr>
          <w:sz w:val="20"/>
          <w:szCs w:val="20"/>
          <w:color w:val="auto"/>
        </w:rPr>
      </w:pPr>
      <w:r>
        <w:rPr>
          <w:rFonts w:ascii="Times New Roman" w:cs="Times New Roman" w:eastAsia="Times New Roman" w:hAnsi="Times New Roman"/>
          <w:sz w:val="18"/>
          <w:szCs w:val="18"/>
          <w:color w:val="auto"/>
        </w:rPr>
        <w:t>Mr. Kain’s extensive and lengthy expertise in the Agency mortgage sector and his deep knowledge of our business</w:t>
      </w:r>
    </w:p>
    <w:p>
      <w:pPr>
        <w:ind w:left="2840" w:right="980"/>
        <w:spacing w:after="0" w:line="226" w:lineRule="auto"/>
        <w:rPr>
          <w:sz w:val="20"/>
          <w:szCs w:val="20"/>
          <w:color w:val="auto"/>
        </w:rPr>
      </w:pPr>
      <w:r>
        <w:rPr>
          <w:rFonts w:ascii="Times New Roman" w:cs="Times New Roman" w:eastAsia="Times New Roman" w:hAnsi="Times New Roman"/>
          <w:sz w:val="18"/>
          <w:szCs w:val="18"/>
          <w:color w:val="auto"/>
        </w:rPr>
        <w:t>as our former Chief Executive Officer and Chief Investment Officer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445770</wp:posOffset>
            </wp:positionV>
            <wp:extent cx="54260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PRUE B. LAROCCA,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11430</wp:posOffset>
            </wp:positionV>
            <wp:extent cx="6858000" cy="2331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00" cy="2331720"/>
                    </a:xfrm>
                    <a:prstGeom prst="rect">
                      <a:avLst/>
                    </a:prstGeom>
                    <a:noFill/>
                  </pic:spPr>
                </pic:pic>
              </a:graphicData>
            </a:graphic>
          </wp:anchor>
        </w:drawing>
      </w:r>
    </w:p>
    <w:p>
      <w:pPr>
        <w:spacing w:after="0" w:line="1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160"/>
        <w:spacing w:after="0" w:line="220" w:lineRule="auto"/>
        <w:rPr>
          <w:sz w:val="20"/>
          <w:szCs w:val="20"/>
          <w:color w:val="auto"/>
        </w:rPr>
      </w:pPr>
      <w:r>
        <w:rPr>
          <w:rFonts w:ascii="Times New Roman" w:cs="Times New Roman" w:eastAsia="Times New Roman" w:hAnsi="Times New Roman"/>
          <w:sz w:val="17"/>
          <w:szCs w:val="17"/>
          <w:color w:val="auto"/>
        </w:rPr>
        <w:t>Ms. Larocca has served as our Lead Independent Director since May 2016 and has served as our Vice Chair since July 2021. She previously served as our Chair from May 2016 until July 2021. She is a retired investment banking executive and a widely recognized expert in the areas of housing finance and securitization. Ms. Larocca previously</w:t>
      </w:r>
    </w:p>
    <w:p>
      <w:pPr>
        <w:spacing w:after="0" w:line="2" w:lineRule="exact"/>
        <w:rPr>
          <w:sz w:val="20"/>
          <w:szCs w:val="20"/>
          <w:color w:val="auto"/>
        </w:rPr>
      </w:pPr>
    </w:p>
    <w:p>
      <w:pPr>
        <w:ind w:left="2700"/>
        <w:spacing w:after="0" w:line="220" w:lineRule="auto"/>
        <w:rPr>
          <w:sz w:val="20"/>
          <w:szCs w:val="20"/>
          <w:color w:val="auto"/>
        </w:rPr>
      </w:pPr>
      <w:r>
        <w:rPr>
          <w:rFonts w:ascii="Times New Roman" w:cs="Times New Roman" w:eastAsia="Times New Roman" w:hAnsi="Times New Roman"/>
          <w:sz w:val="17"/>
          <w:szCs w:val="17"/>
          <w:color w:val="auto"/>
        </w:rPr>
        <w:t>served as a member of the board of the Housing Preservation Foundation, the Washington School for Girls, and the American Securitization Trade Association. Ms. Larocca was a Managing Director of Royal Bank of Scotland (“RBS”) in the Mortgage Backed and Asset Backed Finance Group from 1997 until her retirement from RBS in 2011.</w:t>
      </w:r>
    </w:p>
    <w:p>
      <w:pPr>
        <w:spacing w:after="0" w:line="2" w:lineRule="exact"/>
        <w:rPr>
          <w:sz w:val="20"/>
          <w:szCs w:val="20"/>
          <w:color w:val="auto"/>
        </w:rPr>
      </w:pPr>
    </w:p>
    <w:p>
      <w:pPr>
        <w:jc w:val="both"/>
        <w:ind w:left="2700" w:right="60"/>
        <w:spacing w:after="0" w:line="220" w:lineRule="auto"/>
        <w:rPr>
          <w:sz w:val="20"/>
          <w:szCs w:val="20"/>
          <w:color w:val="auto"/>
        </w:rPr>
      </w:pPr>
      <w:r>
        <w:rPr>
          <w:rFonts w:ascii="Times New Roman" w:cs="Times New Roman" w:eastAsia="Times New Roman" w:hAnsi="Times New Roman"/>
          <w:sz w:val="17"/>
          <w:szCs w:val="17"/>
          <w:color w:val="auto"/>
        </w:rPr>
        <w:t>Prior to joining RBS, Ms. Larocca was a Senior Vice President at Lehman Brothers in the mortgage finance business, managed the consumer and single-family securitization business for the Resolution Trust Corporation, and practiced law with the firms of Milbank, Tweed, Hadley and McCloy and Kutak Rock. She is a graduate of the Georgetown</w:t>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University Law Center and Indiana University.</w:t>
      </w:r>
    </w:p>
    <w:p>
      <w:pPr>
        <w:spacing w:after="0" w:line="1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700" w:right="360"/>
        <w:spacing w:after="0" w:line="226" w:lineRule="auto"/>
        <w:rPr>
          <w:sz w:val="20"/>
          <w:szCs w:val="20"/>
          <w:color w:val="auto"/>
        </w:rPr>
      </w:pPr>
      <w:r>
        <w:rPr>
          <w:rFonts w:ascii="Times New Roman" w:cs="Times New Roman" w:eastAsia="Times New Roman" w:hAnsi="Times New Roman"/>
          <w:sz w:val="18"/>
          <w:szCs w:val="18"/>
          <w:color w:val="auto"/>
        </w:rPr>
        <w:t>Ms. Larocca’s extensive expertise in mortgage finance and asset securitization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349250</wp:posOffset>
            </wp:positionV>
            <wp:extent cx="54349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PAUL E. MULLINGS,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-39370</wp:posOffset>
            </wp:positionV>
            <wp:extent cx="6866255" cy="2194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66255" cy="2194560"/>
                    </a:xfrm>
                    <a:prstGeom prst="rect">
                      <a:avLst/>
                    </a:prstGeom>
                    <a:noFill/>
                  </pic:spPr>
                </pic:pic>
              </a:graphicData>
            </a:graphic>
          </wp:anchor>
        </w:drawing>
      </w:r>
    </w:p>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700" w:right="160"/>
        <w:spacing w:after="0" w:line="223" w:lineRule="auto"/>
        <w:rPr>
          <w:sz w:val="20"/>
          <w:szCs w:val="20"/>
          <w:color w:val="auto"/>
        </w:rPr>
      </w:pPr>
      <w:r>
        <w:rPr>
          <w:rFonts w:ascii="Times New Roman" w:cs="Times New Roman" w:eastAsia="Times New Roman" w:hAnsi="Times New Roman"/>
          <w:sz w:val="17"/>
          <w:szCs w:val="17"/>
          <w:color w:val="auto"/>
        </w:rPr>
        <w:t>Mr. Mullings has over 40 years’ experience in the mortgage banking sector. Mr. Mullings served from 2015 until his retirement in 2020 as a Managing Director of The Collingwood Group, a SitusAMC company, a business advisory</w:t>
      </w:r>
    </w:p>
    <w:p>
      <w:pPr>
        <w:spacing w:after="0" w:line="1" w:lineRule="exact"/>
        <w:rPr>
          <w:sz w:val="20"/>
          <w:szCs w:val="20"/>
          <w:color w:val="auto"/>
        </w:rPr>
      </w:pPr>
    </w:p>
    <w:p>
      <w:pPr>
        <w:ind w:left="2700" w:right="60"/>
        <w:spacing w:after="0" w:line="220" w:lineRule="auto"/>
        <w:rPr>
          <w:sz w:val="20"/>
          <w:szCs w:val="20"/>
          <w:color w:val="auto"/>
        </w:rPr>
      </w:pPr>
      <w:r>
        <w:rPr>
          <w:rFonts w:ascii="Times New Roman" w:cs="Times New Roman" w:eastAsia="Times New Roman" w:hAnsi="Times New Roman"/>
          <w:sz w:val="17"/>
          <w:szCs w:val="17"/>
          <w:color w:val="auto"/>
        </w:rPr>
        <w:t>and risk management firm focused on the financial services industry. From 2005 to 2015, Mr. Mullings served as a Senior Vice President of Freddie Mac in the Single-Family Business division. While at Freddie Mac, he also served on the Operating, Management and Credit Risk Committees. Prior to joining Freddie Mac, Mr. Mullings was a Senior</w:t>
      </w:r>
    </w:p>
    <w:p>
      <w:pPr>
        <w:spacing w:after="0" w:line="2" w:lineRule="exact"/>
        <w:rPr>
          <w:sz w:val="20"/>
          <w:szCs w:val="20"/>
          <w:color w:val="auto"/>
        </w:rPr>
      </w:pPr>
    </w:p>
    <w:p>
      <w:pPr>
        <w:ind w:left="2700" w:right="40"/>
        <w:spacing w:after="0" w:line="208" w:lineRule="auto"/>
        <w:rPr>
          <w:sz w:val="20"/>
          <w:szCs w:val="20"/>
          <w:color w:val="auto"/>
        </w:rPr>
      </w:pPr>
      <w:r>
        <w:rPr>
          <w:rFonts w:ascii="Times New Roman" w:cs="Times New Roman" w:eastAsia="Times New Roman" w:hAnsi="Times New Roman"/>
          <w:sz w:val="18"/>
          <w:szCs w:val="18"/>
          <w:color w:val="auto"/>
        </w:rPr>
        <w:t>Vice President at J.P. Morgan Chase &amp; Co. from 1997 to 2005 in the home finance area. Previously, Mr. Mullings was the President and Chief Executive Officer of the Mortgage Electronic Registration Systems, Inc. (MERS) and the President and Chief Executive Officer of the Residential Mortgage Division of the First Interstate Bank in Los</w:t>
      </w:r>
    </w:p>
    <w:p>
      <w:pPr>
        <w:spacing w:after="0" w:line="2" w:lineRule="exact"/>
        <w:rPr>
          <w:sz w:val="20"/>
          <w:szCs w:val="20"/>
          <w:color w:val="auto"/>
        </w:rPr>
      </w:pPr>
    </w:p>
    <w:p>
      <w:pPr>
        <w:ind w:left="2700" w:right="280"/>
        <w:spacing w:after="0" w:line="218" w:lineRule="auto"/>
        <w:rPr>
          <w:sz w:val="20"/>
          <w:szCs w:val="20"/>
          <w:color w:val="auto"/>
        </w:rPr>
      </w:pPr>
      <w:r>
        <w:rPr>
          <w:rFonts w:ascii="Times New Roman" w:cs="Times New Roman" w:eastAsia="Times New Roman" w:hAnsi="Times New Roman"/>
          <w:sz w:val="18"/>
          <w:szCs w:val="18"/>
          <w:color w:val="auto"/>
        </w:rPr>
        <w:t>Angeles. Mr. Mullings received his Overseas Certificate in Business Studies from the College of Arts, Science and Technology in Kingston, Jamaica, following which he became a Member of The Institute of Accounting Staff in conjunction with the Association of Certified Accountants in London, England.</w:t>
      </w:r>
    </w:p>
    <w:p>
      <w:pPr>
        <w:spacing w:after="0" w:line="1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620"/>
        <w:spacing w:after="0" w:line="255" w:lineRule="auto"/>
        <w:rPr>
          <w:sz w:val="20"/>
          <w:szCs w:val="20"/>
          <w:color w:val="auto"/>
        </w:rPr>
      </w:pPr>
      <w:r>
        <w:rPr>
          <w:rFonts w:ascii="Times New Roman" w:cs="Times New Roman" w:eastAsia="Times New Roman" w:hAnsi="Times New Roman"/>
          <w:sz w:val="17"/>
          <w:szCs w:val="17"/>
          <w:color w:val="auto"/>
        </w:rPr>
        <w:t>Mr. Mullings’ extensive senior executive officer experience in the mortgage banking sector and the secondary mortgage market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635000</wp:posOffset>
            </wp:positionV>
            <wp:extent cx="5426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FRANCES R. SPARK,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26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-82550</wp:posOffset>
            </wp:positionV>
            <wp:extent cx="1371600" cy="2194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jc w:val="both"/>
        <w:ind w:left="2700" w:right="80"/>
        <w:spacing w:after="0" w:line="220" w:lineRule="auto"/>
        <w:rPr>
          <w:sz w:val="20"/>
          <w:szCs w:val="20"/>
          <w:color w:val="auto"/>
        </w:rPr>
      </w:pPr>
      <w:r>
        <w:rPr>
          <w:rFonts w:ascii="Times New Roman" w:cs="Times New Roman" w:eastAsia="Times New Roman" w:hAnsi="Times New Roman"/>
          <w:sz w:val="17"/>
          <w:szCs w:val="17"/>
          <w:color w:val="auto"/>
        </w:rPr>
        <w:t>Ms. Spark is an experienced finance professional with broad expertise in mortgage finance and financial reporting for publicly traded companies, including mortgage REITs. Ms. Spark served as the Chief Financial Officer and Treasurer for CYS Investments, Inc., a publicly traded mortgage REIT that invested predominantly in Agency MBS, from 2009</w:t>
      </w:r>
    </w:p>
    <w:p>
      <w:pPr>
        <w:spacing w:after="0" w:line="2" w:lineRule="exact"/>
        <w:rPr>
          <w:sz w:val="20"/>
          <w:szCs w:val="20"/>
          <w:color w:val="auto"/>
        </w:rPr>
      </w:pPr>
    </w:p>
    <w:p>
      <w:pPr>
        <w:ind w:left="2700" w:right="40"/>
        <w:spacing w:after="0" w:line="220" w:lineRule="auto"/>
        <w:rPr>
          <w:sz w:val="20"/>
          <w:szCs w:val="20"/>
          <w:color w:val="auto"/>
        </w:rPr>
      </w:pPr>
      <w:r>
        <w:rPr>
          <w:rFonts w:ascii="Times New Roman" w:cs="Times New Roman" w:eastAsia="Times New Roman" w:hAnsi="Times New Roman"/>
          <w:sz w:val="17"/>
          <w:szCs w:val="17"/>
          <w:color w:val="auto"/>
        </w:rPr>
        <w:t>through 2016. Prior to the internalization of CYS’s management in 2011, Ms. Spark also served as the Chief Financial Officer and Treasurer of CYS’s external manager, Sharpridge Capital Management, LP. She had served as a director and Audit Committee chair of CYS from its initial capitalization in 2006 until shortly after its initial public offering.</w:t>
      </w:r>
    </w:p>
    <w:p>
      <w:pPr>
        <w:spacing w:after="0" w:line="2" w:lineRule="exact"/>
        <w:rPr>
          <w:sz w:val="20"/>
          <w:szCs w:val="20"/>
          <w:color w:val="auto"/>
        </w:rPr>
      </w:pPr>
    </w:p>
    <w:p>
      <w:pPr>
        <w:ind w:left="2700" w:right="180"/>
        <w:spacing w:after="0" w:line="220" w:lineRule="auto"/>
        <w:rPr>
          <w:sz w:val="20"/>
          <w:szCs w:val="20"/>
          <w:color w:val="auto"/>
        </w:rPr>
      </w:pPr>
      <w:r>
        <w:rPr>
          <w:rFonts w:ascii="Times New Roman" w:cs="Times New Roman" w:eastAsia="Times New Roman" w:hAnsi="Times New Roman"/>
          <w:sz w:val="17"/>
          <w:szCs w:val="17"/>
          <w:color w:val="auto"/>
        </w:rPr>
        <w:t>Prior to CYS, Ms. Spark was the Chief Financial Officer for MVC Capital, Inc., a business development company, from 2003 until 2005. Ms. Spark’s career has included managing Spark Consulting, a privately owned strategic advisory and business consulting firm, and executive positions with financial services firms in the United States and</w:t>
      </w:r>
    </w:p>
    <w:p>
      <w:pPr>
        <w:spacing w:after="0" w:line="2" w:lineRule="exact"/>
        <w:rPr>
          <w:sz w:val="20"/>
          <w:szCs w:val="20"/>
          <w:color w:val="auto"/>
        </w:rPr>
      </w:pPr>
    </w:p>
    <w:p>
      <w:pPr>
        <w:ind w:left="2700" w:right="140"/>
        <w:spacing w:after="0" w:line="208" w:lineRule="auto"/>
        <w:rPr>
          <w:sz w:val="20"/>
          <w:szCs w:val="20"/>
          <w:color w:val="auto"/>
        </w:rPr>
      </w:pPr>
      <w:r>
        <w:rPr>
          <w:rFonts w:ascii="Times New Roman" w:cs="Times New Roman" w:eastAsia="Times New Roman" w:hAnsi="Times New Roman"/>
          <w:sz w:val="18"/>
          <w:szCs w:val="18"/>
          <w:color w:val="auto"/>
        </w:rPr>
        <w:t>the United Kingdom. She also served as an independent director and a member of the Audit and Risk Committees of Reverse Mortgage Investment Trust, a private finance company operating in the reverse mortgage industry, from 2015 to 2020. Ms. Spark is a Chartered Accountant and previously worked as an auditor with KPMG in the United</w:t>
      </w:r>
    </w:p>
    <w:p>
      <w:pPr>
        <w:spacing w:after="0" w:line="2" w:lineRule="exact"/>
        <w:rPr>
          <w:sz w:val="20"/>
          <w:szCs w:val="20"/>
          <w:color w:val="auto"/>
        </w:rPr>
      </w:pPr>
    </w:p>
    <w:p>
      <w:pPr>
        <w:ind w:left="2700" w:right="600"/>
        <w:spacing w:after="0" w:line="226" w:lineRule="auto"/>
        <w:rPr>
          <w:sz w:val="20"/>
          <w:szCs w:val="20"/>
          <w:color w:val="auto"/>
        </w:rPr>
      </w:pPr>
      <w:r>
        <w:rPr>
          <w:rFonts w:ascii="Times New Roman" w:cs="Times New Roman" w:eastAsia="Times New Roman" w:hAnsi="Times New Roman"/>
          <w:sz w:val="18"/>
          <w:szCs w:val="18"/>
          <w:color w:val="auto"/>
        </w:rPr>
        <w:t>Kingdom. She holds a BS from the University of Southampton in the United Kingdom. Ms. Spark is an “audit committee financial expert” (as defined in Item 407 of Regulation S-K under the Securities Act).</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580"/>
        <w:spacing w:after="0" w:line="223" w:lineRule="auto"/>
        <w:rPr>
          <w:sz w:val="20"/>
          <w:szCs w:val="20"/>
          <w:color w:val="auto"/>
        </w:rPr>
      </w:pPr>
      <w:r>
        <w:rPr>
          <w:rFonts w:ascii="Times New Roman" w:cs="Times New Roman" w:eastAsia="Times New Roman" w:hAnsi="Times New Roman"/>
          <w:sz w:val="17"/>
          <w:szCs w:val="17"/>
          <w:color w:val="auto"/>
        </w:rPr>
        <w:t>Ms. Spark’s public company accounting, finance, and risk management expertise in the mortgage REIT sector, including her role as a senior executive officer at a publicly traded residential mortgage REIT, strengthens our</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election of directors nominated in Proposal 1 requires the affirmative vote of a majority of the votes cast by holders of our common stock at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Annual Meeting. The affirmative vote of a “majority” of the votes cast means that the number of votes cast “for” a director nominee must exceed the votes cast “against” that nominee. In the context of the election of nine directors at the Annual Meeting, it will mean that each of the nine candidates will be required to receive more votes “for” than “against” to be elected. Abstentions and broker non-votes will have no effect on the outcome of the proposal.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ALL THE NOMINEES NAMED ABOVE.</w:t>
      </w:r>
    </w:p>
    <w:p>
      <w:pPr>
        <w:spacing w:after="0" w:line="200" w:lineRule="exact"/>
        <w:rPr>
          <w:sz w:val="20"/>
          <w:szCs w:val="20"/>
          <w:color w:val="auto"/>
        </w:rPr>
      </w:pPr>
    </w:p>
    <w:p>
      <w:pPr>
        <w:spacing w:after="0" w:line="36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right="340"/>
        <w:spacing w:after="0" w:line="261" w:lineRule="auto"/>
        <w:rPr>
          <w:sz w:val="20"/>
          <w:szCs w:val="20"/>
          <w:color w:val="auto"/>
        </w:rPr>
      </w:pPr>
      <w:r>
        <w:rPr>
          <w:rFonts w:ascii="Times New Roman" w:cs="Times New Roman" w:eastAsia="Times New Roman" w:hAnsi="Times New Roman"/>
          <w:sz w:val="14"/>
          <w:szCs w:val="14"/>
          <w:color w:val="407CCA"/>
        </w:rPr>
        <w:t>PROPOSAL 2: AMENDMENT OF OUR AMENDED AND RESTATED CERTIFICATE OF INCORPORATION TO INCREASE THE AUTHORIZED NUMBER OF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PROPOSAL 2:</w:t>
      </w:r>
    </w:p>
    <w:p>
      <w:pPr>
        <w:jc w:val="center"/>
        <w:spacing w:after="0" w:line="218" w:lineRule="auto"/>
        <w:rPr>
          <w:sz w:val="20"/>
          <w:szCs w:val="20"/>
          <w:color w:val="auto"/>
        </w:rPr>
      </w:pPr>
      <w:r>
        <w:rPr>
          <w:rFonts w:ascii="Times New Roman" w:cs="Times New Roman" w:eastAsia="Times New Roman" w:hAnsi="Times New Roman"/>
          <w:sz w:val="22"/>
          <w:szCs w:val="22"/>
          <w:b w:val="1"/>
          <w:bCs w:val="1"/>
          <w:color w:val="407CCA"/>
        </w:rPr>
        <w:t>APPROVAL OF THE AMENDMENT TO OUR AMENDED AND RESTATED CERTIFICATE OF INCORPORATION TO INCREASE THE AUTHORIZED NUMBER OF SHARES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320" w:firstLine="648"/>
        <w:spacing w:after="0" w:line="229" w:lineRule="auto"/>
        <w:rPr>
          <w:sz w:val="20"/>
          <w:szCs w:val="20"/>
          <w:color w:val="auto"/>
        </w:rPr>
      </w:pPr>
      <w:r>
        <w:rPr>
          <w:rFonts w:ascii="Times New Roman" w:cs="Times New Roman" w:eastAsia="Times New Roman" w:hAnsi="Times New Roman"/>
          <w:sz w:val="17"/>
          <w:szCs w:val="17"/>
          <w:color w:val="auto"/>
        </w:rPr>
        <w:t>Our authorized capital stock consists of 1,500,000,000 shares of common stock and 10,000,000 shares of preferred stock, with each of the common stock and preferred shares having a $0.01 par value. On January 23, 2025, the Board of Directors approved, and recommended that the stockholders adopt, an amendment to Article IV of our Certificate of Incorporation that would increase the authorized number of shares of our common</w:t>
      </w:r>
    </w:p>
    <w:p>
      <w:pPr>
        <w:spacing w:after="0"/>
        <w:rPr>
          <w:sz w:val="20"/>
          <w:szCs w:val="20"/>
          <w:color w:val="auto"/>
        </w:rPr>
      </w:pPr>
      <w:r>
        <w:rPr>
          <w:rFonts w:ascii="Times New Roman" w:cs="Times New Roman" w:eastAsia="Times New Roman" w:hAnsi="Times New Roman"/>
          <w:sz w:val="18"/>
          <w:szCs w:val="18"/>
          <w:color w:val="auto"/>
        </w:rPr>
        <w:t>stock from 1,500,000,000 to 2,250,000,000. If approved, Section 4.1 of the Certificate of Incorporation would read in its entirety as follows:</w:t>
      </w:r>
    </w:p>
    <w:p>
      <w:pPr>
        <w:spacing w:after="0" w:line="192" w:lineRule="exact"/>
        <w:rPr>
          <w:sz w:val="20"/>
          <w:szCs w:val="20"/>
          <w:color w:val="auto"/>
        </w:rPr>
      </w:pPr>
    </w:p>
    <w:p>
      <w:pPr>
        <w:ind w:left="660" w:right="240"/>
        <w:spacing w:after="0" w:line="236" w:lineRule="auto"/>
        <w:rPr>
          <w:sz w:val="20"/>
          <w:szCs w:val="20"/>
          <w:color w:val="auto"/>
        </w:rPr>
      </w:pPr>
      <w:r>
        <w:rPr>
          <w:rFonts w:ascii="Times New Roman" w:cs="Times New Roman" w:eastAsia="Times New Roman" w:hAnsi="Times New Roman"/>
          <w:sz w:val="17"/>
          <w:szCs w:val="17"/>
          <w:color w:val="auto"/>
        </w:rPr>
        <w:t>“Section 4.1. Total Number of Shares of Capital Stock. The total number of shares of capital stock of all classes that the Corporation shall have authority to issue is 2,260,000,000 shares. The authorized stock is divided into 10,000,000 shares of preferred stock, with the par value of $0.01</w:t>
      </w:r>
    </w:p>
    <w:p>
      <w:pPr>
        <w:ind w:left="660" w:right="160"/>
        <w:spacing w:after="0" w:line="218" w:lineRule="auto"/>
        <w:rPr>
          <w:sz w:val="20"/>
          <w:szCs w:val="20"/>
          <w:color w:val="auto"/>
        </w:rPr>
      </w:pPr>
      <w:r>
        <w:rPr>
          <w:rFonts w:ascii="Times New Roman" w:cs="Times New Roman" w:eastAsia="Times New Roman" w:hAnsi="Times New Roman"/>
          <w:sz w:val="18"/>
          <w:szCs w:val="18"/>
          <w:color w:val="auto"/>
        </w:rPr>
        <w:t>each (the “Preferred Stock”), and 2,250,000,000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p>
    <w:p>
      <w:pPr>
        <w:spacing w:after="0" w:line="199"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Assuming approval of this Proposal to amend our Certificate of Incorporation, the aggregate number of shares of common stock that we will have the authority to issue, at our discretion, will be 2,250,000,000.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Rationale</w:t>
      </w:r>
    </w:p>
    <w:p>
      <w:pPr>
        <w:spacing w:after="0" w:line="22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Board of Directors believes that the increased authorized number of shares of common stock contemplated by the proposed amendment to our Certificate of Incorporation is desirable to make additional unreserved shares of common stock available for issuance or reservation. The Board of Directors believes that having such additional shares authorized and available for issuance or reservation will provide greater flexibility to pursue potential future actions involving the issuance of stock to provide capital for investment activity, mergers and acquisitions, stock dividends or splits, and general corporate purposes.</w:t>
      </w:r>
    </w:p>
    <w:p>
      <w:pPr>
        <w:spacing w:after="0" w:line="198" w:lineRule="exact"/>
        <w:rPr>
          <w:sz w:val="20"/>
          <w:szCs w:val="20"/>
          <w:color w:val="auto"/>
        </w:rPr>
      </w:pPr>
    </w:p>
    <w:p>
      <w:pPr>
        <w:ind w:right="40" w:firstLine="881"/>
        <w:spacing w:after="0" w:line="237" w:lineRule="auto"/>
        <w:rPr>
          <w:sz w:val="20"/>
          <w:szCs w:val="20"/>
          <w:color w:val="auto"/>
        </w:rPr>
      </w:pPr>
      <w:r>
        <w:rPr>
          <w:rFonts w:ascii="Times New Roman" w:cs="Times New Roman" w:eastAsia="Times New Roman" w:hAnsi="Times New Roman"/>
          <w:sz w:val="18"/>
          <w:szCs w:val="18"/>
          <w:color w:val="auto"/>
        </w:rPr>
        <w:t>As of February 21, 2025, we had 915.5 million shares of issued and outstanding common stock and 377.1 million shares of common stock reserved for future issuance, including shares reserved for future issuance under our At-The-Market issuance program (“ATM”), the terms of our outstanding preferred stock providing for conversion of shares under certain circumstances, our Dividend Reinvestment and Direct Stock Purchase Plan, and the 2016 Equity Plan. After accounting for the issued and outstanding shares and the shares reserved for issuance under our equity incentive plans, our Dividend Reinvestment and Direct Stock Purchase Plan, our ATM program, and the potential conversion of our preferred stock under the circumstances described in the prospectus supplements filed with the SEC for each series of our preferred stock, AGNC has 207.4 million unallocated shares available for issuance at the current common stock authorization level in our Certificate of Incorporation. From January 1, 2024 through February 21, 2025 AGNC issued 219.6 million shares under our ATM program but did not issue any stock pursuant to a follow-on offering during this period. The current level of authorized shares could impact AGNC’s ability to pursue accretive capital market opportunities in 2025 at current levels and become restrictive starting in 2026, absent an increase in the number of authorized common shares.</w:t>
      </w:r>
    </w:p>
    <w:p>
      <w:pPr>
        <w:spacing w:after="0" w:line="1" w:lineRule="exact"/>
        <w:rPr>
          <w:sz w:val="20"/>
          <w:szCs w:val="20"/>
          <w:color w:val="auto"/>
        </w:rPr>
      </w:pPr>
    </w:p>
    <w:p>
      <w:pPr>
        <w:ind w:right="180" w:firstLine="881"/>
        <w:spacing w:after="0" w:line="234" w:lineRule="auto"/>
        <w:rPr>
          <w:sz w:val="20"/>
          <w:szCs w:val="20"/>
          <w:color w:val="auto"/>
        </w:rPr>
      </w:pPr>
      <w:r>
        <w:rPr>
          <w:rFonts w:ascii="Times New Roman" w:cs="Times New Roman" w:eastAsia="Times New Roman" w:hAnsi="Times New Roman"/>
          <w:sz w:val="18"/>
          <w:szCs w:val="18"/>
          <w:color w:val="auto"/>
        </w:rPr>
        <w:t>We believe that increasing our authorized number of shares of common stock to facilitate additional capital raising activity is in our stockholders’ best interests. As a REIT, we distribute substantially all of our taxable income to our stockholders in the form of dividends and do not currently retain a significant portion of our earnings for growth. In order to pursue new incremental investment opportunities, we raise additional capital through a variety of means, including our ATM program and follow-on common stock offerings. We believe that our historical track record of identifying attractive investment opportunities, in addition to accretive equity offerings, has been instrumental to our strong financial performance.</w:t>
      </w:r>
    </w:p>
    <w:p>
      <w:pPr>
        <w:spacing w:after="0" w:line="213" w:lineRule="exact"/>
        <w:rPr>
          <w:sz w:val="20"/>
          <w:szCs w:val="20"/>
          <w:color w:val="auto"/>
        </w:rPr>
      </w:pPr>
    </w:p>
    <w:p>
      <w:pPr>
        <w:ind w:right="40" w:firstLine="881"/>
        <w:spacing w:after="0" w:line="241" w:lineRule="auto"/>
        <w:rPr>
          <w:sz w:val="20"/>
          <w:szCs w:val="20"/>
          <w:color w:val="auto"/>
        </w:rPr>
      </w:pPr>
      <w:r>
        <w:rPr>
          <w:rFonts w:ascii="Times New Roman" w:cs="Times New Roman" w:eastAsia="Times New Roman" w:hAnsi="Times New Roman"/>
          <w:sz w:val="18"/>
          <w:szCs w:val="18"/>
          <w:color w:val="auto"/>
        </w:rPr>
        <w:t>We would generally intend to issue additional shares of common stock through our ATM program or in follow-on offerings primarily when our net issuance price exceeds our tangible net book value or in other circumstances that are believed to be accretive to our stockholders. Further, as an internally managed REIT, we do not pay a management fee based upon our equity, so an offering of additional common stock does not result in a proportional increase in our expenses, and our short and long-term incentive compensation programs do not set awards based upon the amount of equity capital raised or other asset-based measures. Because we do not pay management fees based on our equity, additional capital-raising activities enable us to leverage our operating costs over a larger equity base, benefiting our stockholders through decreased operating costs per share.</w:t>
      </w:r>
    </w:p>
    <w:p>
      <w:pPr>
        <w:spacing w:after="0" w:line="211" w:lineRule="exact"/>
        <w:rPr>
          <w:sz w:val="20"/>
          <w:szCs w:val="20"/>
          <w:color w:val="auto"/>
        </w:rPr>
      </w:pPr>
    </w:p>
    <w:p>
      <w:pPr>
        <w:ind w:firstLine="881"/>
        <w:spacing w:after="0" w:line="239" w:lineRule="auto"/>
        <w:rPr>
          <w:sz w:val="20"/>
          <w:szCs w:val="20"/>
          <w:color w:val="auto"/>
        </w:rPr>
      </w:pPr>
      <w:r>
        <w:rPr>
          <w:rFonts w:ascii="Times New Roman" w:cs="Times New Roman" w:eastAsia="Times New Roman" w:hAnsi="Times New Roman"/>
          <w:sz w:val="18"/>
          <w:szCs w:val="18"/>
          <w:color w:val="auto"/>
        </w:rPr>
        <w:t>We anticipate that 2025 and beyond could potentially provide compelling investment opportunities for AGNC. We believe that Agency MBS are positioned to provide attractive risk-adjusted returns on both an absolute and relative basis. Mortgage spreads to benchmark rates have widened over the past several years to levels in excess of longer-term averages, which have improved projected returns on equity for levered investors such as AGNC. These wider spreads, coupled with decreased interest rate volatility as the Federal Reserve pivots to a more accommodative stance, provide a favorable backdrop for AGNC’s investment activities.</w:t>
      </w:r>
    </w:p>
    <w:p>
      <w:pPr>
        <w:spacing w:after="0" w:line="35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ind w:left="360" w:right="20"/>
        <w:spacing w:after="0" w:line="261" w:lineRule="auto"/>
        <w:rPr>
          <w:sz w:val="20"/>
          <w:szCs w:val="20"/>
          <w:color w:val="auto"/>
        </w:rPr>
      </w:pPr>
      <w:r>
        <w:rPr>
          <w:rFonts w:ascii="Times New Roman" w:cs="Times New Roman" w:eastAsia="Times New Roman" w:hAnsi="Times New Roman"/>
          <w:sz w:val="14"/>
          <w:szCs w:val="14"/>
          <w:color w:val="407CCA"/>
        </w:rPr>
        <w:t>PROPOSAL 2: AMENDMENT OF OUR AMENDED AND RESTATED CERTIFICATE OF INCORPORATION TO INCREASE THE AUTHORIZED NUMBER OF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Authorizing additional shares of common stock will provide the Company with the flexibility to raise incremental equity capital or issue common stock to benefit from these and other opportunities.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w:t>
      </w:r>
    </w:p>
    <w:p>
      <w:pPr>
        <w:spacing w:after="0" w:line="216"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18"/>
          <w:szCs w:val="18"/>
          <w:color w:val="auto"/>
        </w:rPr>
        <w:t>Authorizing us to issue more shares of common stock than currently authorized by the Certificate of Incorporation will not affect materially any substantive rights, powers, or privileges of our stockholders. Our common stock does not have cumulative voting rights or preemptive rights for the purchase of additional shares of any class of capital stock. The additional shares of common stock for which authorization is sought are identical to the shares of our common stock now authorized. However, the issuance of additional shares of common stock may, among other things, have a dilutive effect on the earnings per share and on the equity and voting power of existing stockholders and may adversely affect the market price for our common stock. There can be no assurance that offerings of common stock will in fact be accretive to our stockholders.</w:t>
      </w:r>
    </w:p>
    <w:p>
      <w:pPr>
        <w:spacing w:after="0" w:line="211" w:lineRule="exact"/>
        <w:rPr>
          <w:sz w:val="20"/>
          <w:szCs w:val="20"/>
          <w:color w:val="auto"/>
        </w:rPr>
      </w:pPr>
    </w:p>
    <w:p>
      <w:pPr>
        <w:ind w:firstLine="881"/>
        <w:spacing w:after="0" w:line="250" w:lineRule="auto"/>
        <w:rPr>
          <w:sz w:val="20"/>
          <w:szCs w:val="20"/>
          <w:color w:val="auto"/>
        </w:rPr>
      </w:pPr>
      <w:r>
        <w:rPr>
          <w:rFonts w:ascii="Times New Roman" w:cs="Times New Roman" w:eastAsia="Times New Roman" w:hAnsi="Times New Roman"/>
          <w:sz w:val="18"/>
          <w:szCs w:val="18"/>
          <w:color w:val="auto"/>
        </w:rPr>
        <w:t>On the other hand, if we do not receive stockholder approval on this Proposal 2, we will be hindered in our ability to raise capital to pursue new investment opportunities that could be beneficial to our stockholders, or in certain circumstances from raising capital to reduce leverage, if market conditions warrant. This reduced flexibility would put us at a competitive disadvantage to other mortgage REITs or Agency MBS investors.</w:t>
      </w:r>
    </w:p>
    <w:p>
      <w:pPr>
        <w:spacing w:after="0" w:line="204" w:lineRule="exact"/>
        <w:rPr>
          <w:sz w:val="20"/>
          <w:szCs w:val="20"/>
          <w:color w:val="auto"/>
        </w:rPr>
      </w:pPr>
    </w:p>
    <w:p>
      <w:pPr>
        <w:ind w:right="80" w:firstLine="881"/>
        <w:spacing w:after="0" w:line="242" w:lineRule="auto"/>
        <w:rPr>
          <w:sz w:val="20"/>
          <w:szCs w:val="20"/>
          <w:color w:val="auto"/>
        </w:rPr>
      </w:pPr>
      <w:r>
        <w:rPr>
          <w:rFonts w:ascii="Times New Roman" w:cs="Times New Roman" w:eastAsia="Times New Roman" w:hAnsi="Times New Roman"/>
          <w:sz w:val="18"/>
          <w:szCs w:val="18"/>
          <w:color w:val="auto"/>
        </w:rPr>
        <w:t>From the February 21, 2025 record date until the date of our Annual Meeting, we may offer to the public shares of our authorized but unissued common stock in one or more public offerings, including through underwriters, our ATM, or through our registered Amended and Restated Dividend Reinvestment and Direct Stock Purchase Plan. However, any such newly issued shares will not be able to vote at the 2025 Annual Meeting.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22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The Board has approved and is submitting for a vote of our stockholders and recommending approval of the amendment to the Certificate of Incorporation to increase the total authorized number of shares of our common stock from 1,500,000,000 to 2,250,000,000. Approval of this proposal requires the affirmative vote by the holders of a majority of all shares of our common stock entitled to vote generally in the election of directors at the Annual Meeting. Abstentions and any broker non-votes will have the same effect as voting against the proposal. The Board believes that the proposal is in our best interests and in the best interests of the stockholders and has unanimously approved the proposed amendment to the Certificate of Incorporation.</w:t>
      </w:r>
    </w:p>
    <w:p>
      <w:pPr>
        <w:spacing w:after="0" w:line="1"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AMENDMENT TO THE CERTIFICATE OF INCORPORATION TO INCREASE THE TOTAL AUTHORIZED NUMBER OF SHARES OF OUR COMMON STOCK FROM 1,500,000,000 TO 2,250,000,000.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3: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407CCA"/>
        </w:rPr>
        <w:t>PROPOSAL 3:</w:t>
      </w:r>
    </w:p>
    <w:p>
      <w:pPr>
        <w:jc w:val="center"/>
        <w:ind w:right="-99"/>
        <w:spacing w:after="0"/>
        <w:rPr>
          <w:sz w:val="20"/>
          <w:szCs w:val="20"/>
          <w:color w:val="auto"/>
        </w:rPr>
      </w:pPr>
      <w:r>
        <w:rPr>
          <w:rFonts w:ascii="Times New Roman" w:cs="Times New Roman" w:eastAsia="Times New Roman" w:hAnsi="Times New Roman"/>
          <w:sz w:val="22"/>
          <w:szCs w:val="22"/>
          <w:b w:val="1"/>
          <w:bCs w:val="1"/>
          <w:color w:val="407CCA"/>
        </w:rPr>
        <w:t>ADVISORY RESOLUTION TO APPROVE EXECUTIVE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8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for your advisory vote to approve the compensation paid to our named executive officers as disclosed in this proxy statement. Our Board has determined to hold this “say-on-pay” vote every year.</w:t>
      </w:r>
    </w:p>
    <w:p>
      <w:pPr>
        <w:spacing w:after="0" w:line="172"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18"/>
          <w:szCs w:val="18"/>
          <w:color w:val="auto"/>
        </w:rPr>
        <w:t>We urge you to review carefully our compensation policies and decisions regarding our named executive officers as presented in the “Compensation Discussion and Analysis,” the accompanying compensation tables, and the related narrative disclosures section appearing on pages 24 to</w:t>
      </w:r>
    </w:p>
    <w:p>
      <w:pPr>
        <w:jc w:val="both"/>
        <w:ind w:right="340" w:firstLine="8"/>
        <w:spacing w:after="0" w:line="223" w:lineRule="auto"/>
        <w:tabs>
          <w:tab w:leader="none" w:pos="2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detail in this proxy statement, we believe that our executive compensation program applies a pay-for-performance philosophy that effectively aligns the interests of our NEOs with those of our stockholders and allows us to attract, retain, and appropriately incent executives with the skills and experience necessary to achieve our key business objectives.</w:t>
      </w:r>
    </w:p>
    <w:p>
      <w:pPr>
        <w:spacing w:after="0" w:line="15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While the vote on this proposal is advisory in nature and not binding, the Board and the Compensation Committee will take the results of the vote into account in making future compensation decisions.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requesting our stockholders to approve, in a non-binding, advisory vote, the following resolution:</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“RESOLVED, that the stockholders of the Company hereby approve the compensation paid to our named executive officers, as disclosed in</w:t>
      </w:r>
    </w:p>
    <w:p>
      <w:pPr>
        <w:spacing w:after="0" w:line="2" w:lineRule="exact"/>
        <w:rPr>
          <w:sz w:val="20"/>
          <w:szCs w:val="20"/>
          <w:color w:val="auto"/>
        </w:rPr>
      </w:pPr>
    </w:p>
    <w:p>
      <w:pPr>
        <w:ind w:left="1000" w:right="620"/>
        <w:spacing w:after="0" w:line="218" w:lineRule="auto"/>
        <w:rPr>
          <w:sz w:val="20"/>
          <w:szCs w:val="20"/>
          <w:color w:val="auto"/>
        </w:rPr>
      </w:pPr>
      <w:r>
        <w:rPr>
          <w:rFonts w:ascii="Times New Roman" w:cs="Times New Roman" w:eastAsia="Times New Roman" w:hAnsi="Times New Roman"/>
          <w:sz w:val="18"/>
          <w:szCs w:val="18"/>
          <w:color w:val="auto"/>
        </w:rPr>
        <w:t>the proxy statement for the 2025 Annual Meeting of Stockholders pursuant to the disclosure rules of the Securities and Exchange Commission, including the Compensation Discussion and Analysis, compensation tables, and related material disclosed in the proxy statement.”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81" w:lineRule="exact"/>
        <w:rPr>
          <w:sz w:val="20"/>
          <w:szCs w:val="20"/>
          <w:color w:val="auto"/>
        </w:rPr>
      </w:pPr>
    </w:p>
    <w:p>
      <w:pPr>
        <w:ind w:right="180" w:firstLine="648"/>
        <w:spacing w:after="0" w:line="222" w:lineRule="auto"/>
        <w:rPr>
          <w:sz w:val="20"/>
          <w:szCs w:val="20"/>
          <w:color w:val="auto"/>
        </w:rPr>
      </w:pPr>
      <w:r>
        <w:rPr>
          <w:rFonts w:ascii="Times New Roman" w:cs="Times New Roman" w:eastAsia="Times New Roman" w:hAnsi="Times New Roman"/>
          <w:sz w:val="18"/>
          <w:szCs w:val="18"/>
          <w:color w:val="auto"/>
        </w:rPr>
        <w:t xml:space="preserve">The affirmative vote of a majority of all shares of common stock cast on the proposal is required for advisory approval of this proposal. Abstentions and broker non-votes will have no effect on the outcome of the proposal. THE BOARD OF DIRECTORS RECOMMENDS A VOTE </w:t>
      </w:r>
      <w:r>
        <w:rPr>
          <w:rFonts w:ascii="Times New Roman" w:cs="Times New Roman" w:eastAsia="Times New Roman" w:hAnsi="Times New Roman"/>
          <w:sz w:val="18"/>
          <w:szCs w:val="18"/>
          <w:b w:val="1"/>
          <w:bCs w:val="1"/>
          <w:color w:val="auto"/>
        </w:rPr>
        <w:t>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ADVISORY RESOLUTION ON EXECUTIVE COMPENSATION.</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407CCA"/>
        </w:rPr>
        <w:t>PROPOSAL 4: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PROPOSAL 4:</w:t>
      </w: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RATIFICATION OF APPOINTMENT OF INDEPENDENT PUBLIC ACCOUNTANT</w:t>
      </w:r>
    </w:p>
    <w:p>
      <w:pPr>
        <w:spacing w:after="0" w:line="164"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18"/>
          <w:szCs w:val="18"/>
          <w:color w:val="auto"/>
        </w:rPr>
        <w:t>Ernst &amp; Young LLP (“EY”) has served as our independent public accountant since our IPO. The Audit Committee evaluates EY’s performance on an annual basis and makes a determination as to whether the Company should re-engage EY or consider the engagement of another audit firm. At a meeting on February 19, 2025, the Audit Committee approved the appointment of EY to audit our financial statements for 2025. In making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the Audit Committee carefully considered a number of factors including:</w:t>
      </w:r>
    </w:p>
    <w:p>
      <w:pPr>
        <w:spacing w:after="0" w:line="45" w:lineRule="exact"/>
        <w:rPr>
          <w:sz w:val="20"/>
          <w:szCs w:val="20"/>
          <w:color w:val="auto"/>
        </w:rPr>
      </w:pPr>
    </w:p>
    <w:p>
      <w:pPr>
        <w:ind w:left="980" w:hanging="405"/>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independence, objectivity, and professional skepticism;</w:t>
      </w:r>
    </w:p>
    <w:p>
      <w:pPr>
        <w:ind w:left="980" w:right="660" w:hanging="405"/>
        <w:spacing w:after="0" w:line="21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significant knowledge of the Company’s operations, personnel, accounting policies and practices, internal control over financial reporting, and the impact of such knowledge on audit quality;</w:t>
      </w:r>
    </w:p>
    <w:p>
      <w:pPr>
        <w:ind w:left="980" w:hanging="405"/>
        <w:spacing w:after="0" w:line="203"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significant industry and sector specific experience, including the number of other mortgage REITs audited by EY;</w:t>
      </w:r>
    </w:p>
    <w:p>
      <w:pPr>
        <w:ind w:left="980" w:hanging="405"/>
        <w:spacing w:after="0" w:line="21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efficiency of services provided by EY based on feedback from Audit Committee members and management;</w:t>
      </w:r>
    </w:p>
    <w:p>
      <w:pPr>
        <w:ind w:left="980" w:right="40" w:hanging="405"/>
        <w:spacing w:after="0" w:line="203"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resources, capabilities, technical expertise, including sharing industry insights, trends, and latest practices with the Audit Committee and management;</w:t>
      </w:r>
    </w:p>
    <w:p>
      <w:pPr>
        <w:ind w:left="980" w:hanging="405"/>
        <w:spacing w:after="0" w:line="21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attentiveness and responsiveness to the Company and ready availability to perform work on-site as necessary;</w:t>
      </w:r>
    </w:p>
    <w:p>
      <w:pPr>
        <w:ind w:left="980" w:hanging="405"/>
        <w:spacing w:after="0" w:line="203"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efforts to use technology to increase efficiencies and improve audit quality;</w:t>
      </w:r>
    </w:p>
    <w:p>
      <w:pPr>
        <w:ind w:left="980" w:hanging="405"/>
        <w:spacing w:after="0" w:line="203"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candor of EY’s communications;</w:t>
      </w:r>
    </w:p>
    <w:p>
      <w:pPr>
        <w:ind w:left="980" w:hanging="405"/>
        <w:spacing w:after="0" w:line="21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ability to respond to changing priorities in the regulatory landscape;</w:t>
      </w:r>
    </w:p>
    <w:p>
      <w:pPr>
        <w:ind w:left="980" w:hanging="405"/>
        <w:spacing w:after="0" w:line="203"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Public Company Accounting Oversight Board (PCAOB) reports and other publicly available information on the firm;</w:t>
      </w:r>
    </w:p>
    <w:p>
      <w:pPr>
        <w:ind w:left="980" w:hanging="405"/>
        <w:spacing w:after="0" w:line="21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charged for audit and non-audit services;</w:t>
      </w:r>
    </w:p>
    <w:p>
      <w:pPr>
        <w:ind w:left="980" w:hanging="405"/>
        <w:spacing w:after="0" w:line="203"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compliance with, and practices regarding, the SEC’s rules requiring lead engagement partner rotation every five years; and</w:t>
      </w:r>
    </w:p>
    <w:p>
      <w:pPr>
        <w:ind w:left="980" w:hanging="405"/>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EY has served as our independent public accountant, the benefits of longer tenure, and the impact of changing auditors.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this evaluation, the Audit Committee determined that it was in the best interests of the Company and our stockholders to continue to</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engage EY as our independent public accountant. This appointment is subject to ratification or rejection by our common stockholders. A representative of Ernst &amp; Young LLP is expected to be present at the Annual Meeting. The representative will have an opportunity to make a statement if he or she so desires and is expected to be available to respond to appropriate questions.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Public Accountant’s Fees</w:t>
      </w:r>
    </w:p>
    <w:p>
      <w:pPr>
        <w:spacing w:after="0" w:line="81" w:lineRule="exact"/>
        <w:rPr>
          <w:sz w:val="20"/>
          <w:szCs w:val="20"/>
          <w:color w:val="auto"/>
        </w:rPr>
      </w:pPr>
    </w:p>
    <w:p>
      <w:pPr>
        <w:jc w:val="both"/>
        <w:ind w:right="240" w:firstLine="648"/>
        <w:spacing w:after="0" w:line="237" w:lineRule="auto"/>
        <w:rPr>
          <w:sz w:val="20"/>
          <w:szCs w:val="20"/>
          <w:color w:val="auto"/>
        </w:rPr>
      </w:pPr>
      <w:r>
        <w:rPr>
          <w:rFonts w:ascii="Times New Roman" w:cs="Times New Roman" w:eastAsia="Times New Roman" w:hAnsi="Times New Roman"/>
          <w:sz w:val="18"/>
          <w:szCs w:val="18"/>
          <w:color w:val="auto"/>
        </w:rPr>
        <w:t>EY performed various audit and other services for us during 2024 and 2023. Fees for professional services provided by EY in 2024 and 2023 in each of the following categories were: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Borders>
              <w:top w:val="single" w:sz="8" w:color="407CCA"/>
              <w:bottom w:val="single" w:sz="8" w:color="407CCA"/>
            </w:tcBorders>
          </w:tcPr>
          <w:p>
            <w:pPr>
              <w:spacing w:after="0"/>
              <w:rPr>
                <w:sz w:val="16"/>
                <w:szCs w:val="16"/>
                <w:color w:val="auto"/>
              </w:rPr>
            </w:pPr>
          </w:p>
        </w:tc>
        <w:tc>
          <w:tcPr>
            <w:tcW w:w="4740" w:type="dxa"/>
            <w:vAlign w:val="bottom"/>
            <w:tcBorders>
              <w:top w:val="single" w:sz="8" w:color="407CCA"/>
              <w:bottom w:val="single" w:sz="8" w:color="407CCA"/>
            </w:tcBorders>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60" w:type="dxa"/>
            <w:vAlign w:val="bottom"/>
            <w:tcBorders>
              <w:top w:val="single" w:sz="8" w:color="407CCA"/>
              <w:bottom w:val="single" w:sz="8" w:color="407CCA"/>
            </w:tcBorders>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5"/>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$2,016,000</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$101,550</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$187,659</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5020" w:type="dxa"/>
            <w:vAlign w:val="bottom"/>
            <w:tcBorders>
              <w:bottom w:val="single" w:sz="8" w:color="407CCA"/>
            </w:tcBorders>
          </w:tcPr>
          <w:p>
            <w:pPr>
              <w:spacing w:after="0"/>
              <w:rPr>
                <w:sz w:val="8"/>
                <w:szCs w:val="8"/>
                <w:color w:val="auto"/>
              </w:rPr>
            </w:pPr>
          </w:p>
        </w:tc>
        <w:tc>
          <w:tcPr>
            <w:tcW w:w="4740" w:type="dxa"/>
            <w:vAlign w:val="bottom"/>
            <w:tcBorders>
              <w:bottom w:val="single" w:sz="8" w:color="407CCA"/>
            </w:tcBorders>
            <w:vMerge w:val="continue"/>
          </w:tcPr>
          <w:p>
            <w:pPr>
              <w:spacing w:after="0"/>
              <w:rPr>
                <w:sz w:val="8"/>
                <w:szCs w:val="8"/>
                <w:color w:val="auto"/>
              </w:rPr>
            </w:pPr>
          </w:p>
        </w:tc>
        <w:tc>
          <w:tcPr>
            <w:tcW w:w="146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$2,117,550</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$2,143,659</w:t>
            </w:r>
          </w:p>
        </w:tc>
        <w:tc>
          <w:tcPr>
            <w:tcW w:w="0" w:type="dxa"/>
            <w:vAlign w:val="bottom"/>
          </w:tcPr>
          <w:p>
            <w:pPr>
              <w:spacing w:after="0"/>
              <w:rPr>
                <w:sz w:val="1"/>
                <w:szCs w:val="1"/>
                <w:color w:val="auto"/>
              </w:rPr>
            </w:pPr>
          </w:p>
        </w:tc>
      </w:tr>
      <w:tr>
        <w:trPr>
          <w:trHeight w:val="95"/>
        </w:trPr>
        <w:tc>
          <w:tcPr>
            <w:tcW w:w="5020" w:type="dxa"/>
            <w:vAlign w:val="bottom"/>
            <w:tcBorders>
              <w:bottom w:val="single" w:sz="8" w:color="407CCA"/>
            </w:tcBorders>
          </w:tcPr>
          <w:p>
            <w:pPr>
              <w:spacing w:after="0"/>
              <w:rPr>
                <w:sz w:val="8"/>
                <w:szCs w:val="8"/>
                <w:color w:val="auto"/>
              </w:rPr>
            </w:pPr>
          </w:p>
        </w:tc>
        <w:tc>
          <w:tcPr>
            <w:tcW w:w="4740" w:type="dxa"/>
            <w:vAlign w:val="bottom"/>
            <w:tcBorders>
              <w:bottom w:val="single" w:sz="8" w:color="407CCA"/>
            </w:tcBorders>
            <w:vMerge w:val="continue"/>
          </w:tcPr>
          <w:p>
            <w:pPr>
              <w:spacing w:after="0"/>
              <w:rPr>
                <w:sz w:val="8"/>
                <w:szCs w:val="8"/>
                <w:color w:val="auto"/>
              </w:rPr>
            </w:pPr>
          </w:p>
        </w:tc>
        <w:tc>
          <w:tcPr>
            <w:tcW w:w="146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Audit Fees</w:t>
      </w:r>
    </w:p>
    <w:p>
      <w:pPr>
        <w:spacing w:after="0" w:line="92" w:lineRule="exact"/>
        <w:rPr>
          <w:sz w:val="20"/>
          <w:szCs w:val="20"/>
          <w:color w:val="auto"/>
        </w:rPr>
      </w:pPr>
    </w:p>
    <w:p>
      <w:pPr>
        <w:jc w:val="both"/>
        <w:ind w:right="240" w:firstLine="648"/>
        <w:spacing w:after="0" w:line="226" w:lineRule="auto"/>
        <w:rPr>
          <w:sz w:val="20"/>
          <w:szCs w:val="20"/>
          <w:color w:val="auto"/>
        </w:rPr>
      </w:pPr>
      <w:r>
        <w:rPr>
          <w:rFonts w:ascii="Times New Roman" w:cs="Times New Roman" w:eastAsia="Times New Roman" w:hAnsi="Times New Roman"/>
          <w:sz w:val="18"/>
          <w:szCs w:val="18"/>
          <w:color w:val="auto"/>
        </w:rPr>
        <w:t>“Audit Fees” relate to fees and expenses billed by EY for the annual audit, including the audit of our financial statements, services required by statute and regulation, audit of internal control over financial reporting, review of our quarterly financial statements, and for comfort letters and consents related to stock issuances.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407CCA"/>
        </w:rPr>
        <w:t>Tax Fees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relate to fees billed for professional services for tax compliance and consulting on tax-related matters.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81"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All services rendered by EY were permissible under applicable laws and regulations and were pre-approved by the Audit Committee for 2024 in accordance with its pre-approval policy. The Audit Committee has established a policy regarding the pre-approval of all audit and permissible non-audit</w:t>
      </w:r>
    </w:p>
    <w:p>
      <w:pPr>
        <w:ind w:right="100"/>
        <w:spacing w:after="0" w:line="220" w:lineRule="auto"/>
        <w:rPr>
          <w:sz w:val="20"/>
          <w:szCs w:val="20"/>
          <w:color w:val="auto"/>
        </w:rPr>
      </w:pPr>
      <w:r>
        <w:rPr>
          <w:rFonts w:ascii="Times New Roman" w:cs="Times New Roman" w:eastAsia="Times New Roman" w:hAnsi="Times New Roman"/>
          <w:sz w:val="17"/>
          <w:szCs w:val="17"/>
          <w:color w:val="auto"/>
        </w:rPr>
        <w:t>services provided by our independent public accountant. The policy requires the Audit Committee to approve each audit or non-audit engagement or accounting project involving the independent public accountant, and the related fees, prior to commencement of the engagement or project to make certain that the provision of such services does not impair the firm’s independence. The committee may delegate its pre-approval authority to one or more of its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 xml:space="preserve">members, and such member(s) are required to report any pre-approval decisions to the Audit Committee at its next meeting. The Audit Committee has delegated authority to its Chair to pre-approve the engagement and related fees of the independent public accountant for any additional audit or permissible non-audit services. In addition, pursuant to the policy, pre-approval is not required for additional non-audit services if such services result in a </w:t>
      </w:r>
      <w:r>
        <w:rPr>
          <w:rFonts w:ascii="Times New Roman" w:cs="Times New Roman" w:eastAsia="Times New Roman" w:hAnsi="Times New Roman"/>
          <w:sz w:val="17"/>
          <w:szCs w:val="17"/>
          <w:i w:val="1"/>
          <w:iCs w:val="1"/>
          <w:color w:val="auto"/>
        </w:rPr>
        <w:t>de minimus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less than 5% of the total annual fees paid by us to the independent public accountant during</w:t>
      </w:r>
    </w:p>
    <w:p>
      <w:pPr>
        <w:sectPr>
          <w:pgSz w:w="11900" w:h="16838" w:orient="portrait"/>
          <w:cols w:equalWidth="0" w:num="1">
            <w:col w:w="11240"/>
          </w:cols>
          <w:pgMar w:left="320" w:top="104" w:right="339" w:bottom="1440" w:gutter="0" w:footer="0" w:header="0"/>
        </w:sectPr>
      </w:pPr>
    </w:p>
    <w:p>
      <w:pPr>
        <w:spacing w:after="0" w:line="320"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4: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the fiscal year in which the non-audit services are provided, were not recognized by us at the time of engagement to be non-audit services, and are reported to the Audit Committee promptly thereafter and approved prior to the completion of the annual audit.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9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The affirmative vote of the holders of a majority of all shares of our common stock cast on the proposal is required to ratify the appointment of our independent public accountant. Abstentions will have no effect on the outcome of the proposal. 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ERNST &amp; YOUNG LLP AS OUR INDEPENDENT PUBLIC ACCOUNTANT FOR 2025.</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REPORT OF THE AUDIT COMMITTEE</w:t>
      </w:r>
    </w:p>
    <w:p>
      <w:pPr>
        <w:spacing w:after="0" w:line="18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Board of Directors has appointed an Audit Committee presently composed of four directors, Mss. Blank, Larocca, and Spark and</w:t>
      </w:r>
    </w:p>
    <w:p>
      <w:pPr>
        <w:ind w:right="320"/>
        <w:spacing w:after="0" w:line="226" w:lineRule="auto"/>
        <w:rPr>
          <w:sz w:val="20"/>
          <w:szCs w:val="20"/>
          <w:color w:val="auto"/>
        </w:rPr>
      </w:pPr>
      <w:r>
        <w:rPr>
          <w:rFonts w:ascii="Times New Roman" w:cs="Times New Roman" w:eastAsia="Times New Roman" w:hAnsi="Times New Roman"/>
          <w:sz w:val="18"/>
          <w:szCs w:val="18"/>
          <w:color w:val="auto"/>
        </w:rPr>
        <w:t>Mr. Johnson. Each of the directors is independent as defined in the Nasdaq rules. The Board of Directors has determined that Mss. Blank and Spark are each an “audit committee financial expert” (as defined in Item 407 of Regulation S-K under the Securities Act).</w:t>
      </w:r>
    </w:p>
    <w:p>
      <w:pPr>
        <w:spacing w:after="0" w:line="171"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The Audit Committee’s responsibility is one of oversight as set forth in its charter, which is available in the Investors section of our website at ir.agnc.com/corporate-governance-documents. It is not the duty of the Audit Committee to prepare our financial statements, to plan or conduct audits, or to determine that our financial statements are complete and accurate and are in accordance with U.S. generally accepted accounting principles. Our</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management is responsible for preparing our financial statements and for maintaining internal controls. The independent auditors are responsible for auditing the financial statements and for expressing an opinion as to whether those audited financial statements fairly present our financial position, results of operations, and cash flows in conformity with U.S. generally accepted accounting principles.</w:t>
      </w:r>
    </w:p>
    <w:p>
      <w:pPr>
        <w:spacing w:after="0" w:line="172"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consolidated financial statements with management and with Ernst &amp; Young LLP, our independent auditors for 2024.</w:t>
      </w:r>
    </w:p>
    <w:p>
      <w:pPr>
        <w:spacing w:after="0" w:line="15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the matters required to be discussed by the applicable requirements of the Public Company Accounting Oversight Board and the Securities and Exchange Commission.</w:t>
      </w:r>
    </w:p>
    <w:p>
      <w:pPr>
        <w:spacing w:after="0" w:line="149"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7"/>
          <w:szCs w:val="17"/>
          <w:color w:val="auto"/>
        </w:rPr>
        <w:t>The Audit Committee has received from Ernst &amp; Young LLP the written statements required by Public Company Accounting Oversight Board Rule No.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has discussed Ernst &amp; Young LLP’s independence with Ernst &amp;</w:t>
      </w:r>
    </w:p>
    <w:p>
      <w:pPr>
        <w:spacing w:after="0"/>
        <w:rPr>
          <w:sz w:val="20"/>
          <w:szCs w:val="20"/>
          <w:color w:val="auto"/>
        </w:rPr>
      </w:pPr>
      <w:r>
        <w:rPr>
          <w:rFonts w:ascii="Times New Roman" w:cs="Times New Roman" w:eastAsia="Times New Roman" w:hAnsi="Times New Roman"/>
          <w:sz w:val="18"/>
          <w:szCs w:val="18"/>
          <w:color w:val="auto"/>
        </w:rPr>
        <w:t>Young LLP, and has considered the compatibility of non-audit services with the auditor’s independence.</w:t>
      </w:r>
    </w:p>
    <w:p>
      <w:pPr>
        <w:spacing w:after="0" w:line="16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for the year ended December 31, 2024 be included in our annual report on Form 10-K for the year ended December 31, 2024, for filing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Securities and Exchange Commission.</w:t>
      </w:r>
    </w:p>
    <w:p>
      <w:pPr>
        <w:spacing w:after="0" w:line="165"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 Audit Committee has approved the appointment of Ernst &amp; Young LLP to serve as our independent public accountants for the year ending December 31, 2025 and has directed that the appointment of Ernst &amp; Young LLP be submitted to our stockholders for ratification.</w:t>
      </w:r>
    </w:p>
    <w:p>
      <w:pPr>
        <w:spacing w:after="0" w:line="16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By the Audit Committee:</w:t>
      </w:r>
    </w:p>
    <w:p>
      <w:pPr>
        <w:ind w:left="6480"/>
        <w:spacing w:after="0" w:line="203" w:lineRule="auto"/>
        <w:rPr>
          <w:sz w:val="20"/>
          <w:szCs w:val="20"/>
          <w:color w:val="auto"/>
        </w:rPr>
      </w:pPr>
      <w:r>
        <w:rPr>
          <w:rFonts w:ascii="Times New Roman" w:cs="Times New Roman" w:eastAsia="Times New Roman" w:hAnsi="Times New Roman"/>
          <w:sz w:val="18"/>
          <w:szCs w:val="18"/>
          <w:color w:val="auto"/>
        </w:rPr>
        <w:t>Donna J. Blank, Chair</w:t>
      </w:r>
    </w:p>
    <w:p>
      <w:pPr>
        <w:ind w:left="6480"/>
        <w:spacing w:after="0" w:line="219" w:lineRule="auto"/>
        <w:rPr>
          <w:sz w:val="20"/>
          <w:szCs w:val="20"/>
          <w:color w:val="auto"/>
        </w:rPr>
      </w:pPr>
      <w:r>
        <w:rPr>
          <w:rFonts w:ascii="Times New Roman" w:cs="Times New Roman" w:eastAsia="Times New Roman" w:hAnsi="Times New Roman"/>
          <w:sz w:val="18"/>
          <w:szCs w:val="18"/>
          <w:color w:val="auto"/>
        </w:rPr>
        <w:t>Andrew A. Johnson, Jr.</w:t>
      </w:r>
    </w:p>
    <w:p>
      <w:pPr>
        <w:ind w:left="6480"/>
        <w:spacing w:after="0" w:line="204" w:lineRule="auto"/>
        <w:rPr>
          <w:sz w:val="20"/>
          <w:szCs w:val="20"/>
          <w:color w:val="auto"/>
        </w:rPr>
      </w:pPr>
      <w:r>
        <w:rPr>
          <w:rFonts w:ascii="Times New Roman" w:cs="Times New Roman" w:eastAsia="Times New Roman" w:hAnsi="Times New Roman"/>
          <w:sz w:val="18"/>
          <w:szCs w:val="18"/>
          <w:color w:val="auto"/>
        </w:rPr>
        <w:t>Prue B. Larocca</w:t>
      </w:r>
    </w:p>
    <w:p>
      <w:pPr>
        <w:ind w:left="6480"/>
        <w:spacing w:after="0"/>
        <w:rPr>
          <w:sz w:val="20"/>
          <w:szCs w:val="20"/>
          <w:color w:val="auto"/>
        </w:rPr>
      </w:pPr>
      <w:r>
        <w:rPr>
          <w:rFonts w:ascii="Times New Roman" w:cs="Times New Roman" w:eastAsia="Times New Roman" w:hAnsi="Times New Roman"/>
          <w:sz w:val="18"/>
          <w:szCs w:val="18"/>
          <w:color w:val="auto"/>
        </w:rPr>
        <w:t>Frances R. Spark</w:t>
      </w:r>
    </w:p>
    <w:p>
      <w:pPr>
        <w:spacing w:after="0" w:line="334"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407CCA"/>
        </w:rPr>
        <w:t>EXECUTIVE OFFICERS OF REGISTRANT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Biographies</w:t>
      </w:r>
    </w:p>
    <w:p>
      <w:pPr>
        <w:spacing w:after="0" w:line="81"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The Board generally elects officers annually following our annual meeting of stockholders to serve until the meeting of the Board following the next annual meeting. Set forth below is certain information about each executive officer as of February 21, 2025. The business address of each executive</w:t>
      </w:r>
    </w:p>
    <w:p>
      <w:pPr>
        <w:spacing w:after="0"/>
        <w:rPr>
          <w:sz w:val="20"/>
          <w:szCs w:val="20"/>
          <w:color w:val="auto"/>
        </w:rPr>
      </w:pPr>
      <w:r>
        <w:rPr>
          <w:rFonts w:ascii="Times New Roman" w:cs="Times New Roman" w:eastAsia="Times New Roman" w:hAnsi="Times New Roman"/>
          <w:sz w:val="18"/>
          <w:szCs w:val="18"/>
          <w:color w:val="auto"/>
        </w:rPr>
        <w:t>officer is c/o AGNC Investment Corp., 7373 Wisconsin Avenue, 22nd Floor, Bethesda, Maryland 20814.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J. FEDERICO, 58</w:t>
      </w:r>
    </w:p>
    <w:p>
      <w:pPr>
        <w:spacing w:after="0"/>
        <w:rPr>
          <w:sz w:val="20"/>
          <w:szCs w:val="20"/>
          <w:color w:val="auto"/>
        </w:rPr>
      </w:pPr>
      <w:r>
        <w:rPr>
          <w:rFonts w:ascii="Times New Roman" w:cs="Times New Roman" w:eastAsia="Times New Roman" w:hAnsi="Times New Roman"/>
          <w:sz w:val="18"/>
          <w:szCs w:val="18"/>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Mr. Federico has served as a Director and as our Chief Executive Officer since July 2021 and as our President since March 2018. He previously served as our Chief Operating Officer from March 2018 until July 2021, Executive Vice President and Chief Financial Officer from July 2016 until March 2018, and</w:t>
      </w:r>
    </w:p>
    <w:p>
      <w:pPr>
        <w:spacing w:after="0" w:line="203" w:lineRule="auto"/>
        <w:rPr>
          <w:sz w:val="20"/>
          <w:szCs w:val="20"/>
          <w:color w:val="auto"/>
        </w:rPr>
      </w:pPr>
      <w:r>
        <w:rPr>
          <w:rFonts w:ascii="Times New Roman" w:cs="Times New Roman" w:eastAsia="Times New Roman" w:hAnsi="Times New Roman"/>
          <w:sz w:val="18"/>
          <w:szCs w:val="18"/>
          <w:color w:val="auto"/>
        </w:rPr>
        <w:t>Senior Vice President and Chief Risk Officer from June 2011 until July 2016. Further information about Mr. Federico may be found under “Proposal 1:</w:t>
      </w:r>
    </w:p>
    <w:p>
      <w:pPr>
        <w:spacing w:after="0"/>
        <w:rPr>
          <w:sz w:val="20"/>
          <w:szCs w:val="20"/>
          <w:color w:val="auto"/>
        </w:rPr>
      </w:pPr>
      <w:r>
        <w:rPr>
          <w:rFonts w:ascii="Times New Roman" w:cs="Times New Roman" w:eastAsia="Times New Roman" w:hAnsi="Times New Roman"/>
          <w:sz w:val="18"/>
          <w:szCs w:val="18"/>
          <w:color w:val="auto"/>
        </w:rPr>
        <w:t>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GARY D. KAIN, 59</w:t>
      </w:r>
    </w:p>
    <w:p>
      <w:pPr>
        <w:spacing w:after="0"/>
        <w:rPr>
          <w:sz w:val="20"/>
          <w:szCs w:val="20"/>
          <w:color w:val="auto"/>
        </w:rPr>
      </w:pPr>
      <w:r>
        <w:rPr>
          <w:rFonts w:ascii="Times New Roman" w:cs="Times New Roman" w:eastAsia="Times New Roman" w:hAnsi="Times New Roman"/>
          <w:sz w:val="18"/>
          <w:szCs w:val="18"/>
          <w:i w:val="1"/>
          <w:iCs w:val="1"/>
          <w:color w:val="auto"/>
        </w:rPr>
        <w:t>Director,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Kain has served as a Director since 2016 and as our Executive Chair since July 2021. He previously served as our Chief Executive Officer from March</w:t>
      </w:r>
    </w:p>
    <w:p>
      <w:pPr>
        <w:spacing w:after="0" w:line="14"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18"/>
          <w:szCs w:val="18"/>
          <w:color w:val="auto"/>
        </w:rPr>
        <w:t>2016 through July 2021, Chief Investment Officer from January 2009 through July 2021, and President from April 2011 until March 2018. Further information about Mr. Kain may be found under “Proposal 1: 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J. KUEHL, 51</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Mr. Kuehl has served as our Chief Investment Officer since July 2021 and as an Executive Vice President since November 2016. He was previously a Senior Vice President from March 2012 through October 2016.</w:t>
      </w:r>
    </w:p>
    <w:p>
      <w:pPr>
        <w:spacing w:after="0" w:line="149"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Prior to joining AGNC Investment Corp., Mr. Kuehl served as Vice President of Mortgage Investments &amp; Structuring of Freddie Mac. In this capacity, Mr. Kuehl was responsible for directing Freddie Mac’s purchases, sales, and structuring activities for all MBS products, including fixed-rate mortgages,</w:t>
      </w:r>
    </w:p>
    <w:p>
      <w:pPr>
        <w:spacing w:after="0"/>
        <w:rPr>
          <w:sz w:val="20"/>
          <w:szCs w:val="20"/>
          <w:color w:val="auto"/>
        </w:rPr>
      </w:pPr>
      <w:r>
        <w:rPr>
          <w:rFonts w:ascii="Times New Roman" w:cs="Times New Roman" w:eastAsia="Times New Roman" w:hAnsi="Times New Roman"/>
          <w:sz w:val="18"/>
          <w:szCs w:val="18"/>
          <w:color w:val="auto"/>
        </w:rPr>
        <w:t>ARMs, and CMOs. Prior to joining Freddie Mac in 2000, Mr. Kuehl was a Portfolio Manager with TeleBank/Etrade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BERNICE E. BELL, 53</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Bell has served as our Executive Vice President since January 2022 and Chief Financial Officer since March 2018. Ms. Bell previously served as</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Senior Vice President from January 2016 to January 2022, Chief Accounting Officer from January 2016 to March 2018, Vice President from April 2011 to January 2016, and as our Controller from 2008 through December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AGNC Investment Corp., Ms. Bell served as the Vice President and Controller of American Capital, Ltd. from July 2003 to December</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2009. Prior to joining American Capital, Ms. Bell was the Vice President and Controller of certain privately-held companies engaged in the business of telecommunications and software development from July 1998 to June 2003 and was with the accounting firm Price Waterhouse, LLP from July 1994 to June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L. POLLACK, 57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Mr. Pollack has served as our Executive Vice President since January 2022 and our General Counsel, Chief Compliance Officer, and Secretary since July 2016. Mr. Pollack previously served as Senior Vice President from July 2016 until January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AGNC Investment Corp., Mr. Pollack was Senior Vice President and Deputy General Counsel of American Capital, Ltd. At American</w:t>
      </w:r>
    </w:p>
    <w:p>
      <w:pPr>
        <w:spacing w:after="0" w:line="205" w:lineRule="auto"/>
        <w:rPr>
          <w:sz w:val="20"/>
          <w:szCs w:val="20"/>
          <w:color w:val="auto"/>
        </w:rPr>
      </w:pPr>
      <w:r>
        <w:rPr>
          <w:rFonts w:ascii="Times New Roman" w:cs="Times New Roman" w:eastAsia="Times New Roman" w:hAnsi="Times New Roman"/>
          <w:sz w:val="18"/>
          <w:szCs w:val="18"/>
          <w:color w:val="auto"/>
        </w:rPr>
        <w:t>Capital, Mr. Pollack served as lead counsel for American Capital’s portfolio investment activities in the areas of Real Estate, U.S. Sponsor Finance,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Buyouts, International Power, Special Situations, Operations, and Financial Restructuring.</w:t>
      </w:r>
    </w:p>
    <w:p>
      <w:pPr>
        <w:sectPr>
          <w:pgSz w:w="11900" w:h="16838" w:orient="portrait"/>
          <w:cols w:equalWidth="0" w:num="1">
            <w:col w:w="11180"/>
          </w:cols>
          <w:pgMar w:left="320" w:top="104" w:right="399" w:bottom="1440" w:gutter="0" w:footer="0" w:header="0"/>
        </w:sectPr>
      </w:pPr>
    </w:p>
    <w:p>
      <w:pPr>
        <w:spacing w:after="0" w:line="33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Mr. Pollack joined American Capital in 2004. Prior to American Capital, Mr. Pollack was an Associate in the Corporate &amp; Securities and Real Estate practice groups of Arnold &amp;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SEAN P. REID, 49</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Reid has served as our Executive Vice President, Strategy and Corporate Development since January 2022. He previously served as Senior Vice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President from July 2016 until January 2022 and as Senior Vice President, Corporate and Business Development for our former manager from August 2013 to July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Reid was previously a Vice President in the Washington, D.C. Buyouts group of American Capital, Ltd. and, prior to that, an Assistant General Counsel</w:t>
      </w:r>
    </w:p>
    <w:p>
      <w:pPr>
        <w:spacing w:after="0" w:line="14"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with American Capital’s in-house legal team. Prior to joining American Capital, Mr. Reid was an Associate in the Corporate &amp; Securities practice group of Covington &amp; Burling in Washington, D.C.</w:t>
      </w:r>
    </w:p>
    <w:p>
      <w:pPr>
        <w:spacing w:after="0" w:line="32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20" w:type="dxa"/>
            <w:vAlign w:val="bottom"/>
          </w:tcPr>
          <w:p>
            <w:pPr>
              <w:spacing w:after="0"/>
              <w:rPr>
                <w:sz w:val="24"/>
                <w:szCs w:val="24"/>
                <w:color w:val="auto"/>
              </w:rPr>
            </w:pPr>
          </w:p>
        </w:tc>
        <w:tc>
          <w:tcPr>
            <w:tcW w:w="8120" w:type="dxa"/>
            <w:vAlign w:val="bottom"/>
          </w:tcPr>
          <w:p>
            <w:pPr>
              <w:jc w:val="center"/>
              <w:ind w:right="3028"/>
              <w:spacing w:after="0"/>
              <w:rPr>
                <w:sz w:val="20"/>
                <w:szCs w:val="20"/>
                <w:color w:val="auto"/>
              </w:rPr>
            </w:pPr>
            <w:r>
              <w:rPr>
                <w:rFonts w:ascii="Times New Roman" w:cs="Times New Roman" w:eastAsia="Times New Roman" w:hAnsi="Times New Roman"/>
                <w:sz w:val="22"/>
                <w:szCs w:val="22"/>
                <w:b w:val="1"/>
                <w:bCs w:val="1"/>
                <w:color w:val="407CCA"/>
                <w:w w:val="97"/>
              </w:rPr>
              <w:t>EXECUTIVE COMPENSATION</w:t>
            </w:r>
          </w:p>
        </w:tc>
      </w:tr>
      <w:tr>
        <w:trPr>
          <w:trHeight w:val="393"/>
        </w:trPr>
        <w:tc>
          <w:tcPr>
            <w:tcW w:w="3120" w:type="dxa"/>
            <w:vAlign w:val="bottom"/>
          </w:tcPr>
          <w:p>
            <w:pPr>
              <w:spacing w:after="0"/>
              <w:rPr>
                <w:sz w:val="24"/>
                <w:szCs w:val="24"/>
                <w:color w:val="auto"/>
              </w:rPr>
            </w:pPr>
          </w:p>
        </w:tc>
        <w:tc>
          <w:tcPr>
            <w:tcW w:w="8120" w:type="dxa"/>
            <w:vAlign w:val="bottom"/>
          </w:tcPr>
          <w:p>
            <w:pPr>
              <w:jc w:val="center"/>
              <w:ind w:right="3028"/>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tc>
      </w:tr>
      <w:tr>
        <w:trPr>
          <w:trHeight w:val="392"/>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 Named Executive Officers</w:t>
            </w:r>
          </w:p>
        </w:tc>
        <w:tc>
          <w:tcPr>
            <w:tcW w:w="8120" w:type="dxa"/>
            <w:vAlign w:val="bottom"/>
          </w:tcPr>
          <w:p>
            <w:pPr>
              <w:spacing w:after="0"/>
              <w:rPr>
                <w:sz w:val="24"/>
                <w:szCs w:val="24"/>
                <w:color w:val="auto"/>
              </w:rPr>
            </w:pPr>
          </w:p>
        </w:tc>
      </w:tr>
      <w:tr>
        <w:trPr>
          <w:trHeight w:val="283"/>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NEOs for 2024 are:</w:t>
            </w:r>
          </w:p>
        </w:tc>
        <w:tc>
          <w:tcPr>
            <w:tcW w:w="8120" w:type="dxa"/>
            <w:vAlign w:val="bottom"/>
          </w:tcPr>
          <w:p>
            <w:pPr>
              <w:spacing w:after="0"/>
              <w:rPr>
                <w:sz w:val="24"/>
                <w:szCs w:val="24"/>
                <w:color w:val="auto"/>
              </w:rPr>
            </w:pPr>
          </w:p>
        </w:tc>
      </w:tr>
      <w:tr>
        <w:trPr>
          <w:trHeight w:val="229"/>
        </w:trPr>
        <w:tc>
          <w:tcPr>
            <w:tcW w:w="31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r>
      <w:tr>
        <w:trPr>
          <w:trHeight w:val="358"/>
        </w:trPr>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120" w:type="dxa"/>
            <w:vAlign w:val="bottom"/>
            <w:tcBorders>
              <w:bottom w:val="single" w:sz="8" w:color="auto"/>
            </w:tcBorders>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7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9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D. Kain</w:t>
            </w:r>
          </w:p>
        </w:tc>
        <w:tc>
          <w:tcPr>
            <w:tcW w:w="8120" w:type="dxa"/>
            <w:vAlign w:val="bottom"/>
          </w:tcPr>
          <w:p>
            <w:pPr>
              <w:jc w:val="center"/>
              <w:ind w:right="508"/>
              <w:spacing w:after="0"/>
              <w:rPr>
                <w:sz w:val="20"/>
                <w:szCs w:val="20"/>
                <w:color w:val="auto"/>
              </w:rPr>
            </w:pPr>
            <w:r>
              <w:rPr>
                <w:rFonts w:ascii="Times New Roman" w:cs="Times New Roman" w:eastAsia="Times New Roman" w:hAnsi="Times New Roman"/>
                <w:sz w:val="18"/>
                <w:szCs w:val="18"/>
                <w:color w:val="auto"/>
                <w:w w:val="99"/>
              </w:rPr>
              <w:t>Executive Chair</w:t>
            </w:r>
          </w:p>
        </w:tc>
      </w:tr>
      <w:tr>
        <w:trPr>
          <w:trHeight w:val="28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Kuehl</w:t>
            </w:r>
          </w:p>
        </w:tc>
        <w:tc>
          <w:tcPr>
            <w:tcW w:w="8120" w:type="dxa"/>
            <w:vAlign w:val="bottom"/>
          </w:tcPr>
          <w:p>
            <w:pPr>
              <w:jc w:val="center"/>
              <w:ind w:right="508"/>
              <w:spacing w:after="0"/>
              <w:rPr>
                <w:sz w:val="20"/>
                <w:szCs w:val="20"/>
                <w:color w:val="auto"/>
              </w:rPr>
            </w:pPr>
            <w:r>
              <w:rPr>
                <w:rFonts w:ascii="Times New Roman" w:cs="Times New Roman" w:eastAsia="Times New Roman" w:hAnsi="Times New Roman"/>
                <w:sz w:val="18"/>
                <w:szCs w:val="18"/>
                <w:color w:val="auto"/>
                <w:w w:val="99"/>
              </w:rPr>
              <w:t>Executive Vice President and Chief Investment Officer</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L. Pollack</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General Counsel, Chief Compliance Officer, and Secretary</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P. Reid</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Strategy and Corporate Development</w:t>
            </w:r>
          </w:p>
        </w:tc>
      </w:tr>
      <w:tr>
        <w:trPr>
          <w:trHeight w:val="68"/>
        </w:trPr>
        <w:tc>
          <w:tcPr>
            <w:tcW w:w="3120" w:type="dxa"/>
            <w:vAlign w:val="bottom"/>
            <w:tcBorders>
              <w:bottom w:val="single" w:sz="8" w:color="auto"/>
            </w:tcBorders>
          </w:tcPr>
          <w:p>
            <w:pPr>
              <w:spacing w:after="0"/>
              <w:rPr>
                <w:sz w:val="5"/>
                <w:szCs w:val="5"/>
                <w:color w:val="auto"/>
              </w:rPr>
            </w:pPr>
          </w:p>
        </w:tc>
        <w:tc>
          <w:tcPr>
            <w:tcW w:w="81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on our executive compensation philosophy, objectives, structure, and our process for setting compensation for our named executive officers, or NEOs.</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ind w:right="120" w:firstLine="648"/>
        <w:spacing w:after="0" w:line="229" w:lineRule="auto"/>
        <w:rPr>
          <w:sz w:val="20"/>
          <w:szCs w:val="20"/>
          <w:color w:val="auto"/>
        </w:rPr>
      </w:pPr>
      <w:r>
        <w:rPr>
          <w:rFonts w:ascii="Times New Roman" w:cs="Times New Roman" w:eastAsia="Times New Roman" w:hAnsi="Times New Roman"/>
          <w:sz w:val="17"/>
          <w:szCs w:val="17"/>
          <w:color w:val="auto"/>
        </w:rPr>
        <w:t>AGNC is a leading provider of private capital to the U.S. housing market, enhancing liquidity in the residential real estate mortgage markets and, in turn, facilitating homeownership in the U.S. AGNC is an internally managed REIT that invests predominantly in Agency residential mortgage-backed securities funded through a combination of equity capital and collateralized borrowings structured as repurchase agreements. We seek to provide investors</w:t>
      </w: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with favorable long-term returns on a risk-adjusted basis with a substantial dividend yield component. We generate income from the interest earned on our investment assets, net of associated borrowing and hedging costs, and net realized gains and losses on our investments and hedging activities. As such, our business operations are similar to investment managers that focus on fixed income investments, although we invest AGNC’s capital rather than third-party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funds.</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40575" cy="64636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6463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07CCA"/>
        </w:rPr>
        <w:t>2024 Performance Highlights</w:t>
      </w:r>
    </w:p>
    <w:p>
      <w:pPr>
        <w:spacing w:after="0" w:line="200" w:lineRule="exact"/>
        <w:rPr>
          <w:sz w:val="20"/>
          <w:szCs w:val="20"/>
          <w:color w:val="auto"/>
        </w:rPr>
      </w:pPr>
    </w:p>
    <w:p>
      <w:pPr>
        <w:spacing w:after="0" w:line="296" w:lineRule="exact"/>
        <w:rPr>
          <w:sz w:val="20"/>
          <w:szCs w:val="20"/>
          <w:color w:val="auto"/>
        </w:rPr>
      </w:pPr>
    </w:p>
    <w:p>
      <w:pPr>
        <w:ind w:left="40" w:right="40" w:firstLine="648"/>
        <w:spacing w:after="0" w:line="220" w:lineRule="auto"/>
        <w:rPr>
          <w:sz w:val="20"/>
          <w:szCs w:val="20"/>
          <w:color w:val="auto"/>
        </w:rPr>
      </w:pPr>
      <w:r>
        <w:rPr>
          <w:rFonts w:ascii="Times New Roman" w:cs="Times New Roman" w:eastAsia="Times New Roman" w:hAnsi="Times New Roman"/>
          <w:sz w:val="18"/>
          <w:szCs w:val="18"/>
          <w:color w:val="auto"/>
        </w:rPr>
        <w:t>AGNC significantly outperformed our Agency REIT Peer Group</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across relevant metrics in 2024, generating a best-in-class annual economic return of 13.2%, which exceeded the next closest peer by over 1.2 percentage points and materially exceeded the Agency REIT Peer Group average by 7.6 percentage points. AGNC also maintained a substantial price-to-tangible book value premium throughout 2024 both on an absolute basis at 113.4% and relative to the Agency REIT Peer Group average of 95.7%, again placing first in the peer group by over 14.0 percentage points. AGNC generated these favorable results while maintaining the lowest cost operating structure relative to the other Agency REIT Peer Group members.We also executed upon a number of strategic and operational initiatives in 2024 to further enhance our franchise value and operational resiliency.</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Highlights of our financial performance in 2024 include:</w:t>
      </w:r>
    </w:p>
    <w:p>
      <w:pPr>
        <w:spacing w:after="0" w:line="239" w:lineRule="exact"/>
        <w:rPr>
          <w:sz w:val="20"/>
          <w:szCs w:val="20"/>
          <w:color w:val="auto"/>
        </w:rPr>
      </w:pPr>
    </w:p>
    <w:p>
      <w:pPr>
        <w:ind w:left="1100" w:right="120" w:hanging="413"/>
        <w:spacing w:after="0" w:line="250"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economic return of 13.2%, which was the highest return within our Agency REIT Peer Group and materially exceeded our Agency REIT Peer Group average return of 5.6%</w:t>
      </w:r>
    </w:p>
    <w:p>
      <w:pPr>
        <w:spacing w:after="0" w:line="95" w:lineRule="exact"/>
        <w:rPr>
          <w:rFonts w:ascii="Times New Roman" w:cs="Times New Roman" w:eastAsia="Times New Roman" w:hAnsi="Times New Roman"/>
          <w:sz w:val="18"/>
          <w:szCs w:val="18"/>
          <w:color w:val="auto"/>
        </w:rPr>
      </w:pPr>
    </w:p>
    <w:p>
      <w:pPr>
        <w:ind w:left="1100" w:right="380" w:hanging="413"/>
        <w:spacing w:after="0" w:line="258"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Price-to-Tangible Book Value Ratio of 113.4%, which was the highest average within our Agency REIT Peer Group by a wide margin (over 14.0 percentage points)</w:t>
      </w:r>
      <w:r>
        <w:rPr>
          <w:rFonts w:ascii="Times New Roman" w:cs="Times New Roman" w:eastAsia="Times New Roman" w:hAnsi="Times New Roman"/>
          <w:sz w:val="23"/>
          <w:szCs w:val="23"/>
          <w:color w:val="auto"/>
          <w:vertAlign w:val="superscript"/>
        </w:rPr>
        <w:t>2</w:t>
      </w:r>
    </w:p>
    <w:p>
      <w:pPr>
        <w:spacing w:after="0" w:line="19" w:lineRule="exact"/>
        <w:rPr>
          <w:rFonts w:ascii="Times New Roman" w:cs="Times New Roman" w:eastAsia="Times New Roman" w:hAnsi="Times New Roman"/>
          <w:sz w:val="18"/>
          <w:szCs w:val="18"/>
          <w:color w:val="auto"/>
        </w:rPr>
      </w:pPr>
    </w:p>
    <w:p>
      <w:pPr>
        <w:ind w:left="1100" w:right="400" w:hanging="413"/>
        <w:spacing w:after="0" w:line="270"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2024 of 1.24% of average stockholders’ equity, which was the lowest among residential mortgage REITs and a fraction of the average of our Agency REIT Peer Group at 3.57%</w:t>
      </w:r>
      <w:r>
        <w:rPr>
          <w:rFonts w:ascii="Times New Roman" w:cs="Times New Roman" w:eastAsia="Times New Roman" w:hAnsi="Times New Roman"/>
          <w:sz w:val="23"/>
          <w:szCs w:val="23"/>
          <w:color w:val="auto"/>
          <w:vertAlign w:val="superscript"/>
        </w:rPr>
        <w:t>3</w:t>
      </w:r>
    </w:p>
    <w:p>
      <w:pPr>
        <w:spacing w:after="0" w:line="104" w:lineRule="exact"/>
        <w:rPr>
          <w:sz w:val="20"/>
          <w:szCs w:val="20"/>
          <w:color w:val="auto"/>
        </w:rPr>
      </w:pPr>
    </w:p>
    <w:p>
      <w:pPr>
        <w:ind w:left="40" w:right="26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strong financial performance relative to our Agency REIT Peer Group, we also completed or advanced a number of strategic and operational initiatives in 2024:</w:t>
      </w:r>
    </w:p>
    <w:p>
      <w:pPr>
        <w:spacing w:after="0" w:line="190" w:lineRule="exact"/>
        <w:rPr>
          <w:sz w:val="20"/>
          <w:szCs w:val="20"/>
          <w:color w:val="auto"/>
        </w:rPr>
      </w:pPr>
    </w:p>
    <w:p>
      <w:pPr>
        <w:ind w:left="1100" w:right="360" w:hanging="413"/>
        <w:spacing w:after="0" w:line="266"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$2.0 billion of common equity through our ATM program at a significant premium to tangible book value, generating significant accretion for our stockholders</w:t>
      </w:r>
    </w:p>
    <w:p>
      <w:pPr>
        <w:spacing w:after="0" w:line="175" w:lineRule="exact"/>
        <w:rPr>
          <w:rFonts w:ascii="Times New Roman" w:cs="Times New Roman" w:eastAsia="Times New Roman" w:hAnsi="Times New Roman"/>
          <w:sz w:val="18"/>
          <w:szCs w:val="18"/>
          <w:color w:val="auto"/>
        </w:rPr>
      </w:pPr>
    </w:p>
    <w:p>
      <w:pPr>
        <w:ind w:left="1080" w:hanging="39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accounting closing procedures through use of increased automation</w:t>
      </w:r>
    </w:p>
    <w:p>
      <w:pPr>
        <w:spacing w:after="0" w:line="130" w:lineRule="exact"/>
        <w:rPr>
          <w:rFonts w:ascii="Times New Roman" w:cs="Times New Roman" w:eastAsia="Times New Roman" w:hAnsi="Times New Roman"/>
          <w:sz w:val="18"/>
          <w:szCs w:val="18"/>
          <w:color w:val="auto"/>
        </w:rPr>
      </w:pPr>
    </w:p>
    <w:p>
      <w:pPr>
        <w:ind w:left="1100" w:right="680" w:hanging="413"/>
        <w:spacing w:after="0" w:line="250"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“haircut” or discount assessed to our pledged collateral for bilateral repo transactions, further improving our operating efficiency and increasing stockholder returns</w:t>
      </w:r>
    </w:p>
    <w:p>
      <w:pPr>
        <w:spacing w:after="0" w:line="95" w:lineRule="exact"/>
        <w:rPr>
          <w:rFonts w:ascii="Times New Roman" w:cs="Times New Roman" w:eastAsia="Times New Roman" w:hAnsi="Times New Roman"/>
          <w:sz w:val="18"/>
          <w:szCs w:val="18"/>
          <w:color w:val="auto"/>
        </w:rPr>
      </w:pPr>
    </w:p>
    <w:p>
      <w:pPr>
        <w:ind w:left="1080" w:hanging="39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new cash management controls, further enhancing payment security and improving fraud controls</w:t>
      </w:r>
    </w:p>
    <w:p>
      <w:pPr>
        <w:spacing w:after="0" w:line="130" w:lineRule="exact"/>
        <w:rPr>
          <w:rFonts w:ascii="Times New Roman" w:cs="Times New Roman" w:eastAsia="Times New Roman" w:hAnsi="Times New Roman"/>
          <w:sz w:val="18"/>
          <w:szCs w:val="18"/>
          <w:color w:val="auto"/>
        </w:rPr>
      </w:pPr>
    </w:p>
    <w:p>
      <w:pPr>
        <w:ind w:left="1100" w:right="80" w:hanging="413"/>
        <w:spacing w:after="0" w:line="250"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data resiliency by implementing immutable backups on AWS Backup with Vault Lock, further protecting against ransomware and enabling fast, reliable recovery</w:t>
      </w:r>
    </w:p>
    <w:p>
      <w:pPr>
        <w:spacing w:after="0" w:line="95" w:lineRule="exact"/>
        <w:rPr>
          <w:rFonts w:ascii="Times New Roman" w:cs="Times New Roman" w:eastAsia="Times New Roman" w:hAnsi="Times New Roman"/>
          <w:sz w:val="18"/>
          <w:szCs w:val="18"/>
          <w:color w:val="auto"/>
        </w:rPr>
      </w:pPr>
    </w:p>
    <w:p>
      <w:pPr>
        <w:ind w:left="1100" w:right="300" w:hanging="413"/>
        <w:spacing w:after="0" w:line="250"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external messaging to include market commentary and perspective pieces to increase knowledge and understanding of the Agency MBS markets</w:t>
      </w:r>
    </w:p>
    <w:p>
      <w:pPr>
        <w:spacing w:after="0" w:line="95" w:lineRule="exact"/>
        <w:rPr>
          <w:rFonts w:ascii="Times New Roman" w:cs="Times New Roman" w:eastAsia="Times New Roman" w:hAnsi="Times New Roman"/>
          <w:sz w:val="18"/>
          <w:szCs w:val="18"/>
          <w:color w:val="auto"/>
        </w:rPr>
      </w:pPr>
    </w:p>
    <w:p>
      <w:pPr>
        <w:ind w:left="1080" w:hanging="39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business continuity planning through development of a response plan across functional areas for key services</w:t>
      </w:r>
    </w:p>
    <w:p>
      <w:pPr>
        <w:spacing w:after="0" w:line="130" w:lineRule="exact"/>
        <w:rPr>
          <w:rFonts w:ascii="Times New Roman" w:cs="Times New Roman" w:eastAsia="Times New Roman" w:hAnsi="Times New Roman"/>
          <w:sz w:val="18"/>
          <w:szCs w:val="18"/>
          <w:color w:val="auto"/>
        </w:rPr>
      </w:pPr>
    </w:p>
    <w:p>
      <w:pPr>
        <w:ind w:left="1100" w:right="200" w:hanging="413"/>
        <w:spacing w:after="0" w:line="266"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improve our employee engagement efforts through the support of two employee led engagement groups and introduced one-on-one coaching from third-party coaches to enhance skills in a number of areas of personal and professional development</w:t>
      </w:r>
    </w:p>
    <w:p>
      <w:pPr>
        <w:spacing w:after="0" w:line="3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recognition of AGNC’s employee engagement efforts, AGNC was recognized by Fortune as one of the Best Small Workplaces™ in 2024.</w:t>
      </w:r>
    </w:p>
    <w:p>
      <w:pPr>
        <w:spacing w:after="0" w:line="342" w:lineRule="exact"/>
        <w:rPr>
          <w:sz w:val="20"/>
          <w:szCs w:val="20"/>
          <w:color w:val="auto"/>
        </w:rPr>
      </w:pPr>
    </w:p>
    <w:p>
      <w:pPr>
        <w:ind w:left="340" w:right="20" w:hanging="251"/>
        <w:spacing w:after="0" w:line="243" w:lineRule="auto"/>
        <w:tabs>
          <w:tab w:leader="none" w:pos="34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Agency REIT Peer Group includes Annaly Capital Management, Inc. (“NLY”), ARMOUR Residential REIT, Inc. (“ARR”), Dynex Capital, Inc. (“DX”), Invesco Mortgage Capital Inc. (“IVR”), Orchid Island Capital, Inc. (“ORC”), and Two Harbors Investment Corp. (“TWO”) on an unweighted basis.</w:t>
      </w:r>
    </w:p>
    <w:p>
      <w:pPr>
        <w:ind w:left="340" w:right="20" w:hanging="251"/>
        <w:spacing w:after="0" w:line="221" w:lineRule="auto"/>
        <w:tabs>
          <w:tab w:leader="none" w:pos="34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Price-to-Tangible Book Value Ratio reflects the simple average of the four quarter-end calculations of Price-to-Tangible Book Value Ratio. The Price-to-Tangible Book Value Ratio as of a date is the quotient of the closing common stock price of such company as of such date divided by the tangible book value per common share of such company as of such date. Source: Company filings and S&amp;P Global Market Intelligence.</w:t>
      </w:r>
    </w:p>
    <w:p>
      <w:pPr>
        <w:ind w:left="340" w:right="80" w:hanging="251"/>
        <w:spacing w:after="0" w:line="224" w:lineRule="auto"/>
        <w:tabs>
          <w:tab w:leader="none" w:pos="34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mortgage REITs other than AGNC, cost structures are based on operating expenses and average stockholders’ equity (excluding noncontrolling interests, as applicable) over the applicable year as publicly reported by such REITs. Operating costs include expenses for compensation and benefits, management fees, incentive fees (if applicable), and G&amp;A and may include one-time or nonrecurring expenses. Operating costs exclude direct costs associated with operating activities, such as loan acquisition costs, securitization costs, and servicing expenses, to the extent publicly disclosed by such REITs. AGNC’s cost structure is based on operating expenses, including compensation and benefits and G&amp;A, and average stockholders’ equity for the applicable year. Source: Company filings and S&amp;P Global Market Intelligence.</w:t>
      </w:r>
    </w:p>
    <w:p>
      <w:pPr>
        <w:spacing w:after="0" w:line="33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41319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right="40" w:hanging="251"/>
        <w:spacing w:after="0" w:line="264" w:lineRule="auto"/>
        <w:tabs>
          <w:tab w:leader="none" w:pos="34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total stock return is measured from AGNC</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May 2008 IPO through December 31, 2024. Total stock return over a period includes price appreciation and dividend reinvestment; dividends are assumed to be reinvested at the closing price of the security on the ex-dividend date. Source: Bloomberg.</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Program Objectives</w:t>
      </w:r>
    </w:p>
    <w:p>
      <w:pPr>
        <w:spacing w:after="0" w:line="79" w:lineRule="exact"/>
        <w:rPr>
          <w:sz w:val="20"/>
          <w:szCs w:val="20"/>
          <w:color w:val="auto"/>
        </w:rPr>
      </w:pPr>
    </w:p>
    <w:p>
      <w:pPr>
        <w:ind w:right="680" w:firstLine="648"/>
        <w:spacing w:after="0" w:line="237" w:lineRule="auto"/>
        <w:rPr>
          <w:sz w:val="20"/>
          <w:szCs w:val="20"/>
          <w:color w:val="auto"/>
        </w:rPr>
      </w:pPr>
      <w:r>
        <w:rPr>
          <w:rFonts w:ascii="Times New Roman" w:cs="Times New Roman" w:eastAsia="Times New Roman" w:hAnsi="Times New Roman"/>
          <w:sz w:val="18"/>
          <w:szCs w:val="18"/>
          <w:color w:val="auto"/>
        </w:rPr>
        <w:t>The compensation programs for all of our employees, including our NEOs, are designed to focus on key strategic and financial objectives including:</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660" w:type="dxa"/>
            <w:vAlign w:val="bottom"/>
            <w:tcBorders>
              <w:top w:val="single" w:sz="8" w:color="407CCA"/>
              <w:left w:val="single" w:sz="8" w:color="407CCA"/>
              <w:bottom w:val="single" w:sz="8" w:color="407CCA"/>
              <w:right w:val="single" w:sz="8" w:color="407CCA"/>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Pay-for-Performance</w:t>
            </w:r>
          </w:p>
        </w:tc>
        <w:tc>
          <w:tcPr>
            <w:tcW w:w="8580" w:type="dxa"/>
            <w:vAlign w:val="bottom"/>
            <w:tcBorders>
              <w:top w:val="single" w:sz="8" w:color="407CCA"/>
              <w:bottom w:val="single" w:sz="8" w:color="407CCA"/>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Link compensation to achievement of short- and long-term financial and strategic goals</w:t>
            </w:r>
          </w:p>
        </w:tc>
        <w:tc>
          <w:tcPr>
            <w:tcW w:w="0" w:type="dxa"/>
            <w:vAlign w:val="bottom"/>
          </w:tcPr>
          <w:p>
            <w:pPr>
              <w:spacing w:after="0"/>
              <w:rPr>
                <w:sz w:val="1"/>
                <w:szCs w:val="1"/>
                <w:color w:val="auto"/>
              </w:rPr>
            </w:pPr>
          </w:p>
        </w:tc>
      </w:tr>
      <w:tr>
        <w:trPr>
          <w:trHeight w:val="237"/>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Attraction and Retention</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Attract and retain a high-quality team with skills necessary to outperform industry peers and achieve AGNC’s</w:t>
            </w:r>
          </w:p>
        </w:tc>
        <w:tc>
          <w:tcPr>
            <w:tcW w:w="0" w:type="dxa"/>
            <w:vAlign w:val="bottom"/>
          </w:tcPr>
          <w:p>
            <w:pPr>
              <w:spacing w:after="0"/>
              <w:rPr>
                <w:sz w:val="1"/>
                <w:szCs w:val="1"/>
                <w:color w:val="auto"/>
              </w:rPr>
            </w:pPr>
          </w:p>
        </w:tc>
      </w:tr>
      <w:tr>
        <w:trPr>
          <w:trHeight w:val="148"/>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strategic objectives</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Alignment with Stockholders</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w w:val="99"/>
              </w:rPr>
              <w:t>Align the interests of executive officers, employees, and stockholders by tying elements of realized compensation to</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stockholder value</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Efficiency</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Maintain a low-cost operating structure that maximizes financial efficiency from a tax, accounting, and cash flow</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perspective</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Strong Compensation</w:t>
            </w: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Employ high-quality practices in governance of executive compensation</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8580" w:type="dxa"/>
            <w:vAlign w:val="bottom"/>
            <w:tcBorders>
              <w:right w:val="single" w:sz="8" w:color="407CC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660" w:type="dxa"/>
            <w:vAlign w:val="bottom"/>
            <w:tcBorders>
              <w:left w:val="single" w:sz="8" w:color="407CCA"/>
              <w:bottom w:val="single" w:sz="8" w:color="407CCA"/>
              <w:right w:val="single" w:sz="8" w:color="407CCA"/>
            </w:tcBorders>
            <w:gridSpan w:val="2"/>
            <w:vMerge w:val="continue"/>
            <w:shd w:val="clear" w:color="auto" w:fill="BFBFBF"/>
          </w:tcPr>
          <w:p>
            <w:pPr>
              <w:spacing w:after="0"/>
              <w:rPr>
                <w:sz w:val="8"/>
                <w:szCs w:val="8"/>
                <w:color w:val="auto"/>
              </w:rPr>
            </w:pPr>
          </w:p>
        </w:tc>
        <w:tc>
          <w:tcPr>
            <w:tcW w:w="8580" w:type="dxa"/>
            <w:vAlign w:val="bottom"/>
            <w:tcBorders>
              <w:bottom w:val="single" w:sz="8" w:color="407CCA"/>
              <w:right w:val="single" w:sz="8" w:color="407CCA"/>
            </w:tcBorders>
          </w:tcPr>
          <w:p>
            <w:pPr>
              <w:spacing w:after="0"/>
              <w:rPr>
                <w:sz w:val="8"/>
                <w:szCs w:val="8"/>
                <w:color w:val="auto"/>
              </w:rPr>
            </w:pPr>
          </w:p>
        </w:tc>
        <w:tc>
          <w:tcPr>
            <w:tcW w:w="0" w:type="dxa"/>
            <w:vAlign w:val="bottom"/>
          </w:tcPr>
          <w:p>
            <w:pPr>
              <w:spacing w:after="0"/>
              <w:rPr>
                <w:sz w:val="1"/>
                <w:szCs w:val="1"/>
                <w:color w:val="auto"/>
              </w:rPr>
            </w:pPr>
          </w:p>
        </w:tc>
      </w:tr>
      <w:tr>
        <w:trPr>
          <w:trHeight w:val="620"/>
        </w:trPr>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407CCA"/>
              </w:rPr>
              <w:t>26</w:t>
            </w:r>
          </w:p>
        </w:tc>
        <w:tc>
          <w:tcPr>
            <w:tcW w:w="10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0" w:type="dxa"/>
            <w:vAlign w:val="bottom"/>
          </w:tcPr>
          <w:p>
            <w:pPr>
              <w:spacing w:after="0"/>
              <w:rPr>
                <w:sz w:val="1"/>
                <w:szCs w:val="1"/>
                <w:color w:val="auto"/>
              </w:rPr>
            </w:pPr>
          </w:p>
        </w:tc>
      </w:tr>
      <w:tr>
        <w:trPr>
          <w:trHeight w:val="220"/>
        </w:trPr>
        <w:tc>
          <w:tcPr>
            <w:tcW w:w="300" w:type="dxa"/>
            <w:vAlign w:val="bottom"/>
            <w:tcBorders>
              <w:bottom w:val="single" w:sz="8" w:color="9A9A9A"/>
            </w:tcBorders>
          </w:tcPr>
          <w:p>
            <w:pPr>
              <w:spacing w:after="0"/>
              <w:rPr>
                <w:sz w:val="19"/>
                <w:szCs w:val="19"/>
                <w:color w:val="auto"/>
              </w:rPr>
            </w:pPr>
          </w:p>
        </w:tc>
        <w:tc>
          <w:tcPr>
            <w:tcW w:w="2360" w:type="dxa"/>
            <w:vAlign w:val="bottom"/>
            <w:tcBorders>
              <w:bottom w:val="single" w:sz="8" w:color="9A9A9A"/>
            </w:tcBorders>
          </w:tcPr>
          <w:p>
            <w:pPr>
              <w:spacing w:after="0"/>
              <w:rPr>
                <w:sz w:val="19"/>
                <w:szCs w:val="19"/>
                <w:color w:val="auto"/>
              </w:rPr>
            </w:pPr>
          </w:p>
        </w:tc>
        <w:tc>
          <w:tcPr>
            <w:tcW w:w="8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80" w:firstLine="648"/>
        <w:spacing w:after="0" w:line="237" w:lineRule="auto"/>
        <w:rPr>
          <w:sz w:val="20"/>
          <w:szCs w:val="20"/>
          <w:color w:val="auto"/>
        </w:rPr>
      </w:pPr>
      <w:r>
        <w:rPr>
          <w:rFonts w:ascii="Times New Roman" w:cs="Times New Roman" w:eastAsia="Times New Roman" w:hAnsi="Times New Roman"/>
          <w:sz w:val="18"/>
          <w:szCs w:val="18"/>
          <w:color w:val="auto"/>
        </w:rPr>
        <w:t>In support of these objectives, AGNC provides all of its employees total compensation in the form of base salary, annual performance-based incentives, and long-term incentive awards. The following describes the components of our NEO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137795</wp:posOffset>
            </wp:positionV>
            <wp:extent cx="6172200" cy="3883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7220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2024, 92% of our stockholders present or represented at the annual meeting and entitled to vote on the matter supported our advisory resolution on executive compensation, which we believe reflects the positive support for the construction of our executive compensation program.</w:t>
      </w:r>
    </w:p>
    <w:p>
      <w:pPr>
        <w:spacing w:after="0" w:line="41"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17"/>
          <w:szCs w:val="17"/>
          <w:color w:val="auto"/>
        </w:rPr>
        <w:t>We value regular engagement with our stockholders, including through our quarterly earnings calls, investor conferences, fall and spring engagement campaigns, and outreach through our Investor Relations department. We continued our robust program in 2024. Throughout the year, we</w:t>
      </w:r>
    </w:p>
    <w:p>
      <w:pPr>
        <w:ind w:right="200"/>
        <w:spacing w:after="0" w:line="208" w:lineRule="auto"/>
        <w:rPr>
          <w:sz w:val="20"/>
          <w:szCs w:val="20"/>
          <w:color w:val="auto"/>
        </w:rPr>
      </w:pPr>
      <w:r>
        <w:rPr>
          <w:rFonts w:ascii="Times New Roman" w:cs="Times New Roman" w:eastAsia="Times New Roman" w:hAnsi="Times New Roman"/>
          <w:sz w:val="18"/>
          <w:szCs w:val="18"/>
          <w:color w:val="auto"/>
        </w:rPr>
        <w:t>participated in eight investor conferences and five non-deal investor roadshows, engaged with financial advisors through network conference calls, held over 150 meetings and calls with institutional investors, and responded to over 400 letters, emails, and calls from retail investors. We engaged with our retail investors through our Investor Relations Department and as facilitated through collaboration with our proxy solicitor. In the fall of 2024, we sought</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meetings with our top 50 stockholders by share count, who collectively hold 85% of our institutionally held common stock, and the two major proxy advisory firms to engage on topics of interest to them, including executive compensation, corporate governance, and sustainability. We were able to meet with a number of institutional investors and discussed our plan to propose amendments to our Certificate of Incorporation to increase our authorized shares</w:t>
      </w:r>
    </w:p>
    <w:p>
      <w:pPr>
        <w:spacing w:after="0" w:line="2" w:lineRule="exact"/>
        <w:rPr>
          <w:sz w:val="20"/>
          <w:szCs w:val="20"/>
          <w:color w:val="auto"/>
        </w:rPr>
      </w:pPr>
    </w:p>
    <w:p>
      <w:pPr>
        <w:ind w:right="360"/>
        <w:spacing w:after="0" w:line="218" w:lineRule="auto"/>
        <w:rPr>
          <w:sz w:val="20"/>
          <w:szCs w:val="20"/>
          <w:color w:val="auto"/>
        </w:rPr>
      </w:pPr>
      <w:r>
        <w:rPr>
          <w:rFonts w:ascii="Times New Roman" w:cs="Times New Roman" w:eastAsia="Times New Roman" w:hAnsi="Times New Roman"/>
          <w:sz w:val="18"/>
          <w:szCs w:val="18"/>
          <w:color w:val="auto"/>
        </w:rPr>
        <w:t>of common stock and other governance and sustainability topics. The stockholders with whom we engaged expressed general support for our plan to increase our authorized common stock and our improvements in the areas of human capital management and corporate responsibility and did not voice significant concerns about our executive compensation program.</w:t>
      </w:r>
    </w:p>
    <w:p>
      <w:pPr>
        <w:spacing w:after="0" w:line="6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continuously work to improve our stockholder engagement efforts and value the feedback provided to us during this process. Engagement with our stockholders regarding our compensation policies and practices has played a significant role in the evolution of our compensation program.</w:t>
      </w:r>
    </w:p>
    <w:p>
      <w:pPr>
        <w:spacing w:after="0" w:line="200" w:lineRule="exact"/>
        <w:rPr>
          <w:sz w:val="20"/>
          <w:szCs w:val="20"/>
          <w:color w:val="auto"/>
        </w:rPr>
      </w:pPr>
    </w:p>
    <w:p>
      <w:pPr>
        <w:spacing w:after="0" w:line="370"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Composition of NEO Compensation</w:t>
      </w:r>
    </w:p>
    <w:p>
      <w:pPr>
        <w:spacing w:after="0" w:line="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believes that incentive compensation should be a substantial component of each executive’s total compensation package. In 2024, 48% of our CEO’s target total direct compensation was in the form of LTI, of which 67% was performance based. For our other NEOs, at</w:t>
      </w:r>
    </w:p>
    <w:p>
      <w:pPr>
        <w:ind w:right="480"/>
        <w:spacing w:after="0" w:line="226" w:lineRule="auto"/>
        <w:rPr>
          <w:sz w:val="20"/>
          <w:szCs w:val="20"/>
          <w:color w:val="auto"/>
        </w:rPr>
      </w:pPr>
      <w:r>
        <w:rPr>
          <w:rFonts w:ascii="Times New Roman" w:cs="Times New Roman" w:eastAsia="Times New Roman" w:hAnsi="Times New Roman"/>
          <w:sz w:val="18"/>
          <w:szCs w:val="18"/>
          <w:color w:val="auto"/>
        </w:rPr>
        <w:t>least 35% of their individual target total direct compensation was in the form of LTI, and at least 50% of target LTI awards were performance-vesting shares. The charts below demonstrate the pay mix for our NEOs in 2024 based on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-16510</wp:posOffset>
            </wp:positionV>
            <wp:extent cx="6172200" cy="31718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 support our compensation philosophy and objectives, we are committed to the following compensation governance practices:</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407CCA"/>
        </w:rPr>
        <w:t>What we do:</w:t>
      </w:r>
    </w:p>
    <w:p>
      <w:pPr>
        <w:spacing w:after="0" w:line="67" w:lineRule="exact"/>
        <w:rPr>
          <w:sz w:val="20"/>
          <w:szCs w:val="20"/>
          <w:color w:val="auto"/>
        </w:rPr>
      </w:pPr>
    </w:p>
    <w:p>
      <w:pPr>
        <w:ind w:left="880" w:hanging="321"/>
        <w:spacing w:after="0"/>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Focus on retention of high-performing employees</w:t>
      </w:r>
    </w:p>
    <w:p>
      <w:pPr>
        <w:ind w:left="880" w:hanging="321"/>
        <w:spacing w:after="0" w:line="219"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Pay for performance</w:t>
      </w:r>
    </w:p>
    <w:p>
      <w:pPr>
        <w:ind w:left="880" w:hanging="321"/>
        <w:spacing w:after="0" w:line="203"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Align executive and stockholder interests</w:t>
      </w:r>
    </w:p>
    <w:p>
      <w:pPr>
        <w:ind w:left="880" w:hanging="321"/>
        <w:spacing w:after="0" w:line="203"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Impose stock ownership guidelines for our executive officers</w:t>
      </w:r>
    </w:p>
    <w:p>
      <w:pPr>
        <w:ind w:left="880" w:hanging="321"/>
        <w:spacing w:after="0" w:line="219"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Prohibit our directors and executive officers from hedging, pledging, and short selling Company stock</w:t>
      </w:r>
    </w:p>
    <w:p>
      <w:pPr>
        <w:ind w:left="880" w:hanging="321"/>
        <w:spacing w:after="0" w:line="203"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Engage an independent compensation consultant</w:t>
      </w:r>
    </w:p>
    <w:p>
      <w:pPr>
        <w:ind w:left="880" w:hanging="321"/>
        <w:spacing w:after="0" w:line="203" w:lineRule="auto"/>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Provide long-term equity incentive compensation to all of our employees</w:t>
      </w:r>
    </w:p>
    <w:p>
      <w:pPr>
        <w:ind w:left="880" w:hanging="321"/>
        <w:spacing w:after="0"/>
        <w:tabs>
          <w:tab w:leader="none" w:pos="880" w:val="left"/>
        </w:tabs>
        <w:numPr>
          <w:ilvl w:val="0"/>
          <w:numId w:val="28"/>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Conduct an annual review of our compensation program based on market conditions, performance, and stockholder feedback</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407CCA"/>
        </w:rPr>
        <w:t>What we don’t do:</w:t>
      </w:r>
    </w:p>
    <w:p>
      <w:pPr>
        <w:spacing w:after="0" w:line="88" w:lineRule="exact"/>
        <w:rPr>
          <w:sz w:val="20"/>
          <w:szCs w:val="20"/>
          <w:color w:val="auto"/>
        </w:rPr>
      </w:pPr>
    </w:p>
    <w:p>
      <w:pPr>
        <w:ind w:left="860" w:hanging="301"/>
        <w:spacing w:after="0"/>
        <w:tabs>
          <w:tab w:leader="none" w:pos="860" w:val="left"/>
        </w:tabs>
        <w:numPr>
          <w:ilvl w:val="0"/>
          <w:numId w:val="29"/>
        </w:numPr>
        <w:rPr>
          <w:rFonts w:ascii="Wingdings" w:cs="Wingdings" w:eastAsia="Wingdings" w:hAnsi="Wingdings"/>
          <w:sz w:val="20"/>
          <w:szCs w:val="20"/>
          <w:b w:val="1"/>
          <w:bCs w:val="1"/>
          <w:color w:val="auto"/>
          <w:highlight w:val="red"/>
        </w:rPr>
      </w:pPr>
      <w:r>
        <w:rPr>
          <w:rFonts w:ascii="Times New Roman" w:cs="Times New Roman" w:eastAsia="Times New Roman" w:hAnsi="Times New Roman"/>
          <w:sz w:val="18"/>
          <w:szCs w:val="18"/>
          <w:b w:val="1"/>
          <w:bCs w:val="1"/>
          <w:color w:val="auto"/>
        </w:rPr>
        <w:t>Pay based on a percentage of assets under management</w:t>
      </w:r>
    </w:p>
    <w:p>
      <w:pPr>
        <w:spacing w:after="0" w:line="4" w:lineRule="exact"/>
        <w:rPr>
          <w:rFonts w:ascii="Wingdings" w:cs="Wingdings" w:eastAsia="Wingdings" w:hAnsi="Wingdings"/>
          <w:sz w:val="20"/>
          <w:szCs w:val="20"/>
          <w:b w:val="1"/>
          <w:bCs w:val="1"/>
          <w:color w:val="auto"/>
          <w:highlight w:val="red"/>
        </w:rPr>
      </w:pPr>
    </w:p>
    <w:p>
      <w:pPr>
        <w:ind w:left="860" w:hanging="301"/>
        <w:spacing w:after="0" w:line="204"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tax gross-ups</w:t>
      </w:r>
    </w:p>
    <w:p>
      <w:pPr>
        <w:ind w:left="860" w:hanging="301"/>
        <w:spacing w:after="0" w:line="218"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special perquisites for executives</w:t>
      </w:r>
    </w:p>
    <w:p>
      <w:pPr>
        <w:ind w:left="860" w:hanging="301"/>
        <w:spacing w:after="0" w:line="218"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Maintain supplemental retirement benefit plans</w:t>
      </w:r>
    </w:p>
    <w:p>
      <w:pPr>
        <w:ind w:left="860" w:hanging="301"/>
        <w:spacing w:after="0" w:line="204"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Make option grants below fair market value</w:t>
      </w:r>
    </w:p>
    <w:p>
      <w:pPr>
        <w:ind w:left="860" w:hanging="301"/>
        <w:spacing w:after="0" w:line="218"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Reprice stock options</w:t>
      </w:r>
    </w:p>
    <w:p>
      <w:pPr>
        <w:ind w:left="860" w:hanging="301"/>
        <w:spacing w:after="0" w:line="231" w:lineRule="auto"/>
        <w:tabs>
          <w:tab w:leader="none" w:pos="860" w:val="left"/>
        </w:tabs>
        <w:numPr>
          <w:ilvl w:val="0"/>
          <w:numId w:val="29"/>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for “single-trigger” severance or vesting acceleration</w:t>
      </w:r>
    </w:p>
    <w:p>
      <w:pPr>
        <w:spacing w:after="0" w:line="32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Program in Detail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Elements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believes it is important to pay our NEOs in a manner that balances short- and long-term compensation and cash and</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equity-based compensation. Our NEOs’ compensation program includes three primary elements: base salary, short-term incentives in the form of an annual cash bonus, and long-term equity incentives, with a significant portion subject to multi-year performance-based vesting.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Committee’s philosophy on pay mix applies throughout the entire organization, with all AGNC employees receiving a portion</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of their compensation in the form of short-term and long-term incentives. The proportion of an individual’s target total direct compensation opportunity in the form of variable incentive-based elements relative to fixed elements is directly correlated to the individual’s level of responsibility and role in the organization. Employees with greater seniority and greater responsibility have higher proportions of incentive-based compensation in their target mix.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within the incentive-based elements, the proportion of LTI generally corresponds with the individual’s level of responsibility in the organization.</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Base Salary</w:t>
      </w:r>
    </w:p>
    <w:p>
      <w:pPr>
        <w:spacing w:after="0" w:line="7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Base salary provides a baseline level of cash compensation to our NEOs and is a fixed expense for the Company. The Compensation Committee established base salaries for our NEOs considering a variety of factors, including:</w:t>
      </w:r>
    </w:p>
    <w:p>
      <w:pPr>
        <w:spacing w:after="0" w:line="30" w:lineRule="exact"/>
        <w:rPr>
          <w:sz w:val="20"/>
          <w:szCs w:val="20"/>
          <w:color w:val="auto"/>
        </w:rPr>
      </w:pPr>
    </w:p>
    <w:p>
      <w:pPr>
        <w:ind w:left="880" w:hanging="315"/>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executive officers</w:t>
      </w:r>
    </w:p>
    <w:p>
      <w:pPr>
        <w:ind w:left="880" w:hanging="315"/>
        <w:spacing w:after="0" w:line="219"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responsibilities</w:t>
      </w:r>
    </w:p>
    <w:p>
      <w:pPr>
        <w:ind w:left="880" w:hanging="315"/>
        <w:spacing w:after="0" w:line="203"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complex and unique services provided by our NEOs</w:t>
      </w:r>
    </w:p>
    <w:p>
      <w:pPr>
        <w:ind w:left="880" w:hanging="315"/>
        <w:spacing w:after="0" w:line="203"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retain our NEOs</w:t>
      </w:r>
    </w:p>
    <w:p>
      <w:pPr>
        <w:ind w:left="880" w:hanging="315"/>
        <w:spacing w:after="0" w:line="219"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responsibilities of the NEOs</w:t>
      </w:r>
    </w:p>
    <w:p>
      <w:pPr>
        <w:ind w:left="880" w:hanging="315"/>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pay equity</w:t>
      </w:r>
    </w:p>
    <w:p>
      <w:pPr>
        <w:spacing w:after="0" w:line="16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reviews the base salaries for our NEOs annually and at the time of a promotion or other change in responsibilities, and salaries may be adjusted after considering the above factors. The annual base salaries set forth in the table below are the minimum levels required in</w:t>
      </w:r>
    </w:p>
    <w:p>
      <w:pPr>
        <w:ind w:right="140"/>
        <w:spacing w:after="0" w:line="226" w:lineRule="auto"/>
        <w:rPr>
          <w:sz w:val="20"/>
          <w:szCs w:val="20"/>
          <w:color w:val="auto"/>
        </w:rPr>
      </w:pPr>
      <w:r>
        <w:rPr>
          <w:rFonts w:ascii="Times New Roman" w:cs="Times New Roman" w:eastAsia="Times New Roman" w:hAnsi="Times New Roman"/>
          <w:sz w:val="18"/>
          <w:szCs w:val="18"/>
          <w:color w:val="auto"/>
        </w:rPr>
        <w:t>each executive’s respective employment agreement. In conducting its annual review in consultation with FW Cook and considering other relevant factors, the Compensation Committee concluded that no changes were necessary for 2024 base compensation levels for our NEOs.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180" w:type="dxa"/>
            <w:vAlign w:val="bottom"/>
            <w:tcBorders>
              <w:top w:val="single" w:sz="8" w:color="407CCA"/>
              <w:bottom w:val="single" w:sz="8" w:color="407CCA"/>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332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Base Salary</w:t>
            </w:r>
          </w:p>
        </w:tc>
      </w:tr>
      <w:tr>
        <w:trPr>
          <w:trHeight w:val="21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$900,000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$500,000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$900,000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$750,000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$650,000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$650,000</w:t>
            </w:r>
          </w:p>
        </w:tc>
      </w:tr>
      <w:tr>
        <w:trPr>
          <w:trHeight w:val="238"/>
        </w:trPr>
        <w:tc>
          <w:tcPr>
            <w:tcW w:w="374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180" w:type="dxa"/>
            <w:vAlign w:val="bottom"/>
            <w:tcBorders>
              <w:bottom w:val="single" w:sz="8" w:color="407CCA"/>
            </w:tcBorders>
          </w:tcPr>
          <w:p>
            <w:pPr>
              <w:jc w:val="center"/>
              <w:ind w:left="773"/>
              <w:spacing w:after="0"/>
              <w:rPr>
                <w:sz w:val="20"/>
                <w:szCs w:val="20"/>
                <w:color w:val="auto"/>
              </w:rPr>
            </w:pPr>
            <w:r>
              <w:rPr>
                <w:rFonts w:ascii="Times New Roman" w:cs="Times New Roman" w:eastAsia="Times New Roman" w:hAnsi="Times New Roman"/>
                <w:sz w:val="18"/>
                <w:szCs w:val="18"/>
                <w:color w:val="auto"/>
              </w:rPr>
              <w:t>$650,000</w:t>
            </w:r>
          </w:p>
        </w:tc>
        <w:tc>
          <w:tcPr>
            <w:tcW w:w="33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Annual Bonus</w:t>
      </w:r>
    </w:p>
    <w:p>
      <w:pPr>
        <w:spacing w:after="0" w:line="106" w:lineRule="exact"/>
        <w:rPr>
          <w:sz w:val="20"/>
          <w:szCs w:val="20"/>
          <w:color w:val="auto"/>
        </w:rPr>
      </w:pPr>
    </w:p>
    <w:p>
      <w:pPr>
        <w:ind w:right="10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has established performance criteria for short-term incentives that directly correspond to the areas of greatest impact to our short- and long-term performance and operations, creating a direct connection between business success and our NEOs’ compensation. Each NEO’s target for short-term incentive compensation, set forth in the table below, is determined based on an evaluation of the same factors used in setting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salaries and was unchanged from 2023 levels.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300" w:type="dxa"/>
            <w:vAlign w:val="bottom"/>
            <w:tcBorders>
              <w:top w:val="single" w:sz="8" w:color="407CCA"/>
              <w:bottom w:val="single" w:sz="8" w:color="407CCA"/>
            </w:tcBorders>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2023 Target Annual Bonus</w:t>
            </w:r>
          </w:p>
        </w:tc>
        <w:tc>
          <w:tcPr>
            <w:tcW w:w="332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Target Annual Bonus</w:t>
            </w:r>
          </w:p>
        </w:tc>
      </w:tr>
      <w:tr>
        <w:trPr>
          <w:trHeight w:val="21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$4,500,000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$4,500,000</w:t>
            </w: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$3,600,000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$3,600,000</w:t>
            </w: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$2,700,000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$2,700,000</w:t>
            </w:r>
          </w:p>
        </w:tc>
      </w:tr>
      <w:tr>
        <w:trPr>
          <w:trHeight w:val="229"/>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$1,725,000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$1,725,000</w:t>
            </w: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$1,300,000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$1,300,000</w:t>
            </w:r>
          </w:p>
        </w:tc>
      </w:tr>
      <w:tr>
        <w:trPr>
          <w:trHeight w:val="238"/>
        </w:trPr>
        <w:tc>
          <w:tcPr>
            <w:tcW w:w="358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300" w:type="dxa"/>
            <w:vAlign w:val="bottom"/>
            <w:tcBorders>
              <w:bottom w:val="single" w:sz="8" w:color="407CCA"/>
            </w:tcBorders>
          </w:tcPr>
          <w:p>
            <w:pPr>
              <w:jc w:val="center"/>
              <w:ind w:left="913"/>
              <w:spacing w:after="0"/>
              <w:rPr>
                <w:sz w:val="20"/>
                <w:szCs w:val="20"/>
                <w:color w:val="auto"/>
              </w:rPr>
            </w:pPr>
            <w:r>
              <w:rPr>
                <w:rFonts w:ascii="Times New Roman" w:cs="Times New Roman" w:eastAsia="Times New Roman" w:hAnsi="Times New Roman"/>
                <w:sz w:val="18"/>
                <w:szCs w:val="18"/>
                <w:color w:val="auto"/>
              </w:rPr>
              <w:t>$1,300,000</w:t>
            </w:r>
          </w:p>
        </w:tc>
        <w:tc>
          <w:tcPr>
            <w:tcW w:w="33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$1,300,000</w:t>
            </w:r>
          </w:p>
        </w:tc>
      </w:tr>
    </w:tbl>
    <w:p>
      <w:pPr>
        <w:spacing w:after="0" w:line="30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part of its annual evaluation of the compensation package provided to our NEOs in consultation with FW Cook, the Compensation Committee, among other things, examined compensation practices at comparable companies and considered the scope of each NEO’s responsibilities and their performance. After considering these factors, the Compensation Committee determined it was appropriate to maintain the annual target bonus for each of our NEOs for 2024.</w:t>
      </w:r>
    </w:p>
    <w:p>
      <w:pPr>
        <w:sectPr>
          <w:pgSz w:w="11900" w:h="16838" w:orient="portrait"/>
          <w:cols w:equalWidth="0" w:num="1">
            <w:col w:w="11240"/>
          </w:cols>
          <w:pgMar w:left="320" w:top="104" w:right="339" w:bottom="1440" w:gutter="0" w:footer="0" w:header="0"/>
        </w:sectPr>
      </w:pPr>
    </w:p>
    <w:p>
      <w:pPr>
        <w:spacing w:after="0" w:line="33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Scorecard for Calculating Annual Bonus</w:t>
      </w:r>
    </w:p>
    <w:p>
      <w:pPr>
        <w:spacing w:after="0" w:line="81"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uses a Corporate Scorecard to assist in its evaluation of NEO performance and awards of annual cash bonuses. The Corporate Scorecard utilizes a framework that incentivizes and rewards performance over a broad range of circumstances, and, as described in greater</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detail below, the 2024 Corporate Scorecard was based upon a mix of financial and strategic measures that corresponded to the core elements of our value proposition for stockholders. We believe the goals and measures included in the Corporate Scorecard effectively align NEO short-term incentives with financial, strategic, and operational performance of greatest importance to our business. Under the 2024 Corporate Scorecard, actual payouts can range</w:t>
      </w:r>
    </w:p>
    <w:p>
      <w:pPr>
        <w:spacing w:after="0" w:line="2" w:lineRule="exact"/>
        <w:rPr>
          <w:sz w:val="20"/>
          <w:szCs w:val="20"/>
          <w:color w:val="auto"/>
        </w:rPr>
      </w:pPr>
    </w:p>
    <w:p>
      <w:pPr>
        <w:jc w:val="both"/>
        <w:ind w:right="200"/>
        <w:spacing w:after="0" w:line="220" w:lineRule="auto"/>
        <w:rPr>
          <w:sz w:val="20"/>
          <w:szCs w:val="20"/>
          <w:color w:val="auto"/>
        </w:rPr>
      </w:pPr>
      <w:r>
        <w:rPr>
          <w:rFonts w:ascii="Times New Roman" w:cs="Times New Roman" w:eastAsia="Times New Roman" w:hAnsi="Times New Roman"/>
          <w:sz w:val="17"/>
          <w:szCs w:val="17"/>
          <w:color w:val="auto"/>
        </w:rPr>
        <w:t>from 0% to 200% of target for each metric, with category and metric weights as assigned by the Compensation Committee, and payouts for performance between the threshold and maximum level of each measure are determined through linear interpolation. The cash bonuses for Messrs. Federico and Kain continue to be based solely on achievement of the Corporate Scorecard measures. The other NEOs’ short-term cash incentives were based predominantly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Corporate Scorecard measures and to a lesser extent on individual performance.</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2024 Corporate Scorecard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annually reviews the appropriateness of the Corporate Scorecard and considers feedback from stockholders as part</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of their deliberations. In conducting its annual review in 2024, the Compensation Committee determined that it was appropriate to retain the 2023 Corporate Scorecard without changes to the weightings or metrics and maintain year-over-year consistency.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weightings among the three financial performance metrics are unchanged relative to 2023, with absolute annual economic return weighted at</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25%, relative annual economic return weighted at 35%, and relative price-to-tangible book ratio weighted at 15%. The Compensation Committee considered the continued alignment of the Corporate Scorecard with the Compensation Committee’s overall compensation philosophy, the Company’s long-term performance and drivers of stockholder return, and relevant feedback from stockholders. As in prior years, the Compensation Committee set the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financial measures for the Corporate Scorecard in January 2024 following an evaluation of historical performance over a five-year period, back-testing financial measures over this period to evaluate hypothetical payout levels when applying the Corporate Scorecard to those periods, and our high-level forecast. The Committee considered the appropriateness of the threshold, target, and outperformance levels for 2024. In determining to maintain the same</w:t>
      </w:r>
    </w:p>
    <w:p>
      <w:pPr>
        <w:spacing w:after="0" w:line="2"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scorecard measures and weightings used in 2023, the Committee noted that the mortgage markets had experienced significant periods of extreme volatility that have driven financial performance since the onset of the pandemic, and that although 2023 represented a year of relative outperformance compared to peers, the absolute return measure reflected continued underperformance of target expectations, and there was significant uncertainty whether the level of</w:t>
      </w:r>
    </w:p>
    <w:p>
      <w:pPr>
        <w:spacing w:after="0" w:line="2"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relative performance could be sustained at the time the Compensation Committee set the Corporate Scorecard in January 2024. The Compensation Committee also determined that it remained appropriate to continue including non-financial strategic and operational objectives weighted at 25% of the overall Corporate Scorecard.</w:t>
      </w:r>
    </w:p>
    <w:p>
      <w:pPr>
        <w:spacing w:after="0" w:line="172" w:lineRule="exact"/>
        <w:rPr>
          <w:sz w:val="20"/>
          <w:szCs w:val="20"/>
          <w:color w:val="auto"/>
        </w:rPr>
      </w:pPr>
    </w:p>
    <w:p>
      <w:pPr>
        <w:ind w:right="420" w:firstLine="648"/>
        <w:spacing w:after="0" w:line="237" w:lineRule="auto"/>
        <w:rPr>
          <w:sz w:val="20"/>
          <w:szCs w:val="20"/>
          <w:color w:val="auto"/>
        </w:rPr>
      </w:pPr>
      <w:r>
        <w:rPr>
          <w:rFonts w:ascii="Times New Roman" w:cs="Times New Roman" w:eastAsia="Times New Roman" w:hAnsi="Times New Roman"/>
          <w:sz w:val="18"/>
          <w:szCs w:val="18"/>
          <w:color w:val="auto"/>
        </w:rPr>
        <w:t>Our Corporate Scorecard was designed to incentivize and reward results over a broad range of circumstances through balanced weightings of absolute and relative financial performance and strategic and operational objectives.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Metrics (75%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234315</wp:posOffset>
            </wp:positionV>
            <wp:extent cx="2383155"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83155" cy="120015"/>
                    </a:xfrm>
                    <a:prstGeom prst="rect">
                      <a:avLst/>
                    </a:prstGeom>
                    <a:noFill/>
                  </pic:spPr>
                </pic:pic>
              </a:graphicData>
            </a:graphic>
          </wp:anchor>
        </w:drawing>
      </w:r>
    </w:p>
    <w:p>
      <w:pPr>
        <w:spacing w:after="0" w:line="35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3"/>
          <w:szCs w:val="13"/>
          <w:b w:val="1"/>
          <w:bCs w:val="1"/>
          <w:color w:val="auto"/>
        </w:rPr>
        <w:t>Performance Continuum</w:t>
      </w:r>
      <w:r>
        <w:rPr>
          <w:rFonts w:ascii="Times New Roman" w:cs="Times New Roman" w:eastAsia="Times New Roman" w:hAnsi="Times New Roman"/>
          <w:sz w:val="16"/>
          <w:szCs w:val="16"/>
          <w:b w:val="1"/>
          <w:bCs w:val="1"/>
          <w:color w:val="auto"/>
          <w:vertAlign w:val="superscript"/>
        </w:rPr>
        <w:t>3</w:t>
      </w:r>
    </w:p>
    <w:tbl>
      <w:tblPr>
        <w:tblLayout w:type="fixed"/>
        <w:tblInd w:w="0" w:type="dxa"/>
        <w:tblCellMar>
          <w:top w:w="0" w:type="dxa"/>
          <w:left w:w="0" w:type="dxa"/>
          <w:bottom w:w="0" w:type="dxa"/>
          <w:right w:w="0" w:type="dxa"/>
        </w:tblCellMar>
      </w:tblPr>
      <w:tr>
        <w:trPr>
          <w:trHeight w:val="115"/>
        </w:trPr>
        <w:tc>
          <w:tcPr>
            <w:tcW w:w="78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7"/>
              </w:rPr>
              <w:t>Category</w:t>
            </w:r>
          </w:p>
        </w:tc>
        <w:tc>
          <w:tcPr>
            <w:tcW w:w="840" w:type="dxa"/>
            <w:vAlign w:val="bottom"/>
            <w:tcBorders>
              <w:top w:val="single" w:sz="8" w:color="407CCA"/>
            </w:tcBorders>
            <w:shd w:val="clear" w:color="auto" w:fill="407CCA"/>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FFFFFF"/>
              </w:rPr>
              <w:t>Metric</w:t>
            </w:r>
          </w:p>
        </w:tc>
        <w:tc>
          <w:tcPr>
            <w:tcW w:w="576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6"/>
              </w:rPr>
              <w:t>Performance</w:t>
            </w:r>
          </w:p>
        </w:tc>
        <w:tc>
          <w:tcPr>
            <w:tcW w:w="760" w:type="dxa"/>
            <w:vAlign w:val="bottom"/>
            <w:tcBorders>
              <w:top w:val="single" w:sz="8" w:color="407CCA"/>
            </w:tcBorders>
            <w:shd w:val="clear" w:color="auto" w:fill="407CCA"/>
          </w:tcPr>
          <w:p>
            <w:pPr>
              <w:jc w:val="center"/>
              <w:ind w:left="99"/>
              <w:spacing w:after="0" w:line="115" w:lineRule="exact"/>
              <w:rPr>
                <w:sz w:val="20"/>
                <w:szCs w:val="20"/>
                <w:color w:val="auto"/>
              </w:rPr>
            </w:pPr>
            <w:r>
              <w:rPr>
                <w:rFonts w:ascii="Times New Roman" w:cs="Times New Roman" w:eastAsia="Times New Roman" w:hAnsi="Times New Roman"/>
                <w:sz w:val="13"/>
                <w:szCs w:val="13"/>
                <w:b w:val="1"/>
                <w:bCs w:val="1"/>
                <w:color w:val="FFFFFF"/>
              </w:rPr>
              <w:t>Below</w:t>
            </w:r>
          </w:p>
        </w:tc>
        <w:tc>
          <w:tcPr>
            <w:tcW w:w="1140" w:type="dxa"/>
            <w:vAlign w:val="bottom"/>
            <w:tcBorders>
              <w:top w:val="single" w:sz="8" w:color="407CCA"/>
              <w:right w:val="single" w:sz="8" w:color="auto"/>
            </w:tcBorders>
            <w:shd w:val="clear" w:color="auto" w:fill="407CCA"/>
          </w:tcPr>
          <w:p>
            <w:pPr>
              <w:spacing w:after="0"/>
              <w:rPr>
                <w:sz w:val="10"/>
                <w:szCs w:val="10"/>
                <w:color w:val="auto"/>
              </w:rPr>
            </w:pPr>
          </w:p>
        </w:tc>
        <w:tc>
          <w:tcPr>
            <w:tcW w:w="920" w:type="dxa"/>
            <w:vAlign w:val="bottom"/>
            <w:tcBorders>
              <w:top w:val="single" w:sz="8" w:color="auto"/>
              <w:right w:val="single" w:sz="8" w:color="auto"/>
            </w:tcBorders>
            <w:shd w:val="clear" w:color="auto" w:fill="407CCA"/>
          </w:tcPr>
          <w:p>
            <w:pPr>
              <w:spacing w:after="0"/>
              <w:rPr>
                <w:sz w:val="10"/>
                <w:szCs w:val="10"/>
                <w:color w:val="auto"/>
              </w:rPr>
            </w:pPr>
          </w:p>
        </w:tc>
        <w:tc>
          <w:tcPr>
            <w:tcW w:w="94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9"/>
              </w:rPr>
              <w:t>Out-</w:t>
            </w:r>
          </w:p>
        </w:tc>
        <w:tc>
          <w:tcPr>
            <w:tcW w:w="0" w:type="dxa"/>
            <w:vAlign w:val="bottom"/>
          </w:tcPr>
          <w:p>
            <w:pPr>
              <w:spacing w:after="0"/>
              <w:rPr>
                <w:sz w:val="1"/>
                <w:szCs w:val="1"/>
                <w:color w:val="auto"/>
              </w:rPr>
            </w:pPr>
          </w:p>
        </w:tc>
      </w:tr>
      <w:tr>
        <w:trPr>
          <w:trHeight w:val="183"/>
        </w:trPr>
        <w:tc>
          <w:tcPr>
            <w:tcW w:w="78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3"/>
              </w:rPr>
              <w:t>Weight</w:t>
            </w:r>
          </w:p>
        </w:tc>
        <w:tc>
          <w:tcPr>
            <w:tcW w:w="840" w:type="dxa"/>
            <w:vAlign w:val="bottom"/>
            <w:tcBorders>
              <w:bottom w:val="single" w:sz="8" w:color="407CCA"/>
            </w:tcBorders>
            <w:shd w:val="clear" w:color="auto" w:fill="407CCA"/>
          </w:tcPr>
          <w:p>
            <w:pPr>
              <w:ind w:left="220"/>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576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Metric</w:t>
            </w:r>
          </w:p>
        </w:tc>
        <w:tc>
          <w:tcPr>
            <w:tcW w:w="760" w:type="dxa"/>
            <w:vAlign w:val="bottom"/>
            <w:tcBorders>
              <w:bottom w:val="single" w:sz="8" w:color="407CCA"/>
            </w:tcBorders>
            <w:shd w:val="clear" w:color="auto" w:fill="407CCA"/>
          </w:tcPr>
          <w:p>
            <w:pPr>
              <w:jc w:val="center"/>
              <w:ind w:left="99"/>
              <w:spacing w:after="0"/>
              <w:rPr>
                <w:sz w:val="20"/>
                <w:szCs w:val="20"/>
                <w:color w:val="auto"/>
              </w:rPr>
            </w:pPr>
            <w:r>
              <w:rPr>
                <w:rFonts w:ascii="Times New Roman" w:cs="Times New Roman" w:eastAsia="Times New Roman" w:hAnsi="Times New Roman"/>
                <w:sz w:val="13"/>
                <w:szCs w:val="13"/>
                <w:b w:val="1"/>
                <w:bCs w:val="1"/>
                <w:color w:val="FFFFFF"/>
                <w:w w:val="94"/>
              </w:rPr>
              <w:t>Threshold</w:t>
            </w:r>
          </w:p>
        </w:tc>
        <w:tc>
          <w:tcPr>
            <w:tcW w:w="1140" w:type="dxa"/>
            <w:vAlign w:val="bottom"/>
            <w:tcBorders>
              <w:bottom w:val="single" w:sz="8" w:color="407CCA"/>
              <w:right w:val="single" w:sz="8" w:color="auto"/>
            </w:tcBorders>
            <w:shd w:val="clear" w:color="auto" w:fill="407CCA"/>
          </w:tcPr>
          <w:p>
            <w:pPr>
              <w:ind w:left="380"/>
              <w:spacing w:after="0"/>
              <w:rPr>
                <w:sz w:val="20"/>
                <w:szCs w:val="20"/>
                <w:color w:val="auto"/>
              </w:rPr>
            </w:pPr>
            <w:r>
              <w:rPr>
                <w:rFonts w:ascii="Times New Roman" w:cs="Times New Roman" w:eastAsia="Times New Roman" w:hAnsi="Times New Roman"/>
                <w:sz w:val="13"/>
                <w:szCs w:val="13"/>
                <w:b w:val="1"/>
                <w:bCs w:val="1"/>
                <w:color w:val="FFFFFF"/>
              </w:rPr>
              <w:t>Threshold</w:t>
            </w:r>
          </w:p>
        </w:tc>
        <w:tc>
          <w:tcPr>
            <w:tcW w:w="920" w:type="dxa"/>
            <w:vAlign w:val="bottom"/>
            <w:tcBorders>
              <w:bottom w:val="single" w:sz="8" w:color="407CCA"/>
              <w:right w:val="single" w:sz="8" w:color="auto"/>
            </w:tcBorders>
            <w:shd w:val="clear" w:color="auto" w:fill="407CCA"/>
          </w:tcPr>
          <w:p>
            <w:pPr>
              <w:ind w:left="280"/>
              <w:spacing w:after="0"/>
              <w:rPr>
                <w:sz w:val="20"/>
                <w:szCs w:val="20"/>
                <w:color w:val="auto"/>
              </w:rPr>
            </w:pPr>
            <w:r>
              <w:rPr>
                <w:rFonts w:ascii="Times New Roman" w:cs="Times New Roman" w:eastAsia="Times New Roman" w:hAnsi="Times New Roman"/>
                <w:sz w:val="13"/>
                <w:szCs w:val="13"/>
                <w:b w:val="1"/>
                <w:bCs w:val="1"/>
                <w:color w:val="FFFFFF"/>
              </w:rPr>
              <w:t>Target</w:t>
            </w:r>
          </w:p>
        </w:tc>
        <w:tc>
          <w:tcPr>
            <w:tcW w:w="94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performance</w:t>
            </w: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Absolute Annual Economic Return</w:t>
            </w:r>
            <w:r>
              <w:rPr>
                <w:rFonts w:ascii="Times New Roman" w:cs="Times New Roman" w:eastAsia="Times New Roman" w:hAnsi="Times New Roman"/>
                <w:sz w:val="9"/>
                <w:szCs w:val="9"/>
                <w:color w:val="auto"/>
                <w:w w:val="99"/>
              </w:rPr>
              <w:t>1</w:t>
            </w:r>
          </w:p>
        </w:tc>
        <w:tc>
          <w:tcPr>
            <w:tcW w:w="760" w:type="dxa"/>
            <w:vAlign w:val="bottom"/>
            <w:vMerge w:val="restart"/>
            <w:shd w:val="clear" w:color="auto" w:fill="F2F2F2"/>
          </w:tcPr>
          <w:p>
            <w:pPr>
              <w:jc w:val="center"/>
              <w:ind w:left="119"/>
              <w:spacing w:after="0"/>
              <w:rPr>
                <w:sz w:val="20"/>
                <w:szCs w:val="20"/>
                <w:color w:val="auto"/>
              </w:rPr>
            </w:pPr>
            <w:r>
              <w:rPr>
                <w:rFonts w:ascii="Times New Roman" w:cs="Times New Roman" w:eastAsia="Times New Roman" w:hAnsi="Times New Roman"/>
                <w:sz w:val="18"/>
                <w:szCs w:val="18"/>
                <w:color w:val="auto"/>
                <w:w w:val="99"/>
              </w:rPr>
              <w:t>&lt; 0.0%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9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 24.0%</w:t>
            </w:r>
          </w:p>
        </w:tc>
        <w:tc>
          <w:tcPr>
            <w:tcW w:w="0" w:type="dxa"/>
            <w:vAlign w:val="bottom"/>
          </w:tcPr>
          <w:p>
            <w:pPr>
              <w:spacing w:after="0"/>
              <w:rPr>
                <w:sz w:val="1"/>
                <w:szCs w:val="1"/>
                <w:color w:val="auto"/>
              </w:rPr>
            </w:pPr>
          </w:p>
        </w:tc>
      </w:tr>
      <w:tr>
        <w:trPr>
          <w:trHeight w:val="94"/>
        </w:trPr>
        <w:tc>
          <w:tcPr>
            <w:tcW w:w="780" w:type="dxa"/>
            <w:vAlign w:val="bottom"/>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5760" w:type="dxa"/>
            <w:vAlign w:val="bottom"/>
            <w:shd w:val="clear" w:color="auto" w:fill="F2F2F2"/>
          </w:tcPr>
          <w:p>
            <w:pPr>
              <w:spacing w:after="0"/>
              <w:rPr>
                <w:sz w:val="8"/>
                <w:szCs w:val="8"/>
                <w:color w:val="auto"/>
              </w:rPr>
            </w:pPr>
          </w:p>
        </w:tc>
        <w:tc>
          <w:tcPr>
            <w:tcW w:w="760" w:type="dxa"/>
            <w:vAlign w:val="bottom"/>
            <w:vMerge w:val="continue"/>
            <w:shd w:val="clear" w:color="auto" w:fill="F2F2F2"/>
          </w:tcPr>
          <w:p>
            <w:pPr>
              <w:spacing w:after="0"/>
              <w:rPr>
                <w:sz w:val="8"/>
                <w:szCs w:val="8"/>
                <w:color w:val="auto"/>
              </w:rPr>
            </w:pPr>
          </w:p>
        </w:tc>
        <w:tc>
          <w:tcPr>
            <w:tcW w:w="1140" w:type="dxa"/>
            <w:vAlign w:val="bottom"/>
            <w:tcBorders>
              <w:right w:val="single" w:sz="8" w:color="auto"/>
            </w:tcBorders>
            <w:vMerge w:val="continue"/>
            <w:shd w:val="clear" w:color="auto" w:fill="F2F2F2"/>
          </w:tcPr>
          <w:p>
            <w:pPr>
              <w:spacing w:after="0"/>
              <w:rPr>
                <w:sz w:val="8"/>
                <w:szCs w:val="8"/>
                <w:color w:val="auto"/>
              </w:rPr>
            </w:pPr>
          </w:p>
        </w:tc>
        <w:tc>
          <w:tcPr>
            <w:tcW w:w="920" w:type="dxa"/>
            <w:vAlign w:val="bottom"/>
            <w:tcBorders>
              <w:right w:val="single" w:sz="8" w:color="auto"/>
            </w:tcBorders>
            <w:vMerge w:val="continue"/>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jc w:val="right"/>
              <w:ind w:right="288"/>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Relative Annual Economic Return</w:t>
            </w:r>
            <w:r>
              <w:rPr>
                <w:rFonts w:ascii="Times New Roman" w:cs="Times New Roman" w:eastAsia="Times New Roman" w:hAnsi="Times New Roman"/>
                <w:sz w:val="9"/>
                <w:szCs w:val="9"/>
                <w:color w:val="auto"/>
              </w:rPr>
              <w:t>1,2</w:t>
            </w:r>
          </w:p>
        </w:tc>
        <w:tc>
          <w:tcPr>
            <w:tcW w:w="760" w:type="dxa"/>
            <w:vAlign w:val="bottom"/>
            <w:vMerge w:val="restart"/>
            <w:shd w:val="clear" w:color="auto" w:fill="F2F2F2"/>
          </w:tcPr>
          <w:p>
            <w:pPr>
              <w:jc w:val="center"/>
              <w:ind w:left="99"/>
              <w:spacing w:after="0"/>
              <w:rPr>
                <w:sz w:val="20"/>
                <w:szCs w:val="20"/>
                <w:color w:val="auto"/>
              </w:rPr>
            </w:pPr>
            <w:r>
              <w:rPr>
                <w:rFonts w:ascii="Times New Roman" w:cs="Times New Roman" w:eastAsia="Times New Roman" w:hAnsi="Times New Roman"/>
                <w:sz w:val="18"/>
                <w:szCs w:val="18"/>
                <w:color w:val="auto"/>
              </w:rPr>
              <w:t>&lt; (5.0)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w w:val="98"/>
              </w:rPr>
              <w:t>(5.0)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94"/>
        </w:trPr>
        <w:tc>
          <w:tcPr>
            <w:tcW w:w="780" w:type="dxa"/>
            <w:vAlign w:val="bottom"/>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5760" w:type="dxa"/>
            <w:vAlign w:val="bottom"/>
            <w:shd w:val="clear" w:color="auto" w:fill="F2F2F2"/>
          </w:tcPr>
          <w:p>
            <w:pPr>
              <w:spacing w:after="0"/>
              <w:rPr>
                <w:sz w:val="8"/>
                <w:szCs w:val="8"/>
                <w:color w:val="auto"/>
              </w:rPr>
            </w:pPr>
          </w:p>
        </w:tc>
        <w:tc>
          <w:tcPr>
            <w:tcW w:w="760" w:type="dxa"/>
            <w:vAlign w:val="bottom"/>
            <w:vMerge w:val="continue"/>
            <w:shd w:val="clear" w:color="auto" w:fill="F2F2F2"/>
          </w:tcPr>
          <w:p>
            <w:pPr>
              <w:spacing w:after="0"/>
              <w:rPr>
                <w:sz w:val="8"/>
                <w:szCs w:val="8"/>
                <w:color w:val="auto"/>
              </w:rPr>
            </w:pPr>
          </w:p>
        </w:tc>
        <w:tc>
          <w:tcPr>
            <w:tcW w:w="1140" w:type="dxa"/>
            <w:vAlign w:val="bottom"/>
            <w:tcBorders>
              <w:right w:val="single" w:sz="8" w:color="auto"/>
            </w:tcBorders>
            <w:vMerge w:val="continue"/>
            <w:shd w:val="clear" w:color="auto" w:fill="F2F2F2"/>
          </w:tcPr>
          <w:p>
            <w:pPr>
              <w:spacing w:after="0"/>
              <w:rPr>
                <w:sz w:val="8"/>
                <w:szCs w:val="8"/>
                <w:color w:val="auto"/>
              </w:rPr>
            </w:pPr>
          </w:p>
        </w:tc>
        <w:tc>
          <w:tcPr>
            <w:tcW w:w="920" w:type="dxa"/>
            <w:vAlign w:val="bottom"/>
            <w:tcBorders>
              <w:right w:val="single" w:sz="8" w:color="auto"/>
            </w:tcBorders>
            <w:vMerge w:val="continue"/>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Relative Price-to-Tangible Book Ratio</w:t>
            </w:r>
            <w:r>
              <w:rPr>
                <w:rFonts w:ascii="Times New Roman" w:cs="Times New Roman" w:eastAsia="Times New Roman" w:hAnsi="Times New Roman"/>
                <w:sz w:val="9"/>
                <w:szCs w:val="9"/>
                <w:color w:val="auto"/>
                <w:w w:val="99"/>
              </w:rPr>
              <w:t>2</w:t>
            </w:r>
          </w:p>
        </w:tc>
        <w:tc>
          <w:tcPr>
            <w:tcW w:w="760" w:type="dxa"/>
            <w:vAlign w:val="bottom"/>
            <w:vMerge w:val="restart"/>
            <w:shd w:val="clear" w:color="auto" w:fill="F2F2F2"/>
          </w:tcPr>
          <w:p>
            <w:pPr>
              <w:jc w:val="center"/>
              <w:ind w:left="99"/>
              <w:spacing w:after="0"/>
              <w:rPr>
                <w:sz w:val="20"/>
                <w:szCs w:val="20"/>
                <w:color w:val="auto"/>
              </w:rPr>
            </w:pPr>
            <w:r>
              <w:rPr>
                <w:rFonts w:ascii="Times New Roman" w:cs="Times New Roman" w:eastAsia="Times New Roman" w:hAnsi="Times New Roman"/>
                <w:sz w:val="18"/>
                <w:szCs w:val="18"/>
                <w:color w:val="auto"/>
              </w:rPr>
              <w:t>&lt; (5.0)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w w:val="98"/>
              </w:rPr>
              <w:t>(5.0)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95"/>
        </w:trPr>
        <w:tc>
          <w:tcPr>
            <w:tcW w:w="780" w:type="dxa"/>
            <w:vAlign w:val="bottom"/>
            <w:tcBorders>
              <w:bottom w:val="single" w:sz="8" w:color="407CCA"/>
            </w:tcBorders>
            <w:shd w:val="clear" w:color="auto" w:fill="F2F2F2"/>
          </w:tcPr>
          <w:p>
            <w:pPr>
              <w:spacing w:after="0"/>
              <w:rPr>
                <w:sz w:val="8"/>
                <w:szCs w:val="8"/>
                <w:color w:val="auto"/>
              </w:rPr>
            </w:pPr>
          </w:p>
        </w:tc>
        <w:tc>
          <w:tcPr>
            <w:tcW w:w="840" w:type="dxa"/>
            <w:vAlign w:val="bottom"/>
            <w:tcBorders>
              <w:bottom w:val="single" w:sz="8" w:color="407CCA"/>
            </w:tcBorders>
            <w:vMerge w:val="continue"/>
            <w:shd w:val="clear" w:color="auto" w:fill="F2F2F2"/>
          </w:tcPr>
          <w:p>
            <w:pPr>
              <w:spacing w:after="0"/>
              <w:rPr>
                <w:sz w:val="8"/>
                <w:szCs w:val="8"/>
                <w:color w:val="auto"/>
              </w:rPr>
            </w:pPr>
          </w:p>
        </w:tc>
        <w:tc>
          <w:tcPr>
            <w:tcW w:w="5760" w:type="dxa"/>
            <w:vAlign w:val="bottom"/>
            <w:tcBorders>
              <w:bottom w:val="single" w:sz="8" w:color="407CCA"/>
            </w:tcBorders>
            <w:shd w:val="clear" w:color="auto" w:fill="F2F2F2"/>
          </w:tcPr>
          <w:p>
            <w:pPr>
              <w:spacing w:after="0"/>
              <w:rPr>
                <w:sz w:val="8"/>
                <w:szCs w:val="8"/>
                <w:color w:val="auto"/>
              </w:rPr>
            </w:pPr>
          </w:p>
        </w:tc>
        <w:tc>
          <w:tcPr>
            <w:tcW w:w="760" w:type="dxa"/>
            <w:vAlign w:val="bottom"/>
            <w:tcBorders>
              <w:bottom w:val="single" w:sz="8" w:color="407CCA"/>
            </w:tcBorders>
            <w:vMerge w:val="continue"/>
            <w:shd w:val="clear" w:color="auto" w:fill="F2F2F2"/>
          </w:tcPr>
          <w:p>
            <w:pPr>
              <w:spacing w:after="0"/>
              <w:rPr>
                <w:sz w:val="8"/>
                <w:szCs w:val="8"/>
                <w:color w:val="auto"/>
              </w:rPr>
            </w:pPr>
          </w:p>
        </w:tc>
        <w:tc>
          <w:tcPr>
            <w:tcW w:w="1140" w:type="dxa"/>
            <w:vAlign w:val="bottom"/>
            <w:tcBorders>
              <w:bottom w:val="single" w:sz="8" w:color="407CCA"/>
              <w:right w:val="single" w:sz="8" w:color="auto"/>
            </w:tcBorders>
            <w:vMerge w:val="continue"/>
            <w:shd w:val="clear" w:color="auto" w:fill="F2F2F2"/>
          </w:tcPr>
          <w:p>
            <w:pPr>
              <w:spacing w:after="0"/>
              <w:rPr>
                <w:sz w:val="8"/>
                <w:szCs w:val="8"/>
                <w:color w:val="auto"/>
              </w:rPr>
            </w:pPr>
          </w:p>
        </w:tc>
        <w:tc>
          <w:tcPr>
            <w:tcW w:w="920" w:type="dxa"/>
            <w:vAlign w:val="bottom"/>
            <w:tcBorders>
              <w:bottom w:val="single" w:sz="8" w:color="407CCA"/>
              <w:right w:val="single" w:sz="8" w:color="auto"/>
            </w:tcBorders>
            <w:vMerge w:val="continue"/>
            <w:shd w:val="clear" w:color="auto" w:fill="F2F2F2"/>
          </w:tcPr>
          <w:p>
            <w:pPr>
              <w:spacing w:after="0"/>
              <w:rPr>
                <w:sz w:val="8"/>
                <w:szCs w:val="8"/>
                <w:color w:val="auto"/>
              </w:rPr>
            </w:pPr>
          </w:p>
        </w:tc>
        <w:tc>
          <w:tcPr>
            <w:tcW w:w="940" w:type="dxa"/>
            <w:vAlign w:val="bottom"/>
            <w:tcBorders>
              <w:bottom w:val="single" w:sz="8" w:color="407CCA"/>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tcBorders>
              <w:bottom w:val="single" w:sz="8" w:color="407CCA"/>
            </w:tcBorders>
          </w:tcPr>
          <w:p>
            <w:pPr>
              <w:spacing w:after="0"/>
              <w:rPr>
                <w:sz w:val="14"/>
                <w:szCs w:val="14"/>
                <w:color w:val="auto"/>
              </w:rPr>
            </w:pPr>
          </w:p>
        </w:tc>
        <w:tc>
          <w:tcPr>
            <w:tcW w:w="840" w:type="dxa"/>
            <w:vAlign w:val="bottom"/>
            <w:tcBorders>
              <w:bottom w:val="single" w:sz="8" w:color="407CCA"/>
            </w:tcBorders>
          </w:tcPr>
          <w:p>
            <w:pPr>
              <w:spacing w:after="0"/>
              <w:rPr>
                <w:sz w:val="14"/>
                <w:szCs w:val="14"/>
                <w:color w:val="auto"/>
              </w:rPr>
            </w:pPr>
          </w:p>
        </w:tc>
        <w:tc>
          <w:tcPr>
            <w:tcW w:w="5760" w:type="dxa"/>
            <w:vAlign w:val="bottom"/>
            <w:tcBorders>
              <w:bottom w:val="single" w:sz="8" w:color="407CCA"/>
            </w:tcBorders>
          </w:tcPr>
          <w:p>
            <w:pPr>
              <w:spacing w:after="0"/>
              <w:rPr>
                <w:sz w:val="14"/>
                <w:szCs w:val="14"/>
                <w:color w:val="auto"/>
              </w:rPr>
            </w:pPr>
          </w:p>
        </w:tc>
        <w:tc>
          <w:tcPr>
            <w:tcW w:w="760" w:type="dxa"/>
            <w:vAlign w:val="bottom"/>
            <w:tcBorders>
              <w:bottom w:val="single" w:sz="8" w:color="407CCA"/>
            </w:tcBorders>
            <w:shd w:val="clear" w:color="auto" w:fill="F2F2F2"/>
          </w:tcPr>
          <w:p>
            <w:pPr>
              <w:spacing w:after="0"/>
              <w:rPr>
                <w:sz w:val="14"/>
                <w:szCs w:val="14"/>
                <w:color w:val="auto"/>
              </w:rPr>
            </w:pPr>
          </w:p>
        </w:tc>
        <w:tc>
          <w:tcPr>
            <w:tcW w:w="3000" w:type="dxa"/>
            <w:vAlign w:val="bottom"/>
            <w:tcBorders>
              <w:bottom w:val="single" w:sz="8" w:color="407CCA"/>
            </w:tcBorders>
            <w:gridSpan w:val="3"/>
            <w:shd w:val="clear" w:color="auto" w:fill="F2F2F2"/>
          </w:tcPr>
          <w:p>
            <w:pPr>
              <w:ind w:left="20"/>
              <w:spacing w:after="0"/>
              <w:rPr>
                <w:sz w:val="20"/>
                <w:szCs w:val="20"/>
                <w:color w:val="auto"/>
              </w:rPr>
            </w:pPr>
            <w:r>
              <w:rPr>
                <w:rFonts w:ascii="Times New Roman" w:cs="Times New Roman" w:eastAsia="Times New Roman" w:hAnsi="Times New Roman"/>
                <w:sz w:val="13"/>
                <w:szCs w:val="13"/>
                <w:b w:val="1"/>
                <w:bCs w:val="1"/>
                <w:color w:val="auto"/>
              </w:rPr>
              <w:t>Payout Continuum (% of Metric Weight)</w:t>
            </w:r>
          </w:p>
        </w:tc>
        <w:tc>
          <w:tcPr>
            <w:tcW w:w="0" w:type="dxa"/>
            <w:vAlign w:val="bottom"/>
          </w:tcPr>
          <w:p>
            <w:pPr>
              <w:spacing w:after="0"/>
              <w:rPr>
                <w:sz w:val="1"/>
                <w:szCs w:val="1"/>
                <w:color w:val="auto"/>
              </w:rPr>
            </w:pPr>
          </w:p>
        </w:tc>
      </w:tr>
      <w:tr>
        <w:trPr>
          <w:trHeight w:val="228"/>
        </w:trPr>
        <w:tc>
          <w:tcPr>
            <w:tcW w:w="780" w:type="dxa"/>
            <w:vAlign w:val="bottom"/>
            <w:tcBorders>
              <w:bottom w:val="single" w:sz="8" w:color="407CCA"/>
            </w:tcBorders>
          </w:tcPr>
          <w:p>
            <w:pPr>
              <w:spacing w:after="0"/>
              <w:rPr>
                <w:sz w:val="19"/>
                <w:szCs w:val="19"/>
                <w:color w:val="auto"/>
              </w:rPr>
            </w:pPr>
          </w:p>
        </w:tc>
        <w:tc>
          <w:tcPr>
            <w:tcW w:w="840" w:type="dxa"/>
            <w:vAlign w:val="bottom"/>
            <w:tcBorders>
              <w:bottom w:val="single" w:sz="8" w:color="407CCA"/>
            </w:tcBorders>
          </w:tcPr>
          <w:p>
            <w:pPr>
              <w:spacing w:after="0"/>
              <w:rPr>
                <w:sz w:val="19"/>
                <w:szCs w:val="19"/>
                <w:color w:val="auto"/>
              </w:rPr>
            </w:pPr>
          </w:p>
        </w:tc>
        <w:tc>
          <w:tcPr>
            <w:tcW w:w="5760" w:type="dxa"/>
            <w:vAlign w:val="bottom"/>
            <w:tcBorders>
              <w:bottom w:val="single" w:sz="8" w:color="407CCA"/>
            </w:tcBorders>
          </w:tcPr>
          <w:p>
            <w:pPr>
              <w:spacing w:after="0"/>
              <w:rPr>
                <w:sz w:val="19"/>
                <w:szCs w:val="19"/>
                <w:color w:val="auto"/>
              </w:rPr>
            </w:pPr>
          </w:p>
        </w:tc>
        <w:tc>
          <w:tcPr>
            <w:tcW w:w="760" w:type="dxa"/>
            <w:vAlign w:val="bottom"/>
            <w:tcBorders>
              <w:bottom w:val="single" w:sz="8" w:color="407CCA"/>
            </w:tcBorders>
            <w:shd w:val="clear" w:color="auto" w:fill="789E91"/>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1140" w:type="dxa"/>
            <w:vAlign w:val="bottom"/>
            <w:tcBorders>
              <w:bottom w:val="single" w:sz="8" w:color="407CCA"/>
              <w:right w:val="single" w:sz="8" w:color="789E91"/>
            </w:tcBorders>
            <w:shd w:val="clear" w:color="auto" w:fill="789E91"/>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920" w:type="dxa"/>
            <w:vAlign w:val="bottom"/>
            <w:tcBorders>
              <w:bottom w:val="single" w:sz="8" w:color="407CCA"/>
              <w:right w:val="single" w:sz="8" w:color="789E91"/>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940" w:type="dxa"/>
            <w:vAlign w:val="bottom"/>
            <w:tcBorders>
              <w:bottom w:val="single" w:sz="8" w:color="407CCA"/>
            </w:tcBorders>
            <w:shd w:val="clear" w:color="auto" w:fill="789E91"/>
          </w:tcPr>
          <w:p>
            <w:pPr>
              <w:ind w:left="24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40" w:hanging="251"/>
        <w:spacing w:after="0"/>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is calculated on tangible common equity per share.</w:t>
      </w:r>
    </w:p>
    <w:p>
      <w:pPr>
        <w:ind w:left="340" w:right="120" w:hanging="251"/>
        <w:spacing w:after="0" w:line="221" w:lineRule="auto"/>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AGNC’s relative performance to the unweighted, simple average of the Agency REIT Peer Group. Our Relative Annual Economic Return measure is calculated on an October 1 – September 30 year basis due to the timing of availability of comparative data.</w:t>
      </w:r>
    </w:p>
    <w:p>
      <w:pPr>
        <w:ind w:left="340" w:hanging="251"/>
        <w:spacing w:after="0"/>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Annual Economic Return and Relative Price-to-Tangible Book Ratio calculations are based on percentage points.</w:t>
      </w:r>
    </w:p>
    <w:p>
      <w:pPr>
        <w:spacing w:after="0" w:line="151"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The financial measures emphasize our focus on generating strong absolute and relative economic returns and maintaining a favorable common stock price to tangible book value relative to our peers.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economic return reflects the overall return we generate on our tangible common equity capital and is comprised of our dividends declared and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the change in the tangible net book value per share of common stock over the relevant period. As such, it incorporates all aspects of our investment activity, including interest received on our investments, net of borrowing costs, and realized and unrealized gains and losses on our investments, hedging instruments, and other assets and liabilities. We believe this measure best reflects a composite view of AGNC’s financial performance over any time period.</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Most investors and research analysts active in the residential mortgage REIT sector utilize this metric as a primary factor in analyzing residential mortgage REIT performance.</w:t>
      </w:r>
    </w:p>
    <w:p>
      <w:pPr>
        <w:spacing w:after="0" w:line="15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Our Compensation Committee has included both absolute and relative annual economic return as separate financial performance measures. Our inclusion of absolute annual economic return is reflective of our focus on generating positive economic</w:t>
      </w:r>
    </w:p>
    <w:p>
      <w:pPr>
        <w:sectPr>
          <w:pgSz w:w="11900" w:h="16838" w:orient="portrait"/>
          <w:cols w:equalWidth="0" w:num="1">
            <w:col w:w="11240"/>
          </w:cols>
          <w:pgMar w:left="320" w:top="104" w:right="339" w:bottom="1440" w:gutter="0" w:footer="0" w:header="0"/>
        </w:sectPr>
      </w:pPr>
    </w:p>
    <w:p>
      <w:pPr>
        <w:spacing w:after="0" w:line="30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returns for our stockholders and supporting our dividend, regardless of overall macroeconomic conditions. Relative annual economic return has been included to provide a comparison of our performance against our peers and to reward our management team and employees for outperformance. While a favorable macroeconomic climate may drive a strong absolute annual economic return, relative annual economic return requires outperformance relative to</w:t>
      </w:r>
    </w:p>
    <w:p>
      <w:pPr>
        <w:ind w:right="40"/>
        <w:spacing w:after="0" w:line="220" w:lineRule="auto"/>
        <w:rPr>
          <w:sz w:val="20"/>
          <w:szCs w:val="20"/>
          <w:color w:val="auto"/>
        </w:rPr>
      </w:pPr>
      <w:r>
        <w:rPr>
          <w:rFonts w:ascii="Times New Roman" w:cs="Times New Roman" w:eastAsia="Times New Roman" w:hAnsi="Times New Roman"/>
          <w:sz w:val="17"/>
          <w:szCs w:val="17"/>
          <w:color w:val="auto"/>
        </w:rPr>
        <w:t>peers, all of which are subject to the same prevailing macroeconomic conditions. For 2024, our Compensation Committee again retained our target goals of absolute annual economic return at 10.0% and relative annual economic return at 1.0 percentage point greater than the Agency REIT Peer Group average. These goals reflect the Compensation Committee’s view that an absolute annual economic return target of 10.0% would be appropriately challenging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outperformance of the peer average by 1.0 percentage point should be the target goal for relative annual economic return.</w:t>
      </w:r>
    </w:p>
    <w:p>
      <w:pPr>
        <w:spacing w:after="0" w:line="16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Our third financial measure is our common stock price to tangible net book value per share, or “price-to-tangible book ratio,” relative to peers. The Compensation Committee maintained our target relative price-to-tangible book ratio from 2023 at a 1.0 percentage point premium to the Agency REIT</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Peer Group average. Price-to-tangible book ratio is a valuation metric utilized by many investors and research analysts and reflects the premium (or discount) to tangible net book value of a company implied by the company’s stock price. As such, the price-to-tangible book ratio for AGNC relative to peers may in certain market environments imply the relative perception by the market of, or outlook for, AGNC as compared to its peer group. We believe</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that our track record of favorable long-term financial performance, operating efficiency, disciplined risk management, stockholder focus, and significant scale and liquidity should position AGNC for a premium valuation relative to our peer group in most market environments.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Collectively, our three financial measures incentivize our management team to drive favorable returns – on both an absolute and relative basis –</w:t>
      </w:r>
    </w:p>
    <w:p>
      <w:pPr>
        <w:spacing w:after="0" w:line="2"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for our stockholders. Our success in generating economic returns at or above target levels while maintaining targeted premium valuation levels on a price-to-tangible book value basis should translate into favorable total stock returns for our stockholders. As such, we believe these metrics appropriately align our short-term incentive plan with our stockholders.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and Operational Objectives (25%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90"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noted above, our Compensation Committee believes our value proposition should position AGNC for a premium valuation. Our Compensation Committee seeks to drive management performance in these areas and focuses our strategic and operational efforts on the following components:</w:t>
      </w:r>
    </w:p>
    <w:p>
      <w:pPr>
        <w:spacing w:after="0" w:line="46" w:lineRule="exact"/>
        <w:rPr>
          <w:sz w:val="20"/>
          <w:szCs w:val="20"/>
          <w:color w:val="auto"/>
        </w:rPr>
      </w:pPr>
    </w:p>
    <w:p>
      <w:pPr>
        <w:ind w:left="880" w:right="400" w:hanging="315"/>
        <w:spacing w:after="0" w:line="225"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Efficiency: </w:t>
      </w:r>
      <w:r>
        <w:rPr>
          <w:rFonts w:ascii="Times New Roman" w:cs="Times New Roman" w:eastAsia="Times New Roman" w:hAnsi="Times New Roman"/>
          <w:sz w:val="18"/>
          <w:szCs w:val="18"/>
          <w:color w:val="auto"/>
        </w:rPr>
        <w:t>maintain low operating cost structure relative to peers and continually identify opportunities to improve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functional groups where practicable</w:t>
      </w:r>
    </w:p>
    <w:p>
      <w:pPr>
        <w:ind w:left="880" w:right="380" w:hanging="315"/>
        <w:spacing w:after="0" w:line="211"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Risk Management: </w:t>
      </w:r>
      <w:r>
        <w:rPr>
          <w:rFonts w:ascii="Times New Roman" w:cs="Times New Roman" w:eastAsia="Times New Roman" w:hAnsi="Times New Roman"/>
          <w:sz w:val="18"/>
          <w:szCs w:val="18"/>
          <w:color w:val="auto"/>
        </w:rPr>
        <w:t>manage portfolio risk based on the Company’s comprehensive risk management framework and preserve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continuity through operational and cybersecurity risk management</w:t>
      </w:r>
    </w:p>
    <w:p>
      <w:pPr>
        <w:ind w:left="880" w:right="260" w:hanging="315"/>
        <w:spacing w:after="0" w:line="208"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Focus and Capital Management: </w:t>
      </w:r>
      <w:r>
        <w:rPr>
          <w:rFonts w:ascii="Times New Roman" w:cs="Times New Roman" w:eastAsia="Times New Roman" w:hAnsi="Times New Roman"/>
          <w:sz w:val="18"/>
          <w:szCs w:val="18"/>
          <w:color w:val="auto"/>
        </w:rPr>
        <w:t>provide detailed and transparent financial disclosure and clear and effective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actively engage with stockholders, and maintain an active stockholder-friendly approach to capital management consistent with broader market considerations</w:t>
      </w:r>
    </w:p>
    <w:p>
      <w:pPr>
        <w:spacing w:after="0" w:line="1" w:lineRule="exact"/>
        <w:rPr>
          <w:rFonts w:ascii="Times New Roman" w:cs="Times New Roman" w:eastAsia="Times New Roman" w:hAnsi="Times New Roman"/>
          <w:sz w:val="18"/>
          <w:szCs w:val="18"/>
          <w:color w:val="auto"/>
        </w:rPr>
      </w:pPr>
    </w:p>
    <w:p>
      <w:pPr>
        <w:ind w:left="880" w:right="840" w:hanging="315"/>
        <w:spacing w:after="0" w:line="226"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Responsibility: </w:t>
      </w:r>
      <w:r>
        <w:rPr>
          <w:rFonts w:ascii="Times New Roman" w:cs="Times New Roman" w:eastAsia="Times New Roman" w:hAnsi="Times New Roman"/>
          <w:sz w:val="18"/>
          <w:szCs w:val="18"/>
          <w:color w:val="auto"/>
        </w:rPr>
        <w:t>expand and improve high-quality corporate responsibility practices and continue to incorporate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factors into AGNC’s strategy, business, and operations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Annual 2024 Corporate Scorecard Incentive Compensation Determination</w:t>
      </w:r>
    </w:p>
    <w:p>
      <w:pPr>
        <w:spacing w:after="0" w:line="227"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Following a review of each of the components of the 2024 Corporate Scorecard, the Compensation Committee calculated a total scorecard payout for 2024 of 159.5% of target. A more detailed discussion regarding each of the elements included in the Corporate Scorecard is provided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vMerge w:val="restart"/>
            <w:shd w:val="clear" w:color="auto" w:fill="407CCA"/>
          </w:tcPr>
          <w:p>
            <w:pPr>
              <w:ind w:left="100"/>
              <w:spacing w:after="0"/>
              <w:rPr>
                <w:sz w:val="20"/>
                <w:szCs w:val="20"/>
                <w:color w:val="auto"/>
              </w:rPr>
            </w:pPr>
            <w:r>
              <w:rPr>
                <w:rFonts w:ascii="Times New Roman" w:cs="Times New Roman" w:eastAsia="Times New Roman" w:hAnsi="Times New Roman"/>
                <w:sz w:val="18"/>
                <w:szCs w:val="18"/>
                <w:b w:val="1"/>
                <w:bCs w:val="1"/>
                <w:color w:val="FFFFFF"/>
              </w:rPr>
              <w:t>Component</w:t>
            </w:r>
          </w:p>
        </w:tc>
        <w:tc>
          <w:tcPr>
            <w:tcW w:w="3020" w:type="dxa"/>
            <w:vAlign w:val="bottom"/>
            <w:shd w:val="clear" w:color="auto" w:fill="407CCA"/>
          </w:tcPr>
          <w:p>
            <w:pPr>
              <w:jc w:val="right"/>
              <w:ind w:right="444"/>
              <w:spacing w:after="0"/>
              <w:rPr>
                <w:sz w:val="20"/>
                <w:szCs w:val="20"/>
                <w:color w:val="auto"/>
              </w:rPr>
            </w:pPr>
            <w:r>
              <w:rPr>
                <w:rFonts w:ascii="Times New Roman" w:cs="Times New Roman" w:eastAsia="Times New Roman" w:hAnsi="Times New Roman"/>
                <w:sz w:val="13"/>
                <w:szCs w:val="13"/>
                <w:b w:val="1"/>
                <w:bCs w:val="1"/>
                <w:color w:val="FFFFFF"/>
              </w:rPr>
              <w:t>Component</w:t>
            </w:r>
          </w:p>
        </w:tc>
        <w:tc>
          <w:tcPr>
            <w:tcW w:w="2020" w:type="dxa"/>
            <w:vAlign w:val="bottom"/>
            <w:shd w:val="clear" w:color="auto" w:fill="407CCA"/>
          </w:tcPr>
          <w:p>
            <w:pPr>
              <w:ind w:left="520"/>
              <w:spacing w:after="0"/>
              <w:rPr>
                <w:sz w:val="20"/>
                <w:szCs w:val="20"/>
                <w:color w:val="auto"/>
              </w:rPr>
            </w:pPr>
            <w:r>
              <w:rPr>
                <w:rFonts w:ascii="Times New Roman" w:cs="Times New Roman" w:eastAsia="Times New Roman" w:hAnsi="Times New Roman"/>
                <w:sz w:val="13"/>
                <w:szCs w:val="13"/>
                <w:b w:val="1"/>
                <w:bCs w:val="1"/>
                <w:color w:val="FFFFFF"/>
              </w:rPr>
              <w:t>Component</w:t>
            </w:r>
          </w:p>
        </w:tc>
        <w:tc>
          <w:tcPr>
            <w:tcW w:w="1540" w:type="dxa"/>
            <w:vAlign w:val="bottom"/>
            <w:shd w:val="clear" w:color="auto" w:fill="407CCA"/>
          </w:tcPr>
          <w:p>
            <w:pPr>
              <w:jc w:val="right"/>
              <w:spacing w:after="0"/>
              <w:rPr>
                <w:sz w:val="20"/>
                <w:szCs w:val="20"/>
                <w:color w:val="auto"/>
              </w:rPr>
            </w:pPr>
            <w:r>
              <w:rPr>
                <w:rFonts w:ascii="Times New Roman" w:cs="Times New Roman" w:eastAsia="Times New Roman" w:hAnsi="Times New Roman"/>
                <w:sz w:val="13"/>
                <w:szCs w:val="13"/>
                <w:b w:val="1"/>
                <w:bCs w:val="1"/>
                <w:color w:val="FFFFFF"/>
              </w:rPr>
              <w:t>Weighted</w:t>
            </w:r>
          </w:p>
        </w:tc>
        <w:tc>
          <w:tcPr>
            <w:tcW w:w="0" w:type="dxa"/>
            <w:vAlign w:val="bottom"/>
          </w:tcPr>
          <w:p>
            <w:pPr>
              <w:spacing w:after="0"/>
              <w:rPr>
                <w:sz w:val="1"/>
                <w:szCs w:val="1"/>
                <w:color w:val="auto"/>
              </w:rPr>
            </w:pPr>
          </w:p>
        </w:tc>
      </w:tr>
      <w:tr>
        <w:trPr>
          <w:trHeight w:val="182"/>
        </w:trPr>
        <w:tc>
          <w:tcPr>
            <w:tcW w:w="4620" w:type="dxa"/>
            <w:vAlign w:val="bottom"/>
            <w:vMerge w:val="continue"/>
            <w:shd w:val="clear" w:color="auto" w:fill="407CCA"/>
          </w:tcPr>
          <w:p>
            <w:pPr>
              <w:spacing w:after="0"/>
              <w:rPr>
                <w:sz w:val="15"/>
                <w:szCs w:val="15"/>
                <w:color w:val="auto"/>
              </w:rPr>
            </w:pPr>
          </w:p>
        </w:tc>
        <w:tc>
          <w:tcPr>
            <w:tcW w:w="3020" w:type="dxa"/>
            <w:vAlign w:val="bottom"/>
            <w:shd w:val="clear" w:color="auto" w:fill="407CCA"/>
          </w:tcPr>
          <w:p>
            <w:pPr>
              <w:jc w:val="right"/>
              <w:ind w:right="444"/>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2020" w:type="dxa"/>
            <w:vAlign w:val="bottom"/>
            <w:shd w:val="clear" w:color="auto" w:fill="407CCA"/>
          </w:tcPr>
          <w:p>
            <w:pPr>
              <w:ind w:left="780"/>
              <w:spacing w:after="0"/>
              <w:rPr>
                <w:sz w:val="20"/>
                <w:szCs w:val="20"/>
                <w:color w:val="auto"/>
              </w:rPr>
            </w:pPr>
            <w:r>
              <w:rPr>
                <w:rFonts w:ascii="Times New Roman" w:cs="Times New Roman" w:eastAsia="Times New Roman" w:hAnsi="Times New Roman"/>
                <w:sz w:val="13"/>
                <w:szCs w:val="13"/>
                <w:b w:val="1"/>
                <w:bCs w:val="1"/>
                <w:color w:val="FFFFFF"/>
              </w:rPr>
              <w:t>Payout</w:t>
            </w:r>
          </w:p>
        </w:tc>
        <w:tc>
          <w:tcPr>
            <w:tcW w:w="1540" w:type="dxa"/>
            <w:vAlign w:val="bottom"/>
            <w:shd w:val="clear" w:color="auto" w:fill="407CCA"/>
          </w:tcPr>
          <w:p>
            <w:pPr>
              <w:jc w:val="right"/>
              <w:spacing w:after="0"/>
              <w:rPr>
                <w:sz w:val="20"/>
                <w:szCs w:val="20"/>
                <w:color w:val="auto"/>
              </w:rPr>
            </w:pPr>
            <w:r>
              <w:rPr>
                <w:rFonts w:ascii="Times New Roman" w:cs="Times New Roman" w:eastAsia="Times New Roman" w:hAnsi="Times New Roman"/>
                <w:sz w:val="13"/>
                <w:szCs w:val="13"/>
                <w:b w:val="1"/>
                <w:bCs w:val="1"/>
                <w:color w:val="FFFFFF"/>
              </w:rPr>
              <w:t>Payout</w:t>
            </w:r>
          </w:p>
        </w:tc>
        <w:tc>
          <w:tcPr>
            <w:tcW w:w="0" w:type="dxa"/>
            <w:vAlign w:val="bottom"/>
          </w:tcPr>
          <w:p>
            <w:pPr>
              <w:spacing w:after="0"/>
              <w:rPr>
                <w:sz w:val="1"/>
                <w:szCs w:val="1"/>
                <w:color w:val="auto"/>
              </w:rPr>
            </w:pPr>
          </w:p>
        </w:tc>
      </w:tr>
      <w:tr>
        <w:trPr>
          <w:trHeight w:val="225"/>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Metrics</w:t>
            </w:r>
          </w:p>
        </w:tc>
        <w:tc>
          <w:tcPr>
            <w:tcW w:w="302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75%</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174.3%</w:t>
            </w: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4"/>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Strategic and Operational Objectives</w:t>
            </w:r>
          </w:p>
        </w:tc>
        <w:tc>
          <w:tcPr>
            <w:tcW w:w="302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25%</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115.0%</w:t>
            </w: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4620" w:type="dxa"/>
            <w:vAlign w:val="bottom"/>
            <w:shd w:val="clear" w:color="auto" w:fill="789E91"/>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Scorecard Payout</w:t>
            </w:r>
          </w:p>
        </w:tc>
        <w:tc>
          <w:tcPr>
            <w:tcW w:w="3020" w:type="dxa"/>
            <w:vAlign w:val="bottom"/>
            <w:shd w:val="clear" w:color="auto" w:fill="789E91"/>
          </w:tcPr>
          <w:p>
            <w:pPr>
              <w:spacing w:after="0"/>
              <w:rPr>
                <w:sz w:val="19"/>
                <w:szCs w:val="19"/>
                <w:color w:val="auto"/>
              </w:rPr>
            </w:pPr>
          </w:p>
        </w:tc>
        <w:tc>
          <w:tcPr>
            <w:tcW w:w="2020" w:type="dxa"/>
            <w:vAlign w:val="bottom"/>
            <w:shd w:val="clear" w:color="auto" w:fill="789E91"/>
          </w:tcPr>
          <w:p>
            <w:pPr>
              <w:spacing w:after="0"/>
              <w:rPr>
                <w:sz w:val="19"/>
                <w:szCs w:val="19"/>
                <w:color w:val="auto"/>
              </w:rPr>
            </w:pPr>
          </w:p>
        </w:tc>
        <w:tc>
          <w:tcPr>
            <w:tcW w:w="1540" w:type="dxa"/>
            <w:vAlign w:val="bottom"/>
            <w:shd w:val="clear" w:color="auto" w:fill="789E91"/>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159.5%</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2024 Financial Metric Results</w:t>
      </w:r>
    </w:p>
    <w:p>
      <w:pPr>
        <w:spacing w:after="0" w:line="21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Based on our 2024 Corporate Scorecard, our 2024 financial metric performance indicated a 174.3% payout for the financial metric component, as significant outperformance compared to our peer group under both relative measures combined with an above target absolute economic return for the year</w:t>
      </w:r>
    </w:p>
    <w:p>
      <w:pPr>
        <w:spacing w:after="0" w:line="242" w:lineRule="auto"/>
        <w:rPr>
          <w:sz w:val="20"/>
          <w:szCs w:val="20"/>
          <w:color w:val="auto"/>
        </w:rPr>
      </w:pPr>
      <w:r>
        <w:rPr>
          <w:rFonts w:ascii="Times New Roman" w:cs="Times New Roman" w:eastAsia="Times New Roman" w:hAnsi="Times New Roman"/>
          <w:sz w:val="18"/>
          <w:szCs w:val="18"/>
          <w:color w:val="auto"/>
        </w:rPr>
        <w:t>drove a favorable above-plan outcome. AGNC generated a positive absolute annual economic return of 13.2% for the year, above the 10% base target. On a relative annual economic return basis, AGNC significantly outperformed the Agency REIT Peer Group average by 13.4 percentage points, materially exceeding the 10.0 percentage point outperformance level. AGNC posted the highest price-to-tangible book ratio over the measurement period in our peer group by a wide margin, significantly outperforming the Agency REIT Peer Group average by 18.9 percentage points over the measurement period and materially exceeding the 10.0 percentage points outperformance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3780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251"/>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Annual Economic Return and Relative Price-to-Tangible Book Ratio calculations are based on percentage points.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6"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407CCA"/>
        </w:rPr>
        <w:t xml:space="preserve">32AGNC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2024 Strategic and Operational Review</w:t>
      </w:r>
    </w:p>
    <w:p>
      <w:pPr>
        <w:spacing w:after="0" w:line="77" w:lineRule="exact"/>
        <w:rPr>
          <w:sz w:val="20"/>
          <w:szCs w:val="20"/>
          <w:color w:val="auto"/>
        </w:rPr>
      </w:pPr>
    </w:p>
    <w:p>
      <w:pPr>
        <w:ind w:right="280" w:firstLine="648"/>
        <w:spacing w:after="0" w:line="222" w:lineRule="auto"/>
        <w:rPr>
          <w:sz w:val="20"/>
          <w:szCs w:val="20"/>
          <w:color w:val="auto"/>
        </w:rPr>
      </w:pPr>
      <w:r>
        <w:rPr>
          <w:rFonts w:ascii="Times New Roman" w:cs="Times New Roman" w:eastAsia="Times New Roman" w:hAnsi="Times New Roman"/>
          <w:sz w:val="18"/>
          <w:szCs w:val="18"/>
          <w:color w:val="auto"/>
        </w:rPr>
        <w:t>In evaluating our performance under the strategic and operational objectives portion of the Corporate Scorecard, the Compensation Committee determined that Company personnel exceeded target expectations for the year in a number of categories, meriting a 115% performance rating on these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In reaching these conclusions, the Compensation Committee noted a number of accomplishments, including the following: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shd w:val="clear" w:color="auto" w:fill="80C9FF"/>
          </w:tcPr>
          <w:p>
            <w:pPr>
              <w:ind w:left="20"/>
              <w:spacing w:after="0"/>
              <w:rPr>
                <w:sz w:val="20"/>
                <w:szCs w:val="20"/>
                <w:color w:val="auto"/>
              </w:rPr>
            </w:pPr>
            <w:r>
              <w:rPr>
                <w:rFonts w:ascii="Times New Roman" w:cs="Times New Roman" w:eastAsia="Times New Roman" w:hAnsi="Times New Roman"/>
                <w:sz w:val="18"/>
                <w:szCs w:val="18"/>
                <w:b w:val="1"/>
                <w:bCs w:val="1"/>
                <w:color w:val="auto"/>
              </w:rPr>
              <w:t>Strategic Component</w:t>
            </w:r>
          </w:p>
        </w:tc>
        <w:tc>
          <w:tcPr>
            <w:tcW w:w="3760" w:type="dxa"/>
            <w:vAlign w:val="bottom"/>
            <w:shd w:val="clear" w:color="auto" w:fill="80C9FF"/>
          </w:tcPr>
          <w:p>
            <w:pPr>
              <w:ind w:left="300"/>
              <w:spacing w:after="0"/>
              <w:rPr>
                <w:sz w:val="20"/>
                <w:szCs w:val="20"/>
                <w:color w:val="auto"/>
              </w:rPr>
            </w:pPr>
            <w:r>
              <w:rPr>
                <w:rFonts w:ascii="Times New Roman" w:cs="Times New Roman" w:eastAsia="Times New Roman" w:hAnsi="Times New Roman"/>
                <w:sz w:val="18"/>
                <w:szCs w:val="18"/>
                <w:b w:val="1"/>
                <w:bCs w:val="1"/>
                <w:color w:val="auto"/>
              </w:rPr>
              <w:t>Objective / Focus</w:t>
            </w:r>
          </w:p>
        </w:tc>
        <w:tc>
          <w:tcPr>
            <w:tcW w:w="5420" w:type="dxa"/>
            <w:vAlign w:val="bottom"/>
            <w:shd w:val="clear" w:color="auto" w:fill="80C9FF"/>
          </w:tcPr>
          <w:p>
            <w:pPr>
              <w:ind w:left="160"/>
              <w:spacing w:after="0"/>
              <w:rPr>
                <w:sz w:val="20"/>
                <w:szCs w:val="20"/>
                <w:color w:val="auto"/>
              </w:rPr>
            </w:pPr>
            <w:r>
              <w:rPr>
                <w:rFonts w:ascii="Times New Roman" w:cs="Times New Roman" w:eastAsia="Times New Roman" w:hAnsi="Times New Roman"/>
                <w:sz w:val="18"/>
                <w:szCs w:val="18"/>
                <w:b w:val="1"/>
                <w:bCs w:val="1"/>
                <w:color w:val="auto"/>
              </w:rPr>
              <w:t>Highlights</w:t>
            </w:r>
          </w:p>
        </w:tc>
      </w:tr>
      <w:tr>
        <w:trPr>
          <w:trHeight w:val="175"/>
        </w:trPr>
        <w:tc>
          <w:tcPr>
            <w:tcW w:w="1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407CCA"/>
              </w:rPr>
              <w:t>Operating Efficiency</w:t>
            </w:r>
          </w:p>
        </w:tc>
        <w:tc>
          <w:tcPr>
            <w:tcW w:w="3760" w:type="dxa"/>
            <w:vAlign w:val="bottom"/>
          </w:tcPr>
          <w:p>
            <w:pPr>
              <w:ind w:left="300"/>
              <w:spacing w:after="0" w:line="176"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Maintain low operating cost structure</w:t>
            </w:r>
          </w:p>
        </w:tc>
        <w:tc>
          <w:tcPr>
            <w:tcW w:w="5420" w:type="dxa"/>
            <w:vAlign w:val="bottom"/>
          </w:tcPr>
          <w:p>
            <w:pPr>
              <w:ind w:left="160"/>
              <w:spacing w:after="0" w:line="176" w:lineRule="exact"/>
              <w:rPr>
                <w:sz w:val="20"/>
                <w:szCs w:val="20"/>
                <w:color w:val="auto"/>
              </w:rPr>
            </w:pPr>
            <w:r>
              <w:rPr>
                <w:rFonts w:ascii="Wingdings" w:cs="Wingdings" w:eastAsia="Wingdings" w:hAnsi="Wingdings"/>
                <w:sz w:val="18"/>
                <w:szCs w:val="18"/>
                <w:b w:val="1"/>
                <w:bCs w:val="1"/>
                <w:color w:val="auto"/>
                <w:w w:val="97"/>
              </w:rPr>
              <w:t xml:space="preserve">ü  </w:t>
            </w:r>
            <w:r>
              <w:rPr>
                <w:rFonts w:ascii="Times New Roman" w:cs="Times New Roman" w:eastAsia="Times New Roman" w:hAnsi="Times New Roman"/>
                <w:sz w:val="18"/>
                <w:szCs w:val="18"/>
                <w:color w:val="auto"/>
                <w:w w:val="97"/>
              </w:rPr>
              <w:t>Continued to outperform mREIT industry on an operating cost basis</w:t>
            </w:r>
          </w:p>
        </w:tc>
      </w:tr>
      <w:tr>
        <w:trPr>
          <w:trHeight w:val="184"/>
        </w:trPr>
        <w:tc>
          <w:tcPr>
            <w:tcW w:w="1960" w:type="dxa"/>
            <w:vAlign w:val="bottom"/>
          </w:tcPr>
          <w:p>
            <w:pPr>
              <w:spacing w:after="0"/>
              <w:rPr>
                <w:sz w:val="16"/>
                <w:szCs w:val="16"/>
                <w:color w:val="auto"/>
              </w:rPr>
            </w:pPr>
          </w:p>
        </w:tc>
        <w:tc>
          <w:tcPr>
            <w:tcW w:w="3760" w:type="dxa"/>
            <w:vAlign w:val="bottom"/>
          </w:tcPr>
          <w:p>
            <w:pPr>
              <w:ind w:left="640"/>
              <w:spacing w:after="0" w:line="184" w:lineRule="exact"/>
              <w:rPr>
                <w:sz w:val="20"/>
                <w:szCs w:val="20"/>
                <w:color w:val="auto"/>
              </w:rPr>
            </w:pPr>
            <w:r>
              <w:rPr>
                <w:rFonts w:ascii="Times New Roman" w:cs="Times New Roman" w:eastAsia="Times New Roman" w:hAnsi="Times New Roman"/>
                <w:sz w:val="18"/>
                <w:szCs w:val="18"/>
                <w:color w:val="auto"/>
              </w:rPr>
              <w:t>relative to the residential mortgage REIT</w:t>
            </w:r>
          </w:p>
        </w:tc>
        <w:tc>
          <w:tcPr>
            <w:tcW w:w="54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by a wide margin</w:t>
            </w:r>
          </w:p>
        </w:tc>
      </w:tr>
      <w:tr>
        <w:trPr>
          <w:trHeight w:val="180"/>
        </w:trPr>
        <w:tc>
          <w:tcPr>
            <w:tcW w:w="1960" w:type="dxa"/>
            <w:vAlign w:val="bottom"/>
          </w:tcPr>
          <w:p>
            <w:pPr>
              <w:spacing w:after="0"/>
              <w:rPr>
                <w:sz w:val="15"/>
                <w:szCs w:val="15"/>
                <w:color w:val="auto"/>
              </w:rPr>
            </w:pPr>
          </w:p>
        </w:tc>
        <w:tc>
          <w:tcPr>
            <w:tcW w:w="376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and broader asset management industries</w:t>
            </w:r>
          </w:p>
        </w:tc>
        <w:tc>
          <w:tcPr>
            <w:tcW w:w="5420" w:type="dxa"/>
            <w:vAlign w:val="bottom"/>
          </w:tcPr>
          <w:p>
            <w:pPr>
              <w:ind w:left="160"/>
              <w:spacing w:after="0" w:line="181"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Accelerated accounting closing process through increased</w:t>
            </w:r>
          </w:p>
        </w:tc>
      </w:tr>
      <w:tr>
        <w:trPr>
          <w:trHeight w:val="175"/>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54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automation</w:t>
            </w:r>
          </w:p>
        </w:tc>
      </w:tr>
      <w:tr>
        <w:trPr>
          <w:trHeight w:val="234"/>
        </w:trPr>
        <w:tc>
          <w:tcPr>
            <w:tcW w:w="19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Developed single platform for processing repo transactions</w:t>
            </w:r>
          </w:p>
        </w:tc>
      </w:tr>
    </w:tbl>
    <w:p>
      <w:pPr>
        <w:spacing w:after="0" w:line="200" w:lineRule="exact"/>
        <w:rPr>
          <w:sz w:val="20"/>
          <w:szCs w:val="20"/>
          <w:color w:val="auto"/>
        </w:rPr>
      </w:pPr>
    </w:p>
    <w:p>
      <w:pPr>
        <w:sectPr>
          <w:pgSz w:w="11900" w:h="16838" w:orient="portrait"/>
          <w:cols w:equalWidth="0" w:num="1">
            <w:col w:w="11220"/>
          </w:cols>
          <w:pgMar w:left="320" w:top="104" w:right="359" w:bottom="1440" w:gutter="0" w:footer="0" w:header="0"/>
        </w:sectPr>
      </w:pPr>
    </w:p>
    <w:p>
      <w:pPr>
        <w:spacing w:after="0" w:line="47" w:lineRule="exact"/>
        <w:rPr>
          <w:sz w:val="20"/>
          <w:szCs w:val="20"/>
          <w:color w:val="auto"/>
        </w:rPr>
      </w:pPr>
    </w:p>
    <w:p>
      <w:pPr>
        <w:ind w:left="2580" w:right="240" w:hanging="2564"/>
        <w:spacing w:after="0" w:line="222" w:lineRule="auto"/>
        <w:tabs>
          <w:tab w:leader="none" w:pos="2560" w:val="left"/>
        </w:tabs>
        <w:rPr>
          <w:sz w:val="20"/>
          <w:szCs w:val="20"/>
          <w:color w:val="auto"/>
        </w:rPr>
      </w:pPr>
      <w:r>
        <w:rPr>
          <w:rFonts w:ascii="Times New Roman" w:cs="Times New Roman" w:eastAsia="Times New Roman" w:hAnsi="Times New Roman"/>
          <w:sz w:val="18"/>
          <w:szCs w:val="18"/>
          <w:color w:val="407CCA"/>
        </w:rPr>
        <w:t xml:space="preserve">Disciplined Risk Management </w:t>
      </w:r>
      <w:r>
        <w:rPr>
          <w:rFonts w:ascii="Wingdings" w:cs="Wingdings" w:eastAsia="Wingdings" w:hAnsi="Wingdings"/>
          <w:sz w:val="18"/>
          <w:szCs w:val="18"/>
          <w:b w:val="1"/>
          <w:bCs w:val="1"/>
          <w:color w:val="000000"/>
        </w:rPr>
        <w:t>ü</w:t>
      </w:r>
      <w:r>
        <w:rPr>
          <w:rFonts w:ascii="Times New Roman" w:cs="Times New Roman" w:eastAsia="Times New Roman" w:hAnsi="Times New Roman"/>
          <w:sz w:val="18"/>
          <w:szCs w:val="18"/>
          <w:color w:val="auto"/>
        </w:rPr>
        <w:tab/>
        <w:t>Utilize comprehensive risk management framework predicated on careful asset</w:t>
      </w:r>
    </w:p>
    <w:p>
      <w:pPr>
        <w:spacing w:after="0" w:line="2" w:lineRule="exact"/>
        <w:rPr>
          <w:sz w:val="20"/>
          <w:szCs w:val="20"/>
          <w:color w:val="auto"/>
        </w:rPr>
      </w:pPr>
    </w:p>
    <w:p>
      <w:pPr>
        <w:ind w:left="2600" w:right="40"/>
        <w:spacing w:after="0" w:line="220" w:lineRule="auto"/>
        <w:rPr>
          <w:sz w:val="20"/>
          <w:szCs w:val="20"/>
          <w:color w:val="auto"/>
        </w:rPr>
      </w:pPr>
      <w:r>
        <w:rPr>
          <w:rFonts w:ascii="Times New Roman" w:cs="Times New Roman" w:eastAsia="Times New Roman" w:hAnsi="Times New Roman"/>
          <w:sz w:val="17"/>
          <w:szCs w:val="17"/>
          <w:color w:val="auto"/>
        </w:rPr>
        <w:t>selection, disciplined hedging, and diversified funding to preserve tangible net book value across a wide range of market</w:t>
      </w:r>
    </w:p>
    <w:p>
      <w:pPr>
        <w:spacing w:after="0" w:line="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scenarios</w:t>
      </w:r>
    </w:p>
    <w:p>
      <w:pPr>
        <w:spacing w:after="0" w:line="180" w:lineRule="exact"/>
        <w:rPr>
          <w:sz w:val="20"/>
          <w:szCs w:val="20"/>
          <w:color w:val="auto"/>
        </w:rPr>
      </w:pPr>
    </w:p>
    <w:p>
      <w:pPr>
        <w:ind w:left="2260"/>
        <w:spacing w:after="0"/>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Maintain business continuity through</w:t>
      </w:r>
    </w:p>
    <w:p>
      <w:pPr>
        <w:ind w:left="2600"/>
        <w:spacing w:after="0" w:line="219" w:lineRule="auto"/>
        <w:rPr>
          <w:sz w:val="20"/>
          <w:szCs w:val="20"/>
          <w:color w:val="auto"/>
        </w:rPr>
      </w:pPr>
      <w:r>
        <w:rPr>
          <w:rFonts w:ascii="Times New Roman" w:cs="Times New Roman" w:eastAsia="Times New Roman" w:hAnsi="Times New Roman"/>
          <w:sz w:val="18"/>
          <w:szCs w:val="18"/>
          <w:color w:val="auto"/>
        </w:rPr>
        <w:t>operational and cybersecurity risk</w:t>
      </w:r>
    </w:p>
    <w:p>
      <w:pPr>
        <w:jc w:val="center"/>
        <w:ind w:left="360"/>
        <w:spacing w:after="0"/>
        <w:rPr>
          <w:sz w:val="20"/>
          <w:szCs w:val="20"/>
          <w:color w:val="auto"/>
        </w:rPr>
      </w:pPr>
      <w:r>
        <w:rPr>
          <w:rFonts w:ascii="Times New Roman" w:cs="Times New Roman" w:eastAsia="Times New Roman" w:hAnsi="Times New Roman"/>
          <w:sz w:val="18"/>
          <w:szCs w:val="18"/>
          <w:color w:val="auto"/>
        </w:rPr>
        <w:t>management</w:t>
      </w:r>
    </w:p>
    <w:p>
      <w:pPr>
        <w:ind w:left="20"/>
        <w:spacing w:after="0"/>
        <w:tabs>
          <w:tab w:leader="none" w:pos="2240" w:val="left"/>
        </w:tabs>
        <w:rPr>
          <w:sz w:val="20"/>
          <w:szCs w:val="20"/>
          <w:color w:val="auto"/>
        </w:rPr>
      </w:pPr>
      <w:r>
        <w:rPr>
          <w:rFonts w:ascii="Times New Roman" w:cs="Times New Roman" w:eastAsia="Times New Roman" w:hAnsi="Times New Roman"/>
          <w:sz w:val="18"/>
          <w:szCs w:val="18"/>
          <w:color w:val="407CCA"/>
        </w:rPr>
        <w:t>Stockholder Focus and</w:t>
      </w:r>
      <w:r>
        <w:rPr>
          <w:sz w:val="20"/>
          <w:szCs w:val="20"/>
          <w:color w:val="auto"/>
        </w:rPr>
        <w:tab/>
      </w: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Provide detailed and transparent public</w:t>
      </w:r>
    </w:p>
    <w:p>
      <w:pPr>
        <w:ind w:left="20"/>
        <w:spacing w:after="0" w:line="232" w:lineRule="auto"/>
        <w:tabs>
          <w:tab w:leader="none" w:pos="2580" w:val="left"/>
        </w:tabs>
        <w:rPr>
          <w:sz w:val="20"/>
          <w:szCs w:val="20"/>
          <w:color w:val="auto"/>
        </w:rPr>
      </w:pPr>
      <w:r>
        <w:rPr>
          <w:rFonts w:ascii="Times New Roman" w:cs="Times New Roman" w:eastAsia="Times New Roman" w:hAnsi="Times New Roman"/>
          <w:sz w:val="18"/>
          <w:szCs w:val="18"/>
          <w:color w:val="407CCA"/>
        </w:rPr>
        <w:t>Capital Management</w:t>
      </w:r>
      <w:r>
        <w:rPr>
          <w:sz w:val="20"/>
          <w:szCs w:val="20"/>
          <w:color w:val="auto"/>
        </w:rPr>
        <w:tab/>
      </w:r>
      <w:r>
        <w:rPr>
          <w:rFonts w:ascii="Times New Roman" w:cs="Times New Roman" w:eastAsia="Times New Roman" w:hAnsi="Times New Roman"/>
          <w:sz w:val="17"/>
          <w:szCs w:val="17"/>
          <w:color w:val="auto"/>
        </w:rPr>
        <w:t>financial disclosure, actively engage with</w:t>
      </w:r>
    </w:p>
    <w:p>
      <w:pPr>
        <w:ind w:left="2600" w:right="180"/>
        <w:spacing w:after="0" w:line="226" w:lineRule="auto"/>
        <w:rPr>
          <w:sz w:val="20"/>
          <w:szCs w:val="20"/>
          <w:color w:val="auto"/>
        </w:rPr>
      </w:pPr>
      <w:r>
        <w:rPr>
          <w:rFonts w:ascii="Times New Roman" w:cs="Times New Roman" w:eastAsia="Times New Roman" w:hAnsi="Times New Roman"/>
          <w:sz w:val="18"/>
          <w:szCs w:val="18"/>
          <w:color w:val="auto"/>
        </w:rPr>
        <w:t>investors, and provide clear and effective stockholder communications</w:t>
      </w:r>
    </w:p>
    <w:p>
      <w:pPr>
        <w:spacing w:after="0" w:line="184" w:lineRule="exact"/>
        <w:rPr>
          <w:sz w:val="20"/>
          <w:szCs w:val="20"/>
          <w:color w:val="auto"/>
        </w:rPr>
      </w:pPr>
    </w:p>
    <w:p>
      <w:pPr>
        <w:ind w:left="2260"/>
        <w:spacing w:after="0"/>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Maintain an active, stockholder-friendly</w:t>
      </w:r>
    </w:p>
    <w:p>
      <w:pPr>
        <w:ind w:left="2600"/>
        <w:spacing w:after="0" w:line="205" w:lineRule="auto"/>
        <w:rPr>
          <w:sz w:val="20"/>
          <w:szCs w:val="20"/>
          <w:color w:val="auto"/>
        </w:rPr>
      </w:pPr>
      <w:r>
        <w:rPr>
          <w:rFonts w:ascii="Times New Roman" w:cs="Times New Roman" w:eastAsia="Times New Roman" w:hAnsi="Times New Roman"/>
          <w:sz w:val="18"/>
          <w:szCs w:val="18"/>
          <w:color w:val="auto"/>
        </w:rPr>
        <w:t>capital management approach that is</w:t>
      </w:r>
    </w:p>
    <w:p>
      <w:pPr>
        <w:ind w:left="2600"/>
        <w:spacing w:after="0" w:line="204" w:lineRule="auto"/>
        <w:rPr>
          <w:sz w:val="20"/>
          <w:szCs w:val="20"/>
          <w:color w:val="auto"/>
        </w:rPr>
      </w:pPr>
      <w:r>
        <w:rPr>
          <w:rFonts w:ascii="Times New Roman" w:cs="Times New Roman" w:eastAsia="Times New Roman" w:hAnsi="Times New Roman"/>
          <w:sz w:val="18"/>
          <w:szCs w:val="18"/>
          <w:color w:val="auto"/>
        </w:rPr>
        <w:t>consistent with broader market</w:t>
      </w:r>
    </w:p>
    <w:p>
      <w:pPr>
        <w:ind w:left="2600"/>
        <w:spacing w:after="0"/>
        <w:rPr>
          <w:sz w:val="20"/>
          <w:szCs w:val="20"/>
          <w:color w:val="auto"/>
        </w:rPr>
      </w:pPr>
      <w:r>
        <w:rPr>
          <w:rFonts w:ascii="Times New Roman" w:cs="Times New Roman" w:eastAsia="Times New Roman" w:hAnsi="Times New Roman"/>
          <w:sz w:val="18"/>
          <w:szCs w:val="18"/>
          <w:color w:val="auto"/>
        </w:rPr>
        <w:t>considerations</w:t>
      </w:r>
    </w:p>
    <w:p>
      <w:pPr>
        <w:spacing w:after="0" w:line="302"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18"/>
          <w:szCs w:val="18"/>
          <w:color w:val="407CCA"/>
        </w:rPr>
        <w:t>Corporate Responsibility</w:t>
      </w:r>
      <w:r>
        <w:rPr>
          <w:sz w:val="20"/>
          <w:szCs w:val="20"/>
          <w:color w:val="auto"/>
        </w:rPr>
        <w:tab/>
      </w: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Expand and improve high-quality corporate</w:t>
      </w:r>
    </w:p>
    <w:p>
      <w:pPr>
        <w:ind w:left="2600"/>
        <w:spacing w:after="0" w:line="219" w:lineRule="auto"/>
        <w:rPr>
          <w:sz w:val="20"/>
          <w:szCs w:val="20"/>
          <w:color w:val="auto"/>
        </w:rPr>
      </w:pPr>
      <w:r>
        <w:rPr>
          <w:rFonts w:ascii="Times New Roman" w:cs="Times New Roman" w:eastAsia="Times New Roman" w:hAnsi="Times New Roman"/>
          <w:sz w:val="18"/>
          <w:szCs w:val="18"/>
          <w:color w:val="auto"/>
        </w:rPr>
        <w:t>responsibility practices, and continue to</w:t>
      </w:r>
    </w:p>
    <w:p>
      <w:pPr>
        <w:ind w:left="2600"/>
        <w:spacing w:after="0" w:line="203" w:lineRule="auto"/>
        <w:rPr>
          <w:sz w:val="20"/>
          <w:szCs w:val="20"/>
          <w:color w:val="auto"/>
        </w:rPr>
      </w:pPr>
      <w:r>
        <w:rPr>
          <w:rFonts w:ascii="Times New Roman" w:cs="Times New Roman" w:eastAsia="Times New Roman" w:hAnsi="Times New Roman"/>
          <w:sz w:val="18"/>
          <w:szCs w:val="18"/>
          <w:color w:val="auto"/>
        </w:rPr>
        <w:t>incorporate material responsibility factors</w:t>
      </w:r>
    </w:p>
    <w:p>
      <w:pPr>
        <w:ind w:left="2600"/>
        <w:spacing w:after="0" w:line="204" w:lineRule="auto"/>
        <w:rPr>
          <w:sz w:val="20"/>
          <w:szCs w:val="20"/>
          <w:color w:val="auto"/>
        </w:rPr>
      </w:pPr>
      <w:r>
        <w:rPr>
          <w:rFonts w:ascii="Times New Roman" w:cs="Times New Roman" w:eastAsia="Times New Roman" w:hAnsi="Times New Roman"/>
          <w:sz w:val="18"/>
          <w:szCs w:val="18"/>
          <w:color w:val="auto"/>
        </w:rPr>
        <w:t>into AGNC’s strategy, business, and</w:t>
      </w:r>
    </w:p>
    <w:p>
      <w:pPr>
        <w:ind w:left="2600"/>
        <w:spacing w:after="0"/>
        <w:rPr>
          <w:sz w:val="20"/>
          <w:szCs w:val="20"/>
          <w:color w:val="auto"/>
        </w:rPr>
      </w:pPr>
      <w:r>
        <w:rPr>
          <w:rFonts w:ascii="Times New Roman" w:cs="Times New Roman" w:eastAsia="Times New Roman" w:hAnsi="Times New Roman"/>
          <w:sz w:val="18"/>
          <w:szCs w:val="18"/>
          <w:color w:val="auto"/>
        </w:rPr>
        <w:t>operations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29" w:right="200" w:hanging="329"/>
        <w:spacing w:after="0" w:line="216"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Enhanced business continuity planning through tabletop exercise and development of a response plan across functional areas for key services</w:t>
      </w:r>
    </w:p>
    <w:p>
      <w:pPr>
        <w:spacing w:after="0" w:line="1" w:lineRule="exact"/>
        <w:rPr>
          <w:rFonts w:ascii="Wingdings" w:cs="Wingdings" w:eastAsia="Wingdings" w:hAnsi="Wingdings"/>
          <w:sz w:val="18"/>
          <w:szCs w:val="18"/>
          <w:b w:val="1"/>
          <w:bCs w:val="1"/>
          <w:color w:val="auto"/>
        </w:rPr>
      </w:pPr>
    </w:p>
    <w:p>
      <w:pPr>
        <w:ind w:left="329" w:right="280" w:hanging="329"/>
        <w:spacing w:after="0" w:line="211"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Strengthened data resiliency by implementing immutable backups on AWS Backup with Vault Lock</w:t>
      </w:r>
    </w:p>
    <w:p>
      <w:pPr>
        <w:ind w:left="329" w:right="440" w:hanging="329"/>
        <w:spacing w:after="0" w:line="208"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Implemented improved cash management fraud controls, which enhance the security of payment and disbursement verification processes</w:t>
      </w:r>
    </w:p>
    <w:p>
      <w:pPr>
        <w:spacing w:after="0" w:line="1" w:lineRule="exact"/>
        <w:rPr>
          <w:rFonts w:ascii="Wingdings" w:cs="Wingdings" w:eastAsia="Wingdings" w:hAnsi="Wingdings"/>
          <w:sz w:val="18"/>
          <w:szCs w:val="18"/>
          <w:b w:val="1"/>
          <w:bCs w:val="1"/>
          <w:color w:val="auto"/>
        </w:rPr>
      </w:pPr>
    </w:p>
    <w:p>
      <w:pPr>
        <w:ind w:left="329" w:right="260" w:hanging="329"/>
        <w:spacing w:after="0" w:line="239" w:lineRule="auto"/>
        <w:tabs>
          <w:tab w:leader="none" w:pos="326" w:val="left"/>
        </w:tabs>
        <w:numPr>
          <w:ilvl w:val="0"/>
          <w:numId w:val="34"/>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Operated in compliance with risk reporting framework throughout 2024 and maintained funding diversification with ample capacity</w:t>
      </w:r>
    </w:p>
    <w:p>
      <w:pPr>
        <w:spacing w:after="0" w:line="63" w:lineRule="exact"/>
        <w:rPr>
          <w:rFonts w:ascii="Wingdings" w:cs="Wingdings" w:eastAsia="Wingdings" w:hAnsi="Wingdings"/>
          <w:sz w:val="17"/>
          <w:szCs w:val="17"/>
          <w:b w:val="1"/>
          <w:bCs w:val="1"/>
          <w:color w:val="auto"/>
        </w:rPr>
      </w:pPr>
    </w:p>
    <w:p>
      <w:pPr>
        <w:ind w:left="329" w:right="120" w:hanging="329"/>
        <w:spacing w:after="0" w:line="216"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Expanded investor relations outreach, new investor targeting, and external messaging strategies through new website and social media channels as well as creation of new investor materials</w:t>
      </w:r>
    </w:p>
    <w:p>
      <w:pPr>
        <w:spacing w:after="0" w:line="1" w:lineRule="exact"/>
        <w:rPr>
          <w:rFonts w:ascii="Wingdings" w:cs="Wingdings" w:eastAsia="Wingdings" w:hAnsi="Wingdings"/>
          <w:sz w:val="18"/>
          <w:szCs w:val="18"/>
          <w:b w:val="1"/>
          <w:bCs w:val="1"/>
          <w:color w:val="auto"/>
        </w:rPr>
      </w:pPr>
    </w:p>
    <w:p>
      <w:pPr>
        <w:ind w:left="329" w:right="140" w:hanging="329"/>
        <w:spacing w:after="0" w:line="219" w:lineRule="auto"/>
        <w:tabs>
          <w:tab w:leader="none" w:pos="326" w:val="left"/>
        </w:tabs>
        <w:numPr>
          <w:ilvl w:val="0"/>
          <w:numId w:val="34"/>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Refined external messaging, which continues to be highly effective, as evidenced by our significant and sustained common stock price-to-book premium, and which facilitated raising $2.0 billion of accretive common equity through our ATM program during 2024</w:t>
      </w:r>
    </w:p>
    <w:p>
      <w:pPr>
        <w:spacing w:after="0" w:line="1" w:lineRule="exact"/>
        <w:rPr>
          <w:rFonts w:ascii="Wingdings" w:cs="Wingdings" w:eastAsia="Wingdings" w:hAnsi="Wingdings"/>
          <w:sz w:val="17"/>
          <w:szCs w:val="17"/>
          <w:b w:val="1"/>
          <w:bCs w:val="1"/>
          <w:color w:val="auto"/>
        </w:rPr>
      </w:pPr>
    </w:p>
    <w:p>
      <w:pPr>
        <w:ind w:left="329" w:right="120" w:hanging="329"/>
        <w:spacing w:after="0" w:line="218"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Participated in eight investor conferences and five non-deal investor roadshows, held over 150 meetings and calls with institutional investors, and responded to over 400 letters, emails, and calls from retail investors throughout the year</w:t>
      </w:r>
    </w:p>
    <w:p>
      <w:pPr>
        <w:spacing w:after="0" w:line="10" w:lineRule="exact"/>
        <w:rPr>
          <w:rFonts w:ascii="Wingdings" w:cs="Wingdings" w:eastAsia="Wingdings" w:hAnsi="Wingdings"/>
          <w:sz w:val="18"/>
          <w:szCs w:val="18"/>
          <w:b w:val="1"/>
          <w:bCs w:val="1"/>
          <w:color w:val="auto"/>
        </w:rPr>
      </w:pPr>
    </w:p>
    <w:p>
      <w:pPr>
        <w:ind w:left="329" w:right="200" w:hanging="329"/>
        <w:spacing w:after="0" w:line="216"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Maintained high-quality governance oversight and structure, including compliance with governance, reporting, listing and REIT regulatory requirements</w:t>
      </w:r>
    </w:p>
    <w:p>
      <w:pPr>
        <w:spacing w:after="0" w:line="1" w:lineRule="exact"/>
        <w:rPr>
          <w:rFonts w:ascii="Wingdings" w:cs="Wingdings" w:eastAsia="Wingdings" w:hAnsi="Wingdings"/>
          <w:sz w:val="18"/>
          <w:szCs w:val="18"/>
          <w:b w:val="1"/>
          <w:bCs w:val="1"/>
          <w:color w:val="auto"/>
        </w:rPr>
      </w:pPr>
    </w:p>
    <w:p>
      <w:pPr>
        <w:ind w:left="329" w:right="160" w:hanging="329"/>
        <w:spacing w:after="0" w:line="220" w:lineRule="auto"/>
        <w:tabs>
          <w:tab w:leader="none" w:pos="326" w:val="left"/>
        </w:tabs>
        <w:numPr>
          <w:ilvl w:val="0"/>
          <w:numId w:val="34"/>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Achieved high levels of stockholder support for all proxy proposals at the 2024 Annual Meeting, demonstrating alignment of our governance, oversight, and management with stockholder interests</w:t>
      </w:r>
    </w:p>
    <w:p>
      <w:pPr>
        <w:spacing w:after="0" w:line="2" w:lineRule="exact"/>
        <w:rPr>
          <w:rFonts w:ascii="Wingdings" w:cs="Wingdings" w:eastAsia="Wingdings" w:hAnsi="Wingdings"/>
          <w:sz w:val="17"/>
          <w:szCs w:val="17"/>
          <w:b w:val="1"/>
          <w:bCs w:val="1"/>
          <w:color w:val="auto"/>
        </w:rPr>
      </w:pPr>
    </w:p>
    <w:p>
      <w:pPr>
        <w:ind w:left="329" w:right="160" w:hanging="329"/>
        <w:spacing w:after="0" w:line="211" w:lineRule="auto"/>
        <w:tabs>
          <w:tab w:leader="none" w:pos="326"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Published fourth annual ESG report and disclosures consistent with SASB and TCFD reporting framework</w:t>
      </w:r>
    </w:p>
    <w:p>
      <w:pPr>
        <w:ind w:left="329" w:hanging="329"/>
        <w:spacing w:after="0"/>
        <w:tabs>
          <w:tab w:leader="none" w:pos="329" w:val="left"/>
        </w:tabs>
        <w:numPr>
          <w:ilvl w:val="0"/>
          <w:numId w:val="3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Recognized by Fortune as one of the Best Small Workplaces™</w:t>
      </w:r>
    </w:p>
    <w:p>
      <w:pPr>
        <w:spacing w:after="0" w:line="200" w:lineRule="exact"/>
        <w:rPr>
          <w:sz w:val="20"/>
          <w:szCs w:val="20"/>
          <w:color w:val="auto"/>
        </w:rPr>
      </w:pPr>
    </w:p>
    <w:p>
      <w:pPr>
        <w:sectPr>
          <w:pgSz w:w="11900" w:h="16838" w:orient="portrait"/>
          <w:cols w:equalWidth="0" w:num="2">
            <w:col w:w="5740" w:space="131"/>
            <w:col w:w="5349"/>
          </w:cols>
          <w:pgMar w:left="320" w:top="10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Individual Bonus Decisions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2024 bonus payments for our NEOs are reflected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260" w:type="dxa"/>
            <w:vAlign w:val="bottom"/>
            <w:tcBorders>
              <w:top w:val="single" w:sz="8" w:color="407CCA"/>
              <w:bottom w:val="single" w:sz="8" w:color="407CCA"/>
            </w:tcBorders>
          </w:tcPr>
          <w:p>
            <w:pPr>
              <w:jc w:val="center"/>
              <w:ind w:left="554"/>
              <w:spacing w:after="0"/>
              <w:rPr>
                <w:sz w:val="20"/>
                <w:szCs w:val="20"/>
                <w:color w:val="auto"/>
              </w:rPr>
            </w:pPr>
            <w:r>
              <w:rPr>
                <w:rFonts w:ascii="Times New Roman" w:cs="Times New Roman" w:eastAsia="Times New Roman" w:hAnsi="Times New Roman"/>
                <w:sz w:val="13"/>
                <w:szCs w:val="13"/>
                <w:b w:val="1"/>
                <w:bCs w:val="1"/>
                <w:color w:val="auto"/>
                <w:w w:val="94"/>
              </w:rPr>
              <w:t>Short-Term Incentive Award</w:t>
            </w:r>
          </w:p>
        </w:tc>
        <w:tc>
          <w:tcPr>
            <w:tcW w:w="354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 of 2024 Target</w:t>
            </w:r>
          </w:p>
        </w:tc>
      </w:tr>
      <w:tr>
        <w:trPr>
          <w:trHeight w:val="214"/>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$7,177,500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159.5%</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$5,742,000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159.5%</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$3,825,900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141.7%</w:t>
            </w:r>
          </w:p>
        </w:tc>
      </w:tr>
      <w:tr>
        <w:trPr>
          <w:trHeight w:val="230"/>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$2,340,825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135.7%</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$1,764,100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135.7%</w:t>
            </w:r>
          </w:p>
        </w:tc>
      </w:tr>
      <w:tr>
        <w:trPr>
          <w:trHeight w:val="238"/>
        </w:trPr>
        <w:tc>
          <w:tcPr>
            <w:tcW w:w="342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260" w:type="dxa"/>
            <w:vAlign w:val="bottom"/>
            <w:tcBorders>
              <w:bottom w:val="single" w:sz="8" w:color="407CCA"/>
            </w:tcBorders>
          </w:tcPr>
          <w:p>
            <w:pPr>
              <w:jc w:val="center"/>
              <w:ind w:left="554"/>
              <w:spacing w:after="0"/>
              <w:rPr>
                <w:sz w:val="20"/>
                <w:szCs w:val="20"/>
                <w:color w:val="auto"/>
              </w:rPr>
            </w:pPr>
            <w:r>
              <w:rPr>
                <w:rFonts w:ascii="Times New Roman" w:cs="Times New Roman" w:eastAsia="Times New Roman" w:hAnsi="Times New Roman"/>
                <w:sz w:val="18"/>
                <w:szCs w:val="18"/>
                <w:color w:val="auto"/>
              </w:rPr>
              <w:t>$1,764,100</w:t>
            </w:r>
          </w:p>
        </w:tc>
        <w:tc>
          <w:tcPr>
            <w:tcW w:w="35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7"/>
              </w:rPr>
              <w:t>135.7%</w:t>
            </w:r>
          </w:p>
        </w:tc>
      </w:tr>
    </w:tbl>
    <w:p>
      <w:pPr>
        <w:spacing w:after="0" w:line="63" w:lineRule="exact"/>
        <w:rPr>
          <w:sz w:val="20"/>
          <w:szCs w:val="20"/>
          <w:color w:val="auto"/>
        </w:rPr>
      </w:pPr>
    </w:p>
    <w:p>
      <w:pPr>
        <w:jc w:val="both"/>
        <w:ind w:right="180" w:firstLine="648"/>
        <w:spacing w:after="0" w:line="236" w:lineRule="auto"/>
        <w:rPr>
          <w:sz w:val="20"/>
          <w:szCs w:val="20"/>
          <w:color w:val="auto"/>
        </w:rPr>
      </w:pPr>
      <w:r>
        <w:rPr>
          <w:rFonts w:ascii="Times New Roman" w:cs="Times New Roman" w:eastAsia="Times New Roman" w:hAnsi="Times New Roman"/>
          <w:sz w:val="17"/>
          <w:szCs w:val="17"/>
          <w:color w:val="auto"/>
        </w:rPr>
        <w:t>Short-term incentives for Messrs. Kain and Federico in 2024 were based solely on achievement of the Corporate Scorecard measures. Based on the Compensation Committee’s assessment of the 2024 Corporate Scorecard, this resulted in a payout of 159.5% of target for Messrs. Kain and Federico.</w:t>
      </w:r>
    </w:p>
    <w:p>
      <w:pPr>
        <w:ind w:right="160"/>
        <w:spacing w:after="0" w:line="220" w:lineRule="auto"/>
        <w:rPr>
          <w:sz w:val="20"/>
          <w:szCs w:val="20"/>
          <w:color w:val="auto"/>
        </w:rPr>
      </w:pPr>
      <w:r>
        <w:rPr>
          <w:rFonts w:ascii="Times New Roman" w:cs="Times New Roman" w:eastAsia="Times New Roman" w:hAnsi="Times New Roman"/>
          <w:sz w:val="17"/>
          <w:szCs w:val="17"/>
          <w:color w:val="auto"/>
        </w:rPr>
        <w:t>Short-term cash incentives for our NEOs other than Messrs. Federico and Kain were based predominantly on the Corporate Scorecard measures and to a lesser extent on individual performance. After considering the contributions of Messrs. Kuehl, Pollack, and Reid and Ms. Bell, as discussed below, and management’s collective achievements throughout the year, the Compensation Committee determined that a rating of 100.0% was appropriate for each of</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color w:val="auto"/>
        </w:rPr>
        <w:t>Messrs. Kuehl, Pollack, and Reid and Ms. Bell for the individual component element of their bonus. The Compensation Committee recognized the efforts of Ms. Bell and Messrs. Kuehl, Pollack, and Reid in a number of operational accomplishments throughout the organization that contributed to increased efficiency and resiliency as discussed in further detail below. Our Corporate Scorecard results reflect our strong absolute and relative performance in 2024.</w:t>
      </w:r>
    </w:p>
    <w:p>
      <w:pPr>
        <w:spacing w:after="0" w:line="199" w:lineRule="exact"/>
        <w:rPr>
          <w:sz w:val="20"/>
          <w:szCs w:val="20"/>
          <w:color w:val="auto"/>
        </w:rPr>
      </w:pPr>
    </w:p>
    <w:p>
      <w:pPr>
        <w:ind w:right="120" w:firstLine="648"/>
        <w:spacing w:after="0" w:line="229" w:lineRule="auto"/>
        <w:rPr>
          <w:sz w:val="20"/>
          <w:szCs w:val="20"/>
          <w:color w:val="auto"/>
        </w:rPr>
      </w:pPr>
      <w:r>
        <w:rPr>
          <w:rFonts w:ascii="Times New Roman" w:cs="Times New Roman" w:eastAsia="Times New Roman" w:hAnsi="Times New Roman"/>
          <w:sz w:val="17"/>
          <w:szCs w:val="17"/>
          <w:color w:val="auto"/>
        </w:rPr>
        <w:t>Mr. Kuehl was awarded a cash bonus at 141.7% of his target based on a relative weighting of the Corporate Scorecard at 70% and his personal performance at 30%. In evaluating his personal performance, the Compensation Committee noted his management of the Company’s investment portfolio in achieving outstanding economic returns for stockholders on an absolute and relative basis while maintaining the Company’s measured approach to risk</w:t>
      </w:r>
    </w:p>
    <w:p>
      <w:pPr>
        <w:ind w:right="80"/>
        <w:spacing w:after="0" w:line="208" w:lineRule="auto"/>
        <w:rPr>
          <w:sz w:val="20"/>
          <w:szCs w:val="20"/>
          <w:color w:val="auto"/>
        </w:rPr>
      </w:pPr>
      <w:r>
        <w:rPr>
          <w:rFonts w:ascii="Times New Roman" w:cs="Times New Roman" w:eastAsia="Times New Roman" w:hAnsi="Times New Roman"/>
          <w:sz w:val="18"/>
          <w:szCs w:val="18"/>
          <w:color w:val="auto"/>
        </w:rPr>
        <w:t>management. Ms. Bell and Messrs. Pollack and Reid each were awarded 135.7% of their target bonus, which reflects a relative weighting of the Corporate Scorecard at 60% and their individual personal performance at 40%. For Ms. Bell, the Compensation Committee considered her leadership in implementing automated tools to improve the Company’s quarterly closing procedures and increase efficiency. The Compensation Committee also</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recognized her contributions in improving controls over cash management systems. For Mr. Pollack, the Compensation Committee considered his participation in industry-wide responses to regulatory and legislative proposals with a potential to impact the Agency MBS market and our business and operations. The Compensation Committee also recognized his continued attention to the Board’s reporting and oversight process and compliance matters</w:t>
      </w:r>
    </w:p>
    <w:p>
      <w:pPr>
        <w:spacing w:after="0" w:line="2" w:lineRule="exact"/>
        <w:rPr>
          <w:sz w:val="20"/>
          <w:szCs w:val="20"/>
          <w:color w:val="auto"/>
        </w:rPr>
      </w:pPr>
    </w:p>
    <w:p>
      <w:pPr>
        <w:jc w:val="both"/>
        <w:ind w:right="200"/>
        <w:spacing w:after="0" w:line="220" w:lineRule="auto"/>
        <w:rPr>
          <w:sz w:val="20"/>
          <w:szCs w:val="20"/>
          <w:color w:val="auto"/>
        </w:rPr>
      </w:pPr>
      <w:r>
        <w:rPr>
          <w:rFonts w:ascii="Times New Roman" w:cs="Times New Roman" w:eastAsia="Times New Roman" w:hAnsi="Times New Roman"/>
          <w:sz w:val="17"/>
          <w:szCs w:val="17"/>
          <w:color w:val="auto"/>
        </w:rPr>
        <w:t>and the support of the legal department in the Company’s capital markets and business activities. For Mr. Reid, the Compensation Committee considered his leadership in our investor relations efforts, including the expansion of our corporate messaging to include additional market commentary designed to further educate our stakeholders on our operations and the MBS markets and to raise interest in Agency MBS more generally. The Compensation</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Committee also recognized his leadership in the Company’s capital market activities, including the issuance of $2.0 billion of accretive common stock through the Company’s ATM program.</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Compensation</w:t>
      </w:r>
    </w:p>
    <w:p>
      <w:pPr>
        <w:spacing w:after="0" w:line="94"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believes that equity incentive compensation is an important component of our NEO compensation package and is critical in attracting, motivating, and retaining outstanding employees. Equity incentive compensation is intended to closely align our NEOs’ and other employees’ interests with our long-term success and promote long-term employee retention. Our long-term incentive program consists of a combination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RSUs and time-vesting RSUs.</w:t>
      </w:r>
    </w:p>
    <w:p>
      <w:pPr>
        <w:spacing w:after="0" w:line="19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7"/>
          <w:szCs w:val="17"/>
          <w:color w:val="auto"/>
        </w:rPr>
        <w:t>Performance-based RSUs are designed to reward the generation of long-term economic returns for our stockholders both on an absolute and relative basis. To establish challenging economic thresholds and motivate long-term performance, the awards vest at the end of a three-year performance</w:t>
      </w:r>
    </w:p>
    <w:p>
      <w:pPr>
        <w:ind w:right="80"/>
        <w:spacing w:after="0" w:line="208" w:lineRule="auto"/>
        <w:rPr>
          <w:sz w:val="20"/>
          <w:szCs w:val="20"/>
          <w:color w:val="auto"/>
        </w:rPr>
      </w:pPr>
      <w:r>
        <w:rPr>
          <w:rFonts w:ascii="Times New Roman" w:cs="Times New Roman" w:eastAsia="Times New Roman" w:hAnsi="Times New Roman"/>
          <w:sz w:val="18"/>
          <w:szCs w:val="18"/>
          <w:color w:val="auto"/>
        </w:rPr>
        <w:t>period based 50% on our absolute economic return and 50% on our economic return relative to the unweighted average of economic returns of the Agency REIT Peer Group. In establishing vesting criteria for these awards, the Compensation Committee considers historical returns for us and our peers and overall market conditions. Absolute and relative economic returns are calculated on a cumulative basis over the three-year performance period.</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Achievement of these goals will be determined in the same manner, including the same peer group, as described above with respect to the short-term incentive awards for such year. For performance between the threshold, target, and outperformance goals, the number of shares vested will be determined through linear interpolation.</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2024 Long-Term Incentive Awards</w:t>
      </w:r>
    </w:p>
    <w:p>
      <w:pPr>
        <w:spacing w:after="0" w:line="79"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auto"/>
        </w:rPr>
        <w:t>The 2024 long-term incentive awards made by the Compensation Committee in February 2024 were at each NEO’s target levels as specified in their respective employment agreements and are reflected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6926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1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926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4"/>
                <w:szCs w:val="14"/>
                <w:b w:val="1"/>
                <w:bCs w:val="1"/>
                <w:color w:val="auto"/>
                <w:w w:val="99"/>
              </w:rPr>
              <w:t>Time-Vested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Performance-Vested</w:t>
            </w: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Value</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407CCA"/>
            </w:tcBorders>
            <w:vMerge w:val="continue"/>
          </w:tcPr>
          <w:p>
            <w:pPr>
              <w:spacing w:after="0"/>
              <w:rPr>
                <w:sz w:val="17"/>
                <w:szCs w:val="17"/>
                <w:color w:val="auto"/>
              </w:rPr>
            </w:pPr>
          </w:p>
        </w:tc>
        <w:tc>
          <w:tcPr>
            <w:tcW w:w="3540" w:type="dxa"/>
            <w:vAlign w:val="bottom"/>
            <w:tcBorders>
              <w:bottom w:val="single" w:sz="8" w:color="407CCA"/>
            </w:tcBorders>
          </w:tcPr>
          <w:p>
            <w:pPr>
              <w:jc w:val="center"/>
              <w:ind w:left="2215"/>
              <w:spacing w:after="0"/>
              <w:rPr>
                <w:sz w:val="20"/>
                <w:szCs w:val="20"/>
                <w:color w:val="auto"/>
              </w:rPr>
            </w:pPr>
            <w:r>
              <w:rPr>
                <w:rFonts w:ascii="Times New Roman" w:cs="Times New Roman" w:eastAsia="Times New Roman" w:hAnsi="Times New Roman"/>
                <w:sz w:val="14"/>
                <w:szCs w:val="14"/>
                <w:b w:val="1"/>
                <w:bCs w:val="1"/>
                <w:color w:val="auto"/>
              </w:rPr>
              <w:t xml:space="preserve">RSUs ($) </w:t>
            </w:r>
            <w:r>
              <w:rPr>
                <w:rFonts w:ascii="Times New Roman" w:cs="Times New Roman" w:eastAsia="Times New Roman" w:hAnsi="Times New Roman"/>
                <w:sz w:val="9"/>
                <w:szCs w:val="9"/>
                <w:b w:val="1"/>
                <w:bCs w:val="1"/>
                <w:color w:val="auto"/>
              </w:rPr>
              <w:t>1</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RSUs ($) </w:t>
            </w:r>
            <w:r>
              <w:rPr>
                <w:rFonts w:ascii="Times New Roman" w:cs="Times New Roman" w:eastAsia="Times New Roman" w:hAnsi="Times New Roman"/>
                <w:sz w:val="9"/>
                <w:szCs w:val="9"/>
                <w:b w:val="1"/>
                <w:bCs w:val="1"/>
                <w:color w:val="auto"/>
              </w:rPr>
              <w:t>2</w:t>
            </w:r>
          </w:p>
        </w:tc>
        <w:tc>
          <w:tcPr>
            <w:tcW w:w="1420" w:type="dxa"/>
            <w:vAlign w:val="bottom"/>
            <w:tcBorders>
              <w:bottom w:val="single" w:sz="8" w:color="407CCA"/>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xml:space="preserve">of Awards ($)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14"/>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1,650,000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3,350,000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5,000,000</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1,386,000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2,814,000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4,200,000</w:t>
            </w:r>
          </w:p>
        </w:tc>
        <w:tc>
          <w:tcPr>
            <w:tcW w:w="0" w:type="dxa"/>
            <w:vAlign w:val="bottom"/>
          </w:tcPr>
          <w:p>
            <w:pPr>
              <w:spacing w:after="0"/>
              <w:rPr>
                <w:sz w:val="1"/>
                <w:szCs w:val="1"/>
                <w:color w:val="auto"/>
              </w:rPr>
            </w:pPr>
          </w:p>
        </w:tc>
      </w:tr>
      <w:tr>
        <w:trPr>
          <w:trHeight w:val="230"/>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1,215,000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2,430,000</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3540" w:type="dxa"/>
            <w:vAlign w:val="bottom"/>
          </w:tcPr>
          <w:p>
            <w:pPr>
              <w:jc w:val="center"/>
              <w:ind w:left="2235"/>
              <w:spacing w:after="0"/>
              <w:rPr>
                <w:sz w:val="20"/>
                <w:szCs w:val="20"/>
                <w:color w:val="auto"/>
              </w:rPr>
            </w:pPr>
            <w:r>
              <w:rPr>
                <w:rFonts w:ascii="Times New Roman" w:cs="Times New Roman" w:eastAsia="Times New Roman" w:hAnsi="Times New Roman"/>
                <w:sz w:val="18"/>
                <w:szCs w:val="18"/>
                <w:color w:val="auto"/>
                <w:w w:val="99"/>
              </w:rPr>
              <w:t>750,000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1,500,000</w:t>
            </w:r>
          </w:p>
        </w:tc>
        <w:tc>
          <w:tcPr>
            <w:tcW w:w="0" w:type="dxa"/>
            <w:vAlign w:val="bottom"/>
          </w:tcPr>
          <w:p>
            <w:pPr>
              <w:spacing w:after="0"/>
              <w:rPr>
                <w:sz w:val="1"/>
                <w:szCs w:val="1"/>
                <w:color w:val="auto"/>
              </w:rPr>
            </w:pPr>
          </w:p>
        </w:tc>
      </w:tr>
      <w:tr>
        <w:trPr>
          <w:trHeight w:val="230"/>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3540" w:type="dxa"/>
            <w:vAlign w:val="bottom"/>
          </w:tcPr>
          <w:p>
            <w:pPr>
              <w:jc w:val="center"/>
              <w:ind w:left="2235"/>
              <w:spacing w:after="0"/>
              <w:rPr>
                <w:sz w:val="20"/>
                <w:szCs w:val="20"/>
                <w:color w:val="auto"/>
              </w:rPr>
            </w:pPr>
            <w:r>
              <w:rPr>
                <w:rFonts w:ascii="Times New Roman" w:cs="Times New Roman" w:eastAsia="Times New Roman" w:hAnsi="Times New Roman"/>
                <w:sz w:val="18"/>
                <w:szCs w:val="18"/>
                <w:color w:val="auto"/>
                <w:w w:val="99"/>
              </w:rPr>
              <w:t>520,000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1,040,000</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3540" w:type="dxa"/>
            <w:vAlign w:val="bottom"/>
            <w:tcBorders>
              <w:bottom w:val="single" w:sz="8" w:color="407CCA"/>
            </w:tcBorders>
          </w:tcPr>
          <w:p>
            <w:pPr>
              <w:jc w:val="center"/>
              <w:ind w:left="2235"/>
              <w:spacing w:after="0"/>
              <w:rPr>
                <w:sz w:val="20"/>
                <w:szCs w:val="20"/>
                <w:color w:val="auto"/>
              </w:rPr>
            </w:pPr>
            <w:r>
              <w:rPr>
                <w:rFonts w:ascii="Times New Roman" w:cs="Times New Roman" w:eastAsia="Times New Roman" w:hAnsi="Times New Roman"/>
                <w:sz w:val="18"/>
                <w:szCs w:val="18"/>
                <w:color w:val="auto"/>
                <w:w w:val="99"/>
              </w:rPr>
              <w:t>520,000</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420" w:type="dxa"/>
            <w:vAlign w:val="bottom"/>
            <w:tcBorders>
              <w:bottom w:val="single" w:sz="8" w:color="407CCA"/>
            </w:tcBorders>
          </w:tcPr>
          <w:p>
            <w:pPr>
              <w:jc w:val="center"/>
              <w:ind w:right="15"/>
              <w:spacing w:after="0"/>
              <w:rPr>
                <w:sz w:val="20"/>
                <w:szCs w:val="20"/>
                <w:color w:val="auto"/>
              </w:rPr>
            </w:pPr>
            <w:r>
              <w:rPr>
                <w:rFonts w:ascii="Times New Roman" w:cs="Times New Roman" w:eastAsia="Times New Roman" w:hAnsi="Times New Roman"/>
                <w:sz w:val="18"/>
                <w:szCs w:val="18"/>
                <w:color w:val="auto"/>
                <w:w w:val="99"/>
              </w:rPr>
              <w:t>1,040,000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vest ratably over a three-year and one-half month period in equal annual installments.</w:t>
      </w:r>
    </w:p>
    <w:p>
      <w:pPr>
        <w:spacing w:after="0" w:line="27" w:lineRule="exact"/>
        <w:rPr>
          <w:rFonts w:ascii="Times New Roman" w:cs="Times New Roman" w:eastAsia="Times New Roman" w:hAnsi="Times New Roman"/>
          <w:sz w:val="14"/>
          <w:szCs w:val="14"/>
          <w:color w:val="auto"/>
        </w:rPr>
      </w:pPr>
    </w:p>
    <w:p>
      <w:pPr>
        <w:ind w:left="340" w:right="300" w:hanging="251"/>
        <w:spacing w:after="0" w:line="261"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grant-date fair value assuming performance achievement at 100% of target. Performance payouts may range from 0% to 200% of target shares based on actual performance. Awards are subject to cliff vesting two years and eleven and one-half months after the grant date, subject to a three-year performance period.</w:t>
      </w:r>
    </w:p>
    <w:p>
      <w:pPr>
        <w:ind w:left="340" w:hanging="251"/>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were granted on March 1, 2024 based on a $9.58 stock price.</w:t>
      </w:r>
    </w:p>
    <w:p>
      <w:pPr>
        <w:spacing w:after="0" w:line="344"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The fair value of these awards as of their March 1, 2024 grant date is included in the Summary Compensation Table and Grants of Plan-Based Awards Table. The ultimate value of the RSUs will depend on AGNC’s total stock return over the vesting period, and in the case of the performance-based RSUs, AGNC’s absolute and relative economic return over the three-year performance period.</w:t>
      </w:r>
    </w:p>
    <w:p>
      <w:pPr>
        <w:spacing w:after="0" w:line="171"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18"/>
          <w:szCs w:val="18"/>
          <w:color w:val="auto"/>
        </w:rPr>
        <w:t>In setting the level of awards to our NEOs, the Compensation Committee considered a number of factors, including the compensation practices at comparable companies, and our ongoing commitment to link NEO compensation to our long-term performance. The Compensation Committee also considered the roles and ongoing responsibilities of each of our NEOs and relevant market data. The fair value of the awards granted to each of our NEOs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was unchanged from the fair value of the awards made in 2023.</w:t>
      </w:r>
    </w:p>
    <w:p>
      <w:pPr>
        <w:spacing w:after="0" w:line="165" w:lineRule="exact"/>
        <w:rPr>
          <w:sz w:val="20"/>
          <w:szCs w:val="20"/>
          <w:color w:val="auto"/>
        </w:rPr>
      </w:pPr>
    </w:p>
    <w:p>
      <w:pPr>
        <w:ind w:left="180" w:right="60" w:firstLine="648"/>
        <w:spacing w:after="0" w:line="242" w:lineRule="auto"/>
        <w:rPr>
          <w:sz w:val="20"/>
          <w:szCs w:val="20"/>
          <w:color w:val="auto"/>
        </w:rPr>
      </w:pPr>
      <w:r>
        <w:rPr>
          <w:rFonts w:ascii="Times New Roman" w:cs="Times New Roman" w:eastAsia="Times New Roman" w:hAnsi="Times New Roman"/>
          <w:sz w:val="18"/>
          <w:szCs w:val="18"/>
          <w:color w:val="auto"/>
        </w:rPr>
        <w:t>In granting awards in 2024, the Compensation Committee also reviewed the measures used for performance-based RSUs and determined that it was appropriate to retain the measures that were previously established in 2022 without adjustment. The Compensation Committee considered the value of consistency year-over-year in considering changes to the performance measures and concluded that these measures remained challenging in the current market environment for awards made in 2024. The table below sets forth the below threshold, threshold, target, and outperformance levels established by the Compensation Committee for performance-based RSU awards made in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shd w:val="clear" w:color="auto" w:fill="407CCA"/>
          </w:tcPr>
          <w:p>
            <w:pPr>
              <w:ind w:left="240"/>
              <w:spacing w:after="0"/>
              <w:rPr>
                <w:sz w:val="20"/>
                <w:szCs w:val="20"/>
                <w:color w:val="auto"/>
              </w:rPr>
            </w:pPr>
            <w:r>
              <w:rPr>
                <w:rFonts w:ascii="Times New Roman" w:cs="Times New Roman" w:eastAsia="Times New Roman" w:hAnsi="Times New Roman"/>
                <w:sz w:val="13"/>
                <w:szCs w:val="13"/>
                <w:b w:val="1"/>
                <w:bCs w:val="1"/>
                <w:color w:val="FFFFFF"/>
              </w:rPr>
              <w:t>Metric</w:t>
            </w:r>
          </w:p>
        </w:tc>
        <w:tc>
          <w:tcPr>
            <w:tcW w:w="4940" w:type="dxa"/>
            <w:vAlign w:val="bottom"/>
            <w:shd w:val="clear" w:color="auto" w:fill="407CCA"/>
          </w:tcPr>
          <w:p>
            <w:pPr>
              <w:jc w:val="center"/>
              <w:ind w:left="361"/>
              <w:spacing w:after="0"/>
              <w:rPr>
                <w:sz w:val="20"/>
                <w:szCs w:val="20"/>
                <w:color w:val="auto"/>
              </w:rPr>
            </w:pPr>
            <w:r>
              <w:rPr>
                <w:rFonts w:ascii="Times New Roman" w:cs="Times New Roman" w:eastAsia="Times New Roman" w:hAnsi="Times New Roman"/>
                <w:sz w:val="13"/>
                <w:szCs w:val="13"/>
                <w:b w:val="1"/>
                <w:bCs w:val="1"/>
                <w:color w:val="FFFFFF"/>
                <w:w w:val="96"/>
              </w:rPr>
              <w:t>Performance</w:t>
            </w:r>
          </w:p>
        </w:tc>
        <w:tc>
          <w:tcPr>
            <w:tcW w:w="1580" w:type="dxa"/>
            <w:vAlign w:val="bottom"/>
            <w:shd w:val="clear" w:color="auto" w:fill="407CCA"/>
          </w:tcPr>
          <w:p>
            <w:pPr>
              <w:jc w:val="center"/>
              <w:ind w:left="381"/>
              <w:spacing w:after="0"/>
              <w:rPr>
                <w:sz w:val="20"/>
                <w:szCs w:val="20"/>
                <w:color w:val="auto"/>
              </w:rPr>
            </w:pPr>
            <w:r>
              <w:rPr>
                <w:rFonts w:ascii="Times New Roman" w:cs="Times New Roman" w:eastAsia="Times New Roman" w:hAnsi="Times New Roman"/>
                <w:sz w:val="13"/>
                <w:szCs w:val="13"/>
                <w:b w:val="1"/>
                <w:bCs w:val="1"/>
                <w:color w:val="FFFFFF"/>
                <w:w w:val="94"/>
              </w:rPr>
              <w:t>Below</w:t>
            </w:r>
          </w:p>
        </w:tc>
        <w:tc>
          <w:tcPr>
            <w:tcW w:w="1120" w:type="dxa"/>
            <w:vAlign w:val="bottom"/>
            <w:tcBorders>
              <w:right w:val="single" w:sz="8" w:color="auto"/>
            </w:tcBorders>
            <w:shd w:val="clear" w:color="auto" w:fill="407CCA"/>
          </w:tcPr>
          <w:p>
            <w:pPr>
              <w:spacing w:after="0"/>
              <w:rPr>
                <w:sz w:val="12"/>
                <w:szCs w:val="12"/>
                <w:color w:val="auto"/>
              </w:rPr>
            </w:pPr>
          </w:p>
        </w:tc>
        <w:tc>
          <w:tcPr>
            <w:tcW w:w="1260" w:type="dxa"/>
            <w:vAlign w:val="bottom"/>
            <w:tcBorders>
              <w:right w:val="single" w:sz="8" w:color="auto"/>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Base Performance</w:t>
            </w:r>
          </w:p>
        </w:tc>
        <w:tc>
          <w:tcPr>
            <w:tcW w:w="1440" w:type="dxa"/>
            <w:vAlign w:val="bottom"/>
            <w:shd w:val="clear" w:color="auto" w:fill="407CCA"/>
          </w:tcPr>
          <w:p>
            <w:pPr>
              <w:spacing w:after="0"/>
              <w:rPr>
                <w:sz w:val="12"/>
                <w:szCs w:val="12"/>
                <w:color w:val="auto"/>
              </w:rPr>
            </w:pPr>
          </w:p>
        </w:tc>
      </w:tr>
      <w:tr>
        <w:trPr>
          <w:trHeight w:val="183"/>
        </w:trPr>
        <w:tc>
          <w:tcPr>
            <w:tcW w:w="840" w:type="dxa"/>
            <w:vAlign w:val="bottom"/>
            <w:tcBorders>
              <w:bottom w:val="single" w:sz="8" w:color="407CCA"/>
            </w:tcBorders>
            <w:shd w:val="clear" w:color="auto" w:fill="407CCA"/>
          </w:tcPr>
          <w:p>
            <w:pPr>
              <w:ind w:left="220"/>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4940" w:type="dxa"/>
            <w:vAlign w:val="bottom"/>
            <w:tcBorders>
              <w:bottom w:val="single" w:sz="8" w:color="407CCA"/>
            </w:tcBorders>
            <w:shd w:val="clear" w:color="auto" w:fill="407CCA"/>
          </w:tcPr>
          <w:p>
            <w:pPr>
              <w:jc w:val="center"/>
              <w:ind w:left="361"/>
              <w:spacing w:after="0"/>
              <w:rPr>
                <w:sz w:val="20"/>
                <w:szCs w:val="20"/>
                <w:color w:val="auto"/>
              </w:rPr>
            </w:pPr>
            <w:r>
              <w:rPr>
                <w:rFonts w:ascii="Times New Roman" w:cs="Times New Roman" w:eastAsia="Times New Roman" w:hAnsi="Times New Roman"/>
                <w:sz w:val="13"/>
                <w:szCs w:val="13"/>
                <w:b w:val="1"/>
                <w:bCs w:val="1"/>
                <w:color w:val="FFFFFF"/>
                <w:w w:val="94"/>
              </w:rPr>
              <w:t>Variable</w:t>
            </w:r>
          </w:p>
        </w:tc>
        <w:tc>
          <w:tcPr>
            <w:tcW w:w="1580" w:type="dxa"/>
            <w:vAlign w:val="bottom"/>
            <w:tcBorders>
              <w:bottom w:val="single" w:sz="8" w:color="407CCA"/>
            </w:tcBorders>
            <w:shd w:val="clear" w:color="auto" w:fill="407CCA"/>
          </w:tcPr>
          <w:p>
            <w:pPr>
              <w:jc w:val="center"/>
              <w:ind w:left="381"/>
              <w:spacing w:after="0"/>
              <w:rPr>
                <w:sz w:val="20"/>
                <w:szCs w:val="20"/>
                <w:color w:val="auto"/>
              </w:rPr>
            </w:pPr>
            <w:r>
              <w:rPr>
                <w:rFonts w:ascii="Times New Roman" w:cs="Times New Roman" w:eastAsia="Times New Roman" w:hAnsi="Times New Roman"/>
                <w:sz w:val="13"/>
                <w:szCs w:val="13"/>
                <w:b w:val="1"/>
                <w:bCs w:val="1"/>
                <w:color w:val="FFFFFF"/>
                <w:w w:val="98"/>
              </w:rPr>
              <w:t>Threshold</w:t>
            </w:r>
          </w:p>
        </w:tc>
        <w:tc>
          <w:tcPr>
            <w:tcW w:w="1120" w:type="dxa"/>
            <w:vAlign w:val="bottom"/>
            <w:tcBorders>
              <w:bottom w:val="single" w:sz="8" w:color="407CCA"/>
              <w:right w:val="single" w:sz="8" w:color="auto"/>
            </w:tcBorders>
            <w:shd w:val="clear" w:color="auto" w:fill="407CCA"/>
          </w:tcPr>
          <w:p>
            <w:pPr>
              <w:ind w:left="280"/>
              <w:spacing w:after="0"/>
              <w:rPr>
                <w:sz w:val="20"/>
                <w:szCs w:val="20"/>
                <w:color w:val="auto"/>
              </w:rPr>
            </w:pPr>
            <w:r>
              <w:rPr>
                <w:rFonts w:ascii="Times New Roman" w:cs="Times New Roman" w:eastAsia="Times New Roman" w:hAnsi="Times New Roman"/>
                <w:sz w:val="13"/>
                <w:szCs w:val="13"/>
                <w:b w:val="1"/>
                <w:bCs w:val="1"/>
                <w:color w:val="FFFFFF"/>
              </w:rPr>
              <w:t>Threshold</w:t>
            </w:r>
          </w:p>
        </w:tc>
        <w:tc>
          <w:tcPr>
            <w:tcW w:w="1260" w:type="dxa"/>
            <w:vAlign w:val="bottom"/>
            <w:tcBorders>
              <w:bottom w:val="single" w:sz="8" w:color="407CCA"/>
              <w:right w:val="single" w:sz="8" w:color="auto"/>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0"/>
              </w:rPr>
              <w:t>Target</w:t>
            </w:r>
          </w:p>
        </w:tc>
        <w:tc>
          <w:tcPr>
            <w:tcW w:w="1440" w:type="dxa"/>
            <w:vAlign w:val="bottom"/>
            <w:tcBorders>
              <w:bottom w:val="single" w:sz="8" w:color="407CCA"/>
            </w:tcBorders>
            <w:shd w:val="clear" w:color="auto" w:fill="407CCA"/>
          </w:tcPr>
          <w:p>
            <w:pPr>
              <w:ind w:left="260"/>
              <w:spacing w:after="0"/>
              <w:rPr>
                <w:sz w:val="20"/>
                <w:szCs w:val="20"/>
                <w:color w:val="auto"/>
              </w:rPr>
            </w:pPr>
            <w:r>
              <w:rPr>
                <w:rFonts w:ascii="Times New Roman" w:cs="Times New Roman" w:eastAsia="Times New Roman" w:hAnsi="Times New Roman"/>
                <w:sz w:val="13"/>
                <w:szCs w:val="13"/>
                <w:b w:val="1"/>
                <w:bCs w:val="1"/>
                <w:color w:val="FFFFFF"/>
              </w:rPr>
              <w:t>Outperformance</w:t>
            </w:r>
          </w:p>
        </w:tc>
      </w:tr>
      <w:tr>
        <w:trPr>
          <w:trHeight w:val="230"/>
        </w:trPr>
        <w:tc>
          <w:tcPr>
            <w:tcW w:w="8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b w:val="1"/>
                <w:bCs w:val="1"/>
                <w:color w:val="auto"/>
              </w:rPr>
              <w:t>50%</w:t>
            </w:r>
          </w:p>
        </w:tc>
        <w:tc>
          <w:tcPr>
            <w:tcW w:w="494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Absolute Three-Year Economic Return</w:t>
            </w:r>
          </w:p>
        </w:tc>
        <w:tc>
          <w:tcPr>
            <w:tcW w:w="158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rPr>
              <w:t>&lt; 0.0%</w:t>
            </w: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w:t>
            </w:r>
          </w:p>
        </w:tc>
        <w:tc>
          <w:tcPr>
            <w:tcW w:w="12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30.0%</w:t>
            </w:r>
          </w:p>
        </w:tc>
        <w:tc>
          <w:tcPr>
            <w:tcW w:w="14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60.0%</w:t>
            </w:r>
          </w:p>
        </w:tc>
      </w:tr>
      <w:tr>
        <w:trPr>
          <w:trHeight w:val="229"/>
        </w:trPr>
        <w:tc>
          <w:tcPr>
            <w:tcW w:w="8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b w:val="1"/>
                <w:bCs w:val="1"/>
                <w:color w:val="auto"/>
              </w:rPr>
              <w:t>50%</w:t>
            </w:r>
          </w:p>
        </w:tc>
        <w:tc>
          <w:tcPr>
            <w:tcW w:w="4940" w:type="dxa"/>
            <w:vAlign w:val="bottom"/>
            <w:shd w:val="clear" w:color="auto" w:fill="F2F2F2"/>
          </w:tcPr>
          <w:p>
            <w:pPr>
              <w:jc w:val="center"/>
              <w:ind w:left="381"/>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Relative Three-Year Economic Return</w:t>
            </w:r>
            <w:r>
              <w:rPr>
                <w:rFonts w:ascii="Times New Roman" w:cs="Times New Roman" w:eastAsia="Times New Roman" w:hAnsi="Times New Roman"/>
                <w:sz w:val="23"/>
                <w:szCs w:val="23"/>
                <w:b w:val="1"/>
                <w:bCs w:val="1"/>
                <w:color w:val="auto"/>
                <w:w w:val="98"/>
                <w:vertAlign w:val="superscript"/>
              </w:rPr>
              <w:t>1</w:t>
            </w:r>
          </w:p>
        </w:tc>
        <w:tc>
          <w:tcPr>
            <w:tcW w:w="158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7"/>
              </w:rPr>
              <w:t>&lt; (4.5)</w:t>
            </w: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(4.5)</w:t>
            </w:r>
          </w:p>
        </w:tc>
        <w:tc>
          <w:tcPr>
            <w:tcW w:w="12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4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 10.5</w:t>
            </w:r>
          </w:p>
        </w:tc>
      </w:tr>
      <w:tr>
        <w:trPr>
          <w:trHeight w:val="230"/>
        </w:trPr>
        <w:tc>
          <w:tcPr>
            <w:tcW w:w="840" w:type="dxa"/>
            <w:vAlign w:val="bottom"/>
            <w:shd w:val="clear" w:color="auto" w:fill="789E91"/>
          </w:tcPr>
          <w:p>
            <w:pPr>
              <w:spacing w:after="0"/>
              <w:rPr>
                <w:sz w:val="19"/>
                <w:szCs w:val="19"/>
                <w:color w:val="auto"/>
              </w:rPr>
            </w:pPr>
          </w:p>
        </w:tc>
        <w:tc>
          <w:tcPr>
            <w:tcW w:w="4940" w:type="dxa"/>
            <w:vAlign w:val="bottom"/>
            <w:shd w:val="clear" w:color="auto" w:fill="789E91"/>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Payout Factor (% of Target Shares)</w:t>
            </w:r>
          </w:p>
        </w:tc>
        <w:tc>
          <w:tcPr>
            <w:tcW w:w="1580" w:type="dxa"/>
            <w:vAlign w:val="bottom"/>
            <w:shd w:val="clear" w:color="auto" w:fill="789E91"/>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tcBorders>
              <w:right w:val="single" w:sz="8" w:color="auto"/>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1260" w:type="dxa"/>
            <w:vAlign w:val="bottom"/>
            <w:tcBorders>
              <w:bottom w:val="single" w:sz="8" w:color="auto"/>
              <w:right w:val="single" w:sz="8" w:color="auto"/>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440" w:type="dxa"/>
            <w:vAlign w:val="bottom"/>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rPr>
              <w:t>200%</w:t>
            </w:r>
          </w:p>
        </w:tc>
      </w:tr>
    </w:tbl>
    <w:p>
      <w:pPr>
        <w:spacing w:after="0" w:line="261" w:lineRule="exact"/>
        <w:rPr>
          <w:sz w:val="20"/>
          <w:szCs w:val="20"/>
          <w:color w:val="auto"/>
        </w:rPr>
      </w:pPr>
    </w:p>
    <w:p>
      <w:pPr>
        <w:ind w:left="340" w:right="420" w:hanging="251"/>
        <w:spacing w:after="0" w:line="261" w:lineRule="auto"/>
        <w:tabs>
          <w:tab w:leader="none" w:pos="34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Three-Year Economic Return calculations reflect the difference between AGNC’s cumulative economic return for the period ending September 30, 2026 and the unweighted average cumulative economic return of the Agency REIT Peer Group over such period. Relative Three-Year Economic Return calculations are based on percentage points.</w:t>
      </w:r>
    </w:p>
    <w:p>
      <w:pPr>
        <w:spacing w:after="0" w:line="32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2022 Performance-Based Restricted Stock Unit Awards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three-year performance period for the performance-based RSU awards made to our employees in March 2022 was completed on</w:t>
      </w:r>
    </w:p>
    <w:p>
      <w:pPr>
        <w:spacing w:after="0" w:line="219" w:lineRule="auto"/>
        <w:rPr>
          <w:sz w:val="20"/>
          <w:szCs w:val="20"/>
          <w:color w:val="auto"/>
        </w:rPr>
      </w:pPr>
      <w:r>
        <w:rPr>
          <w:rFonts w:ascii="Times New Roman" w:cs="Times New Roman" w:eastAsia="Times New Roman" w:hAnsi="Times New Roman"/>
          <w:sz w:val="18"/>
          <w:szCs w:val="18"/>
          <w:color w:val="auto"/>
        </w:rPr>
        <w:t>December 31, 2024. The performance calculations included absolute economic return measured from December 31, 2021 through December 31, 2024 and</w:t>
      </w:r>
    </w:p>
    <w:p>
      <w:pPr>
        <w:ind w:right="20"/>
        <w:spacing w:after="0" w:line="208" w:lineRule="auto"/>
        <w:rPr>
          <w:sz w:val="20"/>
          <w:szCs w:val="20"/>
          <w:color w:val="auto"/>
        </w:rPr>
      </w:pPr>
      <w:r>
        <w:rPr>
          <w:rFonts w:ascii="Times New Roman" w:cs="Times New Roman" w:eastAsia="Times New Roman" w:hAnsi="Times New Roman"/>
          <w:sz w:val="18"/>
          <w:szCs w:val="18"/>
          <w:color w:val="auto"/>
        </w:rPr>
        <w:t>relative economic return as compared to the Agency REIT Peer Group and measured from September 30, 2021 through September 30, 2024. AGNC generated an absolute economic return of -19.2% and relative economic return of +6.8 percentage points of outperformance for the applicable measurement period, resulting in a vesting factor of 75.5% of the target number of shares for the 2022 performance-based RSUs, as validated by the Compensation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Committee. Distribution of shares in settlement of these awards occurred on or about the first trading day after the February 15, 2025 vesting date, provided that the recipient remained employed by the Company on the vesting date. The diagram below includes the performance targets and details the performance calculations for these awards. Additional details regarding these RSUs are provided in the Outstanding Equity Awards table on page 43 of this proxy</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statement. These measures were established in 2022 based on then anticipated ranges of performance deemed to be appropriately challenging based on the Compensation Committee’s analyses, including back-testing.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652260" cy="28721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5226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right="340" w:hanging="251"/>
        <w:spacing w:after="0" w:line="241" w:lineRule="auto"/>
        <w:tabs>
          <w:tab w:leader="none" w:pos="34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AGNC’s performance relative to the unweighted, simple average of the Agency REIT Peer Group. Relative Three-Year Economic Return calculations are based on percentage points.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Savings and Health and Welfare Benefits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participate in a broad-based 401(k) retirement savings plan generally applicable to all our employees, which includes an</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opportunity to receive employer matching contributions. We do not currently provide for pension plans, supplemental retirement plans, or deferred compensation plans for our executive officers. We previously provided our executive officers the option to elect to defer payments of long-term incentive awards. In addition, all of our executive officers also participate in medical, dental, vision, disability, life and long-term care insurance, and qualified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benefits that are provided generally to all our employees.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Perquisites and Other Personal Benefits</w:t>
      </w:r>
    </w:p>
    <w:p>
      <w:pPr>
        <w:spacing w:after="0" w:line="7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We do not believe our executive officers should receive special perquisites and benefits and do not currently provide our executive officers with any perquisites or other personal benefits that are not available on a non-discriminatory basis to all employees.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Comparator Group</w:t>
      </w:r>
    </w:p>
    <w:p>
      <w:pPr>
        <w:spacing w:after="0" w:line="92"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AGNC’s internal management structure, size, and scale relative to other residential mortgage REITs and our Agency mortgage-backed securities investment focus are significant differentiators relative to other potential comparative public companies and have made identifying a peer group for AGNC challenging. As a result, the Compensation Committee has not adopted a policy to benchmark compensation levels against comparative companies.</w:t>
      </w:r>
    </w:p>
    <w:p>
      <w:pPr>
        <w:spacing w:after="0" w:line="171"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18"/>
          <w:szCs w:val="18"/>
          <w:color w:val="auto"/>
        </w:rPr>
        <w:t>We are the second largest residential mortgage REIT overall by market capitalization, total assets, and total equity when compared with the 16 other residential-focused mortgage REITs included in The FTSE NAREIT Mortgage REITs Index (FNMR) as of December 31, 2024, and we refer to these other 16 REITs individually as residential mREITs and collectively as the “Resi mREIT Universe.”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Some of these 16 REITs have an investment focus similar to AGNC, but most of these REITs employ investment</w:t>
      </w:r>
    </w:p>
    <w:p>
      <w:pPr>
        <w:sectPr>
          <w:pgSz w:w="11900" w:h="16838" w:orient="portrait"/>
          <w:cols w:equalWidth="0" w:num="1">
            <w:col w:w="11240"/>
          </w:cols>
          <w:pgMar w:left="320" w:top="104" w:right="339" w:bottom="1440" w:gutter="0" w:footer="0" w:header="0"/>
        </w:sectPr>
      </w:pPr>
    </w:p>
    <w:p>
      <w:pPr>
        <w:spacing w:after="0" w:line="35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strategies that place a greater emphasis on credit-sensitive assets than our portfolio. Residential mREITs that primarily invest in non-Agency mortgage-backed securities involve different risk and return profiles and will have performance that is not well-correlated to our performance. Many of the mortgage REITs in the Resi mREIT Universe are externally managed by a third party and pay the third party a management fee as a set percentage of equity (plus, in some cases, a performance incentive fee) in lieu of compensating employees directly. In an external management structure, the third-party manager, rather than the REIT, is responsible for the compensation and benefits of its executives and other employees, which are paid out of the management fee. Moreover, only two other internally managed mREITs in the Resi mREIT Universe had a market capitalization above $1.5 billion as of December 31, 2024, and their investment portfolios are not nearly as concentrated in Agency MBS as AGNC.</w:t>
      </w:r>
    </w:p>
    <w:p>
      <w:pPr>
        <w:spacing w:after="0" w:line="18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7"/>
          <w:szCs w:val="17"/>
          <w:color w:val="auto"/>
        </w:rPr>
        <w:t>Although we are an internally managed REIT, our business of investing primarily in Agency mortgage-backed securities makes our operations somewhat comparable to asset management firms. However, asset management firms employ a different business model: they primarily generate income from management fees charged to clients based on, among other things, the level of assets under management or financial returns that clients earn on their investments. By comparison, AGNC generates income primarily from its investments in Agency securities. As a result, AGNC’s performance may vary materially from asset management firms given the vastly different asset base and significant leverage and hedging activities inherent in our business model.</w:t>
      </w:r>
    </w:p>
    <w:p>
      <w:pPr>
        <w:spacing w:after="0" w:line="17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Although we have few close peers considering our internal management structure, size, and scale relative to other mortgage REITs and investment focus on Agency mortgage-backed securities, the Compensation Committee, with the assistance of FW Cook, reviews compensation levels and practices at various financial services companies as part of its consideration of our compensation structure, programs, and practices. In 2024, the Compensation Committee reviewed the compensation practices at 18 companies, including eight internally managed publicly traded mortgage REITs and 10 publicly traded asset management companies and non-bank financial services companies, which is unchanged from the companies considered in 2023. The Compensation Committee determined the highly specialized and unique skill sets required of executives in these industries are most comparable to those required of AGNC’s NEOs, although very few would be an exact match for our Company. However, in considering this analysis, the Compensation Committee believes that, due to their vastly different business models, capital allocations, and assets, these companies collectively will have performance that is not well-correlated to AGNC’s performance, and accordingly they are not a suitable peer set for purposes of evaluating management’s relative performance or the alignment of our compensation program to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Mortgage REITs:</w:t>
            </w:r>
          </w:p>
        </w:tc>
        <w:tc>
          <w:tcPr>
            <w:tcW w:w="7320" w:type="dxa"/>
            <w:vAlign w:val="bottom"/>
            <w:tcBorders>
              <w:top w:val="single" w:sz="8" w:color="407CCA"/>
              <w:bottom w:val="single" w:sz="8" w:color="407CCA"/>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Asset Management and Financial Services Companies:</w:t>
            </w:r>
          </w:p>
        </w:tc>
      </w:tr>
      <w:tr>
        <w:trPr>
          <w:trHeight w:val="218"/>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Annaly Capital Management,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Affiliated Managers Group, Inc.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Arbor Realty Trust,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AllianceBernstein Holding L.P.</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Chimera Investment Corporation</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Ameriprise Financial, Inc.</w:t>
            </w:r>
          </w:p>
        </w:tc>
      </w:tr>
      <w:tr>
        <w:trPr>
          <w:trHeight w:val="22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Ladder Capital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Apollo Global Management LLC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MFA Financial,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Ares Management LP</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Redwood Trust,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DigitalBridge Group, Inc.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Rithm Capital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Invesco Ltd.</w:t>
            </w:r>
          </w:p>
        </w:tc>
      </w:tr>
      <w:tr>
        <w:trPr>
          <w:trHeight w:val="22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Two Harbors Investment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KKR &amp; Co. L.P.</w:t>
            </w:r>
          </w:p>
        </w:tc>
      </w:tr>
      <w:tr>
        <w:trPr>
          <w:trHeight w:val="230"/>
        </w:trPr>
        <w:tc>
          <w:tcPr>
            <w:tcW w:w="3920" w:type="dxa"/>
            <w:vAlign w:val="bottom"/>
          </w:tcPr>
          <w:p>
            <w:pPr>
              <w:spacing w:after="0"/>
              <w:rPr>
                <w:sz w:val="19"/>
                <w:szCs w:val="19"/>
                <w:color w:val="auto"/>
              </w:rPr>
            </w:pP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The Blackstone Group L.P.</w:t>
            </w:r>
          </w:p>
        </w:tc>
      </w:tr>
      <w:tr>
        <w:trPr>
          <w:trHeight w:val="234"/>
        </w:trPr>
        <w:tc>
          <w:tcPr>
            <w:tcW w:w="3920" w:type="dxa"/>
            <w:vAlign w:val="bottom"/>
            <w:tcBorders>
              <w:bottom w:val="single" w:sz="8" w:color="407CCA"/>
            </w:tcBorders>
          </w:tcPr>
          <w:p>
            <w:pPr>
              <w:spacing w:after="0"/>
              <w:rPr>
                <w:sz w:val="20"/>
                <w:szCs w:val="20"/>
                <w:color w:val="auto"/>
              </w:rPr>
            </w:pPr>
          </w:p>
        </w:tc>
        <w:tc>
          <w:tcPr>
            <w:tcW w:w="7320" w:type="dxa"/>
            <w:vAlign w:val="bottom"/>
            <w:tcBorders>
              <w:bottom w:val="single" w:sz="8" w:color="407CCA"/>
            </w:tcBorders>
          </w:tcPr>
          <w:p>
            <w:pPr>
              <w:ind w:left="1380"/>
              <w:spacing w:after="0"/>
              <w:rPr>
                <w:sz w:val="20"/>
                <w:szCs w:val="20"/>
                <w:color w:val="auto"/>
              </w:rPr>
            </w:pPr>
            <w:r>
              <w:rPr>
                <w:rFonts w:ascii="Times New Roman" w:cs="Times New Roman" w:eastAsia="Times New Roman" w:hAnsi="Times New Roman"/>
                <w:sz w:val="18"/>
                <w:szCs w:val="18"/>
                <w:color w:val="auto"/>
              </w:rPr>
              <w:t>The Carlyle Group L.P.</w:t>
            </w:r>
          </w:p>
        </w:tc>
      </w:tr>
    </w:tbl>
    <w:p>
      <w:pPr>
        <w:spacing w:after="0" w:line="288" w:lineRule="exact"/>
        <w:rPr>
          <w:sz w:val="20"/>
          <w:szCs w:val="20"/>
          <w:color w:val="auto"/>
        </w:rPr>
      </w:pPr>
    </w:p>
    <w:p>
      <w:pPr>
        <w:ind w:left="340" w:right="80" w:hanging="251"/>
        <w:spacing w:after="0" w:line="241" w:lineRule="auto"/>
        <w:tabs>
          <w:tab w:leader="none" w:pos="3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“Resi mREIT Universe” includes AG Mortgage Investment Trust, Inc. (“MITT”), Angel Oak Mortgage REIT, Inc. (“AOMR”), NLY, ARR, Cherry Hill Mortgage Investment Corporation (“CHMI”), Chimera Investment Corporation (“CIM”), DX, Ellington Financial, Inc. (“EFC”), IVR, MFA Financial, Inc. (“MFA”), New York Mortgage Trust, Inc. (“NYMT”), ORC, PennyMac Mortgage Investment Trust (“PMT”), Redwood Trust, Inc. (“RWT”), Rithm Capital Corp. (“RITM”), and TWO.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07CCA"/>
        </w:rPr>
        <w:t>Performance Comparator Group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determined that a subset of the Resi mREIT Universe, which we refer to as the “Agency REIT Peer Group,”</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provides a better basis for comparison to evaluate our performance and operations under our Corporate Scorecard and performance-based LTI awards. For purposes of 2024 incentive awards, these REITs were:</w:t>
      </w: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Annaly Capital Management, Inc.</w:t>
      </w:r>
    </w:p>
    <w:p>
      <w:pPr>
        <w:spacing w:after="0" w:line="31"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ARMOUR Residential REIT, Inc.</w:t>
      </w:r>
    </w:p>
    <w:p>
      <w:pPr>
        <w:spacing w:after="0" w:line="27"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Dynex Capital, Inc.</w:t>
      </w:r>
    </w:p>
    <w:p>
      <w:pPr>
        <w:spacing w:after="0" w:line="22"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Invesco Mortgage Capital, Inc.</w:t>
      </w:r>
    </w:p>
    <w:p>
      <w:pPr>
        <w:spacing w:after="0" w:line="31"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Orchid Island Capital, Inc.</w:t>
      </w:r>
    </w:p>
    <w:p>
      <w:pPr>
        <w:spacing w:after="0" w:line="27"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Harbors Investment Corp.</w:t>
      </w:r>
    </w:p>
    <w:p>
      <w:pPr>
        <w:spacing w:after="0" w:line="200" w:lineRule="exact"/>
        <w:rPr>
          <w:sz w:val="20"/>
          <w:szCs w:val="20"/>
          <w:color w:val="auto"/>
        </w:rPr>
      </w:pPr>
    </w:p>
    <w:p>
      <w:pPr>
        <w:spacing w:after="0" w:line="324"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The Agency REIT Peer Group companies have at least 50% of their capital allocated to portfolios that most closely resemble our own focus on Agency securities. Non-agency REITs in the Resi mREIT Universe have strategies that place a greater emphasis on credit-sensitive assets than our portfolio and those of our Agency REIT Peer Group. As such, these REITs would be expected to achieve divergent returns from our own Agency securities-focused</w:t>
      </w:r>
    </w:p>
    <w:p>
      <w:pPr>
        <w:ind w:right="460"/>
        <w:spacing w:after="0" w:line="220" w:lineRule="auto"/>
        <w:rPr>
          <w:sz w:val="20"/>
          <w:szCs w:val="20"/>
          <w:color w:val="auto"/>
        </w:rPr>
      </w:pPr>
      <w:r>
        <w:rPr>
          <w:rFonts w:ascii="Times New Roman" w:cs="Times New Roman" w:eastAsia="Times New Roman" w:hAnsi="Times New Roman"/>
          <w:sz w:val="17"/>
          <w:szCs w:val="17"/>
          <w:color w:val="auto"/>
        </w:rPr>
        <w:t>portfolio through various economic cycles and conditions. The Compensation Committee thus determined that our economic returns and stock price relative to tangible book value are appropriately measured against a simple, unweighted average of the Agency REIT Peer Group for purposes of determining our relative performance. Only two of the six REITs in the Agency REIT Peer Group were included in the group of companies for which</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executive compensation practices were reviewed by the Compensation Committee, Annaly Capital Management, Inc. and Two Harbors Investment Corp. The other four companies included in the Agency REIT Peer Group were excluded from our compensation comparator group because these four REITs either are significantly smaller than AGNC or are externally managed.</w:t>
      </w:r>
    </w:p>
    <w:p>
      <w:pPr>
        <w:spacing w:after="0" w:line="172"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7"/>
          <w:szCs w:val="17"/>
          <w:color w:val="auto"/>
        </w:rPr>
        <w:t>The Compensation Committee continues to evaluate our performance peer group construction in response to changes in market conditions and the mortgage REIT sector and has historically evaluated potential performance peer group adjustments based on guiding parameters, including a minimum of $500 million in total stockholders’ equity and approximately 50% or greater allocation of capital to Agency residential mortgage-backed securities at the</w:t>
      </w:r>
    </w:p>
    <w:p>
      <w:pPr>
        <w:ind w:right="260"/>
        <w:spacing w:after="0" w:line="226" w:lineRule="auto"/>
        <w:rPr>
          <w:sz w:val="20"/>
          <w:szCs w:val="20"/>
          <w:color w:val="auto"/>
        </w:rPr>
      </w:pPr>
      <w:r>
        <w:rPr>
          <w:rFonts w:ascii="Times New Roman" w:cs="Times New Roman" w:eastAsia="Times New Roman" w:hAnsi="Times New Roman"/>
          <w:sz w:val="18"/>
          <w:szCs w:val="18"/>
          <w:color w:val="auto"/>
        </w:rPr>
        <w:t>time of inclusion. The Compensation Committee desires to limit the number of year-over-year changes to this peer group in order to provide meaningful ongoing comparative analyses for its work.</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the Compensation and Corporate Governance Committee</w:t>
      </w:r>
    </w:p>
    <w:p>
      <w:pPr>
        <w:spacing w:after="0" w:line="92" w:lineRule="exact"/>
        <w:rPr>
          <w:sz w:val="20"/>
          <w:szCs w:val="20"/>
          <w:color w:val="auto"/>
        </w:rPr>
      </w:pPr>
    </w:p>
    <w:p>
      <w:pPr>
        <w:jc w:val="both"/>
        <w:ind w:right="120" w:firstLine="648"/>
        <w:spacing w:after="0" w:line="216" w:lineRule="auto"/>
        <w:rPr>
          <w:sz w:val="20"/>
          <w:szCs w:val="20"/>
          <w:color w:val="auto"/>
        </w:rPr>
      </w:pPr>
      <w:r>
        <w:rPr>
          <w:rFonts w:ascii="Times New Roman" w:cs="Times New Roman" w:eastAsia="Times New Roman" w:hAnsi="Times New Roman"/>
          <w:sz w:val="18"/>
          <w:szCs w:val="18"/>
          <w:color w:val="auto"/>
        </w:rPr>
        <w:t>Our Compensation Committee, which is comprised solely of independent directors, is responsible for establishing and overseeing our philosophy regarding executive compensation and for making decisions relating to the compensation of our NEOs. The Compensation Committee is also responsible for ensuring that the total compensation offered to our executive officers is fair and competitive and motivates high performance. The terms of any</w:t>
      </w:r>
    </w:p>
    <w:p>
      <w:pPr>
        <w:spacing w:after="0" w:line="1"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employment agreements with our NEOs and actions on compensation under the employment agreements are also under the primary direction of the Compensation Committee. Decisions that set the compensation of our CEO or Executive Chair are subject to the review and approval of the Company’s independent directors based on the Compensation Committee’s evaluation of goals and objectives.</w:t>
      </w:r>
    </w:p>
    <w:p>
      <w:pPr>
        <w:spacing w:after="0" w:line="172"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The Compensation Committee periodically reviews the Company’s compensation policies and programs and makes any modifications that the Committee deems necessary or advisable, subject to the terms of such policies or programs. The Compensation Committee annually reviews and approves the Company’s goals and objectives relevant to the compensation of the NEOs and other employees of the Company.</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Management</w:t>
      </w:r>
    </w:p>
    <w:p>
      <w:pPr>
        <w:spacing w:after="0" w:line="92" w:lineRule="exact"/>
        <w:rPr>
          <w:sz w:val="20"/>
          <w:szCs w:val="20"/>
          <w:color w:val="auto"/>
        </w:rPr>
      </w:pPr>
    </w:p>
    <w:p>
      <w:pPr>
        <w:jc w:val="both"/>
        <w:ind w:right="40" w:firstLine="648"/>
        <w:spacing w:after="0" w:line="229" w:lineRule="auto"/>
        <w:rPr>
          <w:sz w:val="20"/>
          <w:szCs w:val="20"/>
          <w:color w:val="auto"/>
        </w:rPr>
      </w:pPr>
      <w:r>
        <w:rPr>
          <w:rFonts w:ascii="Times New Roman" w:cs="Times New Roman" w:eastAsia="Times New Roman" w:hAnsi="Times New Roman"/>
          <w:sz w:val="17"/>
          <w:szCs w:val="17"/>
          <w:color w:val="auto"/>
        </w:rPr>
        <w:t>All compensation decisions related to our executive officers are at the discretion of the Compensation Committee or independent directors of our Board. The Compensation Committee considers the advice and counsel of the CEO when evaluating compensation of the other NEOs given his direct day-to-day working relationship with those executives. Taking this feedback into consideration, the Compensation Committee engages in discussions and either</w:t>
      </w:r>
    </w:p>
    <w:p>
      <w:pPr>
        <w:ind w:right="100"/>
        <w:spacing w:after="0" w:line="218" w:lineRule="auto"/>
        <w:rPr>
          <w:sz w:val="20"/>
          <w:szCs w:val="20"/>
          <w:color w:val="auto"/>
        </w:rPr>
      </w:pPr>
      <w:r>
        <w:rPr>
          <w:rFonts w:ascii="Times New Roman" w:cs="Times New Roman" w:eastAsia="Times New Roman" w:hAnsi="Times New Roman"/>
          <w:sz w:val="18"/>
          <w:szCs w:val="18"/>
          <w:color w:val="auto"/>
        </w:rPr>
        <w:t>determines the compensation of our NEOs or makes a final recommendation to the Board related to compensation paid to NEOs. Neither our CEO nor our Executive Chair is present or a participant in the portions of meetings of the Compensation Committee or of the Board at which his performance is evaluated and his compensation is deliberated and determined; only independent directors participate in such matters.</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the Independent Compensation Consultant</w:t>
      </w:r>
    </w:p>
    <w:p>
      <w:pPr>
        <w:spacing w:after="0" w:line="79"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7"/>
          <w:szCs w:val="17"/>
          <w:color w:val="auto"/>
        </w:rPr>
        <w:t>Under its charter, the Compensation Committee has the authority to select, retain, and terminate compensation consultants. The Compensation Committee has retained FW Cook to provide advice and counsel on executive compensation opportunities and program design and structure.</w:t>
      </w:r>
    </w:p>
    <w:p>
      <w:pPr>
        <w:ind w:right="20"/>
        <w:spacing w:after="0" w:line="208" w:lineRule="auto"/>
        <w:rPr>
          <w:sz w:val="20"/>
          <w:szCs w:val="20"/>
          <w:color w:val="auto"/>
        </w:rPr>
      </w:pPr>
      <w:r>
        <w:rPr>
          <w:rFonts w:ascii="Times New Roman" w:cs="Times New Roman" w:eastAsia="Times New Roman" w:hAnsi="Times New Roman"/>
          <w:sz w:val="18"/>
          <w:szCs w:val="18"/>
          <w:color w:val="auto"/>
        </w:rPr>
        <w:t>Representatives of FW Cook attended certain meetings of the Compensation Committee, including meeting with members of the Compensation Committee without members of management present. FW Cook assists the Compensation Committee in its analysis and evaluation of our executive compensation program, practices, and communications and provides the Compensation Committee with market data and analysis of certain comparator companies that</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hire personnel and executives with similar skills and experience as our executive management team. FW Cook also provides advice with respect to our Corporate Scorecard, our long-term incentive awards, the setting of measures for performance-based incentive compensation, and other work that informs executive compensation decisions. During 2024, the Compensation Committee reviewed the independence of FW Cook using assessment criteria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Nasdaq listing standards and concluded FW Cook had no conflicts of interest that would cloud the independence of its advice.</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Risk Assessment and Compensation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regularly monitors the risks and rewards associated with our compensation program. The Compensation</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Committee established our compensation program with the intent to align our interests with stockholders and prevent unnecessary or excessive risk-taking. We believe that our compensation policies and practices are well-balanced and designed to avoid creating incentives that encourage unnecessary or excessive risks that could potentially have a material adverse effect on the Company. We use variable compensation for all of our NEOs, with a focus on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performance-based compensation. We have designed a compensation program with a mix of short- and long-term incentives to ensure management focuses on the long-term impact of short-term decisions and that management’s interests are aligned with stockholders. At least 50% and up to 67% of our NEOs’ long-term incentive awards vest based on performance over a three-year period. Compliance with our risk management and reporting framework, which is</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designed to address excessive risk taking, is an integral part of the strategic and operational objectives of the Corporate Scorecard used for short-term incentive compensation decisions. The Compensation Committee continually assesses our</w:t>
      </w:r>
    </w:p>
    <w:p>
      <w:pPr>
        <w:spacing w:after="0" w:line="32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executive compensation programs and has implemented additional policies and practices that we believe have further mitigated compensation driven risk, including the adoption of a clawback policy and executive officer stock ownership guidelines.</w:t>
      </w:r>
    </w:p>
    <w:p>
      <w:pPr>
        <w:spacing w:after="0" w:line="262"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Stock Ownership Guidelines</w:t>
      </w:r>
    </w:p>
    <w:p>
      <w:pPr>
        <w:spacing w:after="0" w:line="79"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We have adopted stock ownership guidelines for our executive officers establishing share ownership targets based on a multiple of base salary. The minimum objective is 6x for our Executive Chair and our CEO, 4x for our Chief Investment Officer, and 3x for all other executive officers. Until the</w:t>
      </w:r>
    </w:p>
    <w:p>
      <w:pPr>
        <w:ind w:right="60"/>
        <w:spacing w:after="0" w:line="208" w:lineRule="auto"/>
        <w:rPr>
          <w:sz w:val="20"/>
          <w:szCs w:val="20"/>
          <w:color w:val="auto"/>
        </w:rPr>
      </w:pPr>
      <w:r>
        <w:rPr>
          <w:rFonts w:ascii="Times New Roman" w:cs="Times New Roman" w:eastAsia="Times New Roman" w:hAnsi="Times New Roman"/>
          <w:sz w:val="18"/>
          <w:szCs w:val="18"/>
          <w:color w:val="auto"/>
        </w:rPr>
        <w:t>foregoing ownership requirements are met, each individual is required to retain at least 50% of the shares of common stock received upon vesting of stock-based compensation, net of any shares withheld or sold to pay or reimburse taxes on such income. The retention obligations also apply in the event ownership levels fall below applicable guideline levels due to a decline in stock price. Shares of time-vested RSUs granted under the 2016 Equity Plan</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(whether vested, unvested, or subject to a deferral election) are included in determining the number of shares held for this purpose, net of anticipated tax withholdings. Shares of unvested performance-based RSUs are not included for this purpose prior to completion of the applicable performance period. As of February 21, 2025, all of our NEOs had complied with their obligations under our stock ownership guidelines.</w:t>
      </w:r>
    </w:p>
    <w:p>
      <w:pPr>
        <w:spacing w:after="0" w:line="172" w:lineRule="exact"/>
        <w:rPr>
          <w:sz w:val="20"/>
          <w:szCs w:val="20"/>
          <w:color w:val="auto"/>
        </w:rPr>
      </w:pPr>
    </w:p>
    <w:p>
      <w:pPr>
        <w:ind w:right="7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total stock ownership of all our NEOs, including beneficially owned, unvested, and deferred shares, as calculated pursuant to our stock ownership guidelines as of 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969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3300" w:type="dxa"/>
            <w:vAlign w:val="bottom"/>
          </w:tcPr>
          <w:p>
            <w:pPr>
              <w:jc w:val="center"/>
              <w:ind w:left="1979"/>
              <w:spacing w:after="0"/>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Unvested Shares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Vested/Deferred</w:t>
            </w:r>
          </w:p>
        </w:tc>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5"/>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00" w:type="dxa"/>
            <w:vAlign w:val="bottom"/>
          </w:tcPr>
          <w:p>
            <w:pPr>
              <w:jc w:val="center"/>
              <w:ind w:left="1999"/>
              <w:spacing w:after="0" w:line="115"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407CCA"/>
            </w:tcBorders>
            <w:vMerge w:val="continue"/>
          </w:tcPr>
          <w:p>
            <w:pPr>
              <w:spacing w:after="0"/>
              <w:rPr>
                <w:sz w:val="16"/>
                <w:szCs w:val="16"/>
                <w:color w:val="auto"/>
              </w:rPr>
            </w:pPr>
          </w:p>
        </w:tc>
        <w:tc>
          <w:tcPr>
            <w:tcW w:w="3300" w:type="dxa"/>
            <w:vAlign w:val="bottom"/>
            <w:tcBorders>
              <w:bottom w:val="single" w:sz="8" w:color="407CCA"/>
            </w:tcBorders>
          </w:tcPr>
          <w:p>
            <w:pPr>
              <w:jc w:val="center"/>
              <w:ind w:left="1999"/>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1300" w:type="dxa"/>
            <w:vAlign w:val="bottom"/>
            <w:tcBorders>
              <w:bottom w:val="single" w:sz="8" w:color="407CCA"/>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 xml:space="preserve">(#) </w:t>
            </w:r>
            <w:r>
              <w:rPr>
                <w:rFonts w:ascii="Times New Roman" w:cs="Times New Roman" w:eastAsia="Times New Roman" w:hAnsi="Times New Roman"/>
                <w:sz w:val="16"/>
                <w:szCs w:val="16"/>
                <w:b w:val="1"/>
                <w:bCs w:val="1"/>
                <w:color w:val="auto"/>
                <w:w w:val="92"/>
                <w:vertAlign w:val="superscript"/>
              </w:rPr>
              <w:t>2</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Shares (#) </w:t>
            </w:r>
            <w:r>
              <w:rPr>
                <w:rFonts w:ascii="Times New Roman" w:cs="Times New Roman" w:eastAsia="Times New Roman" w:hAnsi="Times New Roman"/>
                <w:sz w:val="16"/>
                <w:szCs w:val="16"/>
                <w:b w:val="1"/>
                <w:bCs w:val="1"/>
                <w:color w:val="auto"/>
                <w:w w:val="93"/>
                <w:vertAlign w:val="superscript"/>
              </w:rPr>
              <w:t>2,3</w:t>
            </w:r>
          </w:p>
        </w:tc>
        <w:tc>
          <w:tcPr>
            <w:tcW w:w="11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930,023</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238,203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185,015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1,353,241</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3300" w:type="dxa"/>
            <w:vAlign w:val="bottom"/>
          </w:tcPr>
          <w:p>
            <w:pPr>
              <w:jc w:val="center"/>
              <w:ind w:left="1979"/>
              <w:spacing w:after="0"/>
              <w:rPr>
                <w:sz w:val="20"/>
                <w:szCs w:val="20"/>
                <w:color w:val="auto"/>
              </w:rPr>
            </w:pPr>
            <w:r>
              <w:rPr>
                <w:rFonts w:ascii="Times New Roman" w:cs="Times New Roman" w:eastAsia="Times New Roman" w:hAnsi="Times New Roman"/>
                <w:sz w:val="18"/>
                <w:szCs w:val="18"/>
                <w:color w:val="auto"/>
                <w:w w:val="99"/>
              </w:rPr>
              <w:t>1,745,943</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211,242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578,064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2,535,249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579,304</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153,739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733,043</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139,897</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rPr>
              <w:t>90,968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18,783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249,648</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107,047</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rPr>
              <w:t>71,811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120,153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299,011</w:t>
            </w:r>
          </w:p>
        </w:tc>
        <w:tc>
          <w:tcPr>
            <w:tcW w:w="0" w:type="dxa"/>
            <w:vAlign w:val="bottom"/>
          </w:tcPr>
          <w:p>
            <w:pPr>
              <w:spacing w:after="0"/>
              <w:rPr>
                <w:sz w:val="1"/>
                <w:szCs w:val="1"/>
                <w:color w:val="auto"/>
              </w:rPr>
            </w:pPr>
          </w:p>
        </w:tc>
      </w:tr>
      <w:tr>
        <w:trPr>
          <w:trHeight w:val="238"/>
        </w:trPr>
        <w:tc>
          <w:tcPr>
            <w:tcW w:w="39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3300" w:type="dxa"/>
            <w:vAlign w:val="bottom"/>
            <w:tcBorders>
              <w:bottom w:val="single" w:sz="8" w:color="407CCA"/>
            </w:tcBorders>
          </w:tcPr>
          <w:p>
            <w:pPr>
              <w:jc w:val="center"/>
              <w:ind w:left="1999"/>
              <w:spacing w:after="0"/>
              <w:rPr>
                <w:sz w:val="20"/>
                <w:szCs w:val="20"/>
                <w:color w:val="auto"/>
              </w:rPr>
            </w:pPr>
            <w:r>
              <w:rPr>
                <w:rFonts w:ascii="Times New Roman" w:cs="Times New Roman" w:eastAsia="Times New Roman" w:hAnsi="Times New Roman"/>
                <w:sz w:val="18"/>
                <w:szCs w:val="18"/>
                <w:color w:val="auto"/>
                <w:w w:val="99"/>
              </w:rPr>
              <w:t>154,389</w:t>
            </w:r>
          </w:p>
        </w:tc>
        <w:tc>
          <w:tcPr>
            <w:tcW w:w="1300" w:type="dxa"/>
            <w:vAlign w:val="bottom"/>
            <w:tcBorders>
              <w:bottom w:val="single" w:sz="8" w:color="407CCA"/>
            </w:tcBorders>
          </w:tcPr>
          <w:p>
            <w:pPr>
              <w:jc w:val="center"/>
              <w:ind w:left="37"/>
              <w:spacing w:after="0"/>
              <w:rPr>
                <w:sz w:val="20"/>
                <w:szCs w:val="20"/>
                <w:color w:val="auto"/>
              </w:rPr>
            </w:pPr>
            <w:r>
              <w:rPr>
                <w:rFonts w:ascii="Times New Roman" w:cs="Times New Roman" w:eastAsia="Times New Roman" w:hAnsi="Times New Roman"/>
                <w:sz w:val="18"/>
                <w:szCs w:val="18"/>
                <w:color w:val="auto"/>
              </w:rPr>
              <w:t>64,293</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218,682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251"/>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517,920 shares held in a family trust over which shares Mr. Kain has voting and dispositive power.</w:t>
      </w:r>
    </w:p>
    <w:p>
      <w:pPr>
        <w:spacing w:after="0" w:line="3" w:lineRule="exact"/>
        <w:rPr>
          <w:rFonts w:ascii="Times New Roman" w:cs="Times New Roman" w:eastAsia="Times New Roman" w:hAnsi="Times New Roman"/>
          <w:sz w:val="14"/>
          <w:szCs w:val="14"/>
          <w:color w:val="auto"/>
        </w:rPr>
      </w:pPr>
    </w:p>
    <w:p>
      <w:pPr>
        <w:ind w:left="340" w:hanging="251"/>
        <w:spacing w:after="0" w:line="201" w:lineRule="auto"/>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amounts are net of anticipated tax withholdings.</w:t>
      </w:r>
    </w:p>
    <w:p>
      <w:pPr>
        <w:ind w:left="340" w:hanging="251"/>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shares are vested and non-forfeitable, subject to AGNC’s clawback policy.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Anti-Hedging and Pledging Policy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Board has adopted a policy prohibiting our employees (including our executive officers) and directors from any hedging, pledging, or entering</w:t>
      </w:r>
    </w:p>
    <w:p>
      <w:pPr>
        <w:spacing w:after="0" w:line="14"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into margin loans with respect to any shares of our common stock or from engaging in short sales of our common stock or entering into any other transaction or derivative agreement where he or she would earn a profit or offset losses due to a decline of our stock price. By way of example, transactions prohibited under the policy may include options, short sales, puts, calls, or derivative actions such as forwards, futures, or swaps.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Clawback Policy</w:t>
      </w:r>
    </w:p>
    <w:p>
      <w:pPr>
        <w:spacing w:after="0" w:line="7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In October 2023, the Company adopted a new clawback policy to comply with the SEC requirements and Nasdaq listing standards, superseding the Company’s pre-existing policy. The policy applies to performance-based compensation received (as such term is defined in the policy) after October 2,</w:t>
      </w:r>
    </w:p>
    <w:p>
      <w:pPr>
        <w:ind w:right="60"/>
        <w:spacing w:after="0" w:line="220" w:lineRule="auto"/>
        <w:rPr>
          <w:sz w:val="20"/>
          <w:szCs w:val="20"/>
          <w:color w:val="auto"/>
        </w:rPr>
      </w:pPr>
      <w:r>
        <w:rPr>
          <w:rFonts w:ascii="Times New Roman" w:cs="Times New Roman" w:eastAsia="Times New Roman" w:hAnsi="Times New Roman"/>
          <w:sz w:val="17"/>
          <w:szCs w:val="17"/>
          <w:color w:val="auto"/>
        </w:rPr>
        <w:t>2023. The clawback policy provides for the recovery of certain performance-based compensation in the event of any accounting restatement by the Company due to material noncompliance with any financial reporting requirement under U.S. federal securities laws. Under this policy, the Company must seek to recover the portion of performance-based compensation paid to our current or former executive officers that would not have been earned had the</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Company’s restated financial statements been used in the determination of the amount of performance-based compensation originally awarded. This policy includes a three-year look back period.</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Employment Agreements</w:t>
      </w:r>
    </w:p>
    <w:p>
      <w:pPr>
        <w:spacing w:after="0" w:line="79" w:lineRule="exact"/>
        <w:rPr>
          <w:sz w:val="20"/>
          <w:szCs w:val="20"/>
          <w:color w:val="auto"/>
        </w:rPr>
      </w:pPr>
    </w:p>
    <w:p>
      <w:pPr>
        <w:ind w:right="180" w:firstLine="648"/>
        <w:spacing w:after="0" w:line="222" w:lineRule="auto"/>
        <w:rPr>
          <w:sz w:val="20"/>
          <w:szCs w:val="20"/>
          <w:color w:val="auto"/>
        </w:rPr>
      </w:pPr>
      <w:r>
        <w:rPr>
          <w:rFonts w:ascii="Times New Roman" w:cs="Times New Roman" w:eastAsia="Times New Roman" w:hAnsi="Times New Roman"/>
          <w:sz w:val="18"/>
          <w:szCs w:val="18"/>
          <w:color w:val="auto"/>
        </w:rPr>
        <w:t>The Company has entered into employment agreements with each of our NEOs. The Compensation Committee has consulted with FW Cook on each of the agreements and believes that they provide appropriate and balanced incentives toward achieving the annual and long-term strategic objectives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by the Compensation Committee and create a stronger alignment of interests between our executives and our stockholders.</w:t>
      </w:r>
    </w:p>
    <w:p>
      <w:pPr>
        <w:spacing w:after="0" w:line="16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reviews the compensation of our executive officers on an annual basis and will make adjustments when warranted by personal performance, internal and external pay equity, and other considerations. The employment agreements for each NEO include certain severance</w:t>
      </w:r>
    </w:p>
    <w:p>
      <w:pPr>
        <w:ind w:right="180"/>
        <w:spacing w:after="0" w:line="208" w:lineRule="auto"/>
        <w:rPr>
          <w:sz w:val="20"/>
          <w:szCs w:val="20"/>
          <w:color w:val="auto"/>
        </w:rPr>
      </w:pPr>
      <w:r>
        <w:rPr>
          <w:rFonts w:ascii="Times New Roman" w:cs="Times New Roman" w:eastAsia="Times New Roman" w:hAnsi="Times New Roman"/>
          <w:sz w:val="18"/>
          <w:szCs w:val="18"/>
          <w:color w:val="auto"/>
        </w:rPr>
        <w:t>payments and benefits if a NEO that is party to an employment agreement is terminated by the Company, including without “cause” or by the NEO for “good reason,” as each term is defined in each respective employment agreement and were the result of arms-length negotiations with these NEOs. The severance provisions included in the employment agreements related to a change of control include a “double trigger” requirement, which we determined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appropriate and in the best interest of our stockholders. See “Severance and Change of Control Payments” on page 44. The employment agreements w</w:t>
      </w:r>
    </w:p>
    <w:p>
      <w:pPr>
        <w:spacing w:after="0" w:line="320"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ith these NEOs also include covenants related to post-employment obligations in areas such as competition with us, solicitation of our employees, and the confidentiality of certain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Retirement Vesting Policy</w:t>
      </w:r>
    </w:p>
    <w:p>
      <w:pPr>
        <w:spacing w:after="0" w:line="9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The Company has adopted a retirement vesting policy to provide all employees of the Company commencing January 1, 2026 with vesting of certain incentive compensation awards upon their qualifying retirement. To be eligible, an employee must have (i) attained a minimum age of 55 and the sum of the employee’s age and years of continuous service must be equal to or greater than 70 with a minimum service of at least three years, (ii) attained</w:t>
      </w:r>
    </w:p>
    <w:p>
      <w:pPr>
        <w:spacing w:after="0" w:line="220" w:lineRule="auto"/>
        <w:rPr>
          <w:sz w:val="20"/>
          <w:szCs w:val="20"/>
          <w:color w:val="auto"/>
        </w:rPr>
      </w:pPr>
      <w:r>
        <w:rPr>
          <w:rFonts w:ascii="Times New Roman" w:cs="Times New Roman" w:eastAsia="Times New Roman" w:hAnsi="Times New Roman"/>
          <w:sz w:val="17"/>
          <w:szCs w:val="17"/>
          <w:color w:val="auto"/>
        </w:rPr>
        <w:t>the minimum age of 65 with a minimum service of at least three years, or (iii) completed at least 20 years of continuous service. At their retirement date, eligible employees would vest in stock-based awards granted in the years preceding their retirement, and awards granted during the year of retirement would be reduced on a pro-rata basis reflecting the portion of the year they remained employed by the Company. Time-based awards would fully vest at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time of retirement, and performance-based awards would continue to vest according to the terms of the awards as if the employee had remained with the Company throughout the applicable vesting period. Eligible employees would also be entitled to receive a pro-rata portion of their short-term incentive compensation for the year of their retirement based on the Company’s actual year-end performance. The Compensation Committee believes that this policy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creates a strong retention incentive by rewarding long-tenured employees, helps facilitate orderly succession, is consistent with the practices of a number of other companies, and provides an important recruitment incentive for future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Compensation and Corporate Governance Committee</w:t>
      </w:r>
    </w:p>
    <w:p>
      <w:pPr>
        <w:spacing w:after="0" w:line="189"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18"/>
          <w:szCs w:val="18"/>
          <w:color w:val="auto"/>
        </w:rPr>
        <w:t>Our Compensation and Corporate Governance Committee reviewed and discussed with our management the “Compensation Discussion and Analysis” contained in this proxy statement. Based on that review and discussions, our Compensation and Corporate Governance Committee recommends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that the “Compensation Discussion and Analysis” be included in this proxy statement.</w:t>
      </w:r>
    </w:p>
    <w:p>
      <w:pPr>
        <w:spacing w:after="0" w:line="26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By the Compensation and Corporate</w:t>
      </w:r>
    </w:p>
    <w:p>
      <w:pPr>
        <w:ind w:left="6480"/>
        <w:spacing w:after="0" w:line="203" w:lineRule="auto"/>
        <w:rPr>
          <w:sz w:val="20"/>
          <w:szCs w:val="20"/>
          <w:color w:val="auto"/>
        </w:rPr>
      </w:pPr>
      <w:r>
        <w:rPr>
          <w:rFonts w:ascii="Times New Roman" w:cs="Times New Roman" w:eastAsia="Times New Roman" w:hAnsi="Times New Roman"/>
          <w:sz w:val="18"/>
          <w:szCs w:val="18"/>
          <w:i w:val="1"/>
          <w:iCs w:val="1"/>
          <w:color w:val="auto"/>
        </w:rPr>
        <w:t>Governance Committee:</w:t>
      </w:r>
    </w:p>
    <w:p>
      <w:pPr>
        <w:ind w:left="6480"/>
        <w:spacing w:after="0" w:line="219" w:lineRule="auto"/>
        <w:rPr>
          <w:sz w:val="20"/>
          <w:szCs w:val="20"/>
          <w:color w:val="auto"/>
        </w:rPr>
      </w:pPr>
      <w:r>
        <w:rPr>
          <w:rFonts w:ascii="Times New Roman" w:cs="Times New Roman" w:eastAsia="Times New Roman" w:hAnsi="Times New Roman"/>
          <w:sz w:val="18"/>
          <w:szCs w:val="18"/>
          <w:color w:val="auto"/>
        </w:rPr>
        <w:t>Morris A. Davis, Chair</w:t>
      </w:r>
    </w:p>
    <w:p>
      <w:pPr>
        <w:ind w:left="6480"/>
        <w:spacing w:after="0" w:line="204" w:lineRule="auto"/>
        <w:rPr>
          <w:sz w:val="20"/>
          <w:szCs w:val="20"/>
          <w:color w:val="auto"/>
        </w:rPr>
      </w:pPr>
      <w:r>
        <w:rPr>
          <w:rFonts w:ascii="Times New Roman" w:cs="Times New Roman" w:eastAsia="Times New Roman" w:hAnsi="Times New Roman"/>
          <w:sz w:val="18"/>
          <w:szCs w:val="18"/>
          <w:color w:val="auto"/>
        </w:rPr>
        <w:t>John D. Fisk</w:t>
      </w:r>
    </w:p>
    <w:p>
      <w:pPr>
        <w:ind w:left="6480"/>
        <w:spacing w:after="0" w:line="203" w:lineRule="auto"/>
        <w:rPr>
          <w:sz w:val="20"/>
          <w:szCs w:val="20"/>
          <w:color w:val="auto"/>
        </w:rPr>
      </w:pPr>
      <w:r>
        <w:rPr>
          <w:rFonts w:ascii="Times New Roman" w:cs="Times New Roman" w:eastAsia="Times New Roman" w:hAnsi="Times New Roman"/>
          <w:sz w:val="18"/>
          <w:szCs w:val="18"/>
          <w:color w:val="auto"/>
        </w:rPr>
        <w:t>Prue B. Larocca</w:t>
      </w:r>
    </w:p>
    <w:p>
      <w:pPr>
        <w:spacing w:after="0" w:line="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Paul E. Mullings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89"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NEOs earned during our fiscal years ended December 31, 2024, 2023, and 2022.</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In the column “Salary,” we disclose the amount of base salary paid to the NEO during the fiscal year. See “Base Salary” under “Compensation Program in Detail” above, for a description of the base salaries payable under each NEO’s employment agreement. In the column “Bonus,” we disclose the amount of short-term cash incentive payments earned by the NEO during the fiscal year. See “2024 Corporate Scorecard” for a description of the annual</w:t>
      </w:r>
    </w:p>
    <w:p>
      <w:pPr>
        <w:ind w:right="160"/>
        <w:spacing w:after="0" w:line="220" w:lineRule="auto"/>
        <w:rPr>
          <w:sz w:val="20"/>
          <w:szCs w:val="20"/>
          <w:color w:val="auto"/>
        </w:rPr>
      </w:pPr>
      <w:r>
        <w:rPr>
          <w:rFonts w:ascii="Times New Roman" w:cs="Times New Roman" w:eastAsia="Times New Roman" w:hAnsi="Times New Roman"/>
          <w:sz w:val="17"/>
          <w:szCs w:val="17"/>
          <w:color w:val="auto"/>
        </w:rPr>
        <w:t>scorecard for calculating the cash component of our incentive compensation awards for 2024 that were paid in 2025, and which are included in the Summary Compensation Table for 2024. In the column “Stock Awards,” we disclose awards of RSUs under the 2016 Equity Plan, which includes both performance-based vesting and time-based vesting awards. The grant date fair value of the performance-based vesting RSU awards assumes performance</w:t>
      </w:r>
    </w:p>
    <w:p>
      <w:pPr>
        <w:spacing w:after="0" w:line="206" w:lineRule="auto"/>
        <w:rPr>
          <w:sz w:val="20"/>
          <w:szCs w:val="20"/>
          <w:color w:val="auto"/>
        </w:rPr>
      </w:pPr>
      <w:r>
        <w:rPr>
          <w:rFonts w:ascii="Times New Roman" w:cs="Times New Roman" w:eastAsia="Times New Roman" w:hAnsi="Times New Roman"/>
          <w:sz w:val="18"/>
          <w:szCs w:val="18"/>
          <w:color w:val="auto"/>
        </w:rPr>
        <w:t>achievement at 100% of the target amount. Performance payouts may range from 0% to 200% of the target amount based on actual performance achieved.</w:t>
      </w:r>
    </w:p>
    <w:p>
      <w:pPr>
        <w:spacing w:after="0"/>
        <w:rPr>
          <w:sz w:val="20"/>
          <w:szCs w:val="20"/>
          <w:color w:val="auto"/>
        </w:rPr>
      </w:pPr>
      <w:r>
        <w:rPr>
          <w:rFonts w:ascii="Times New Roman" w:cs="Times New Roman" w:eastAsia="Times New Roman" w:hAnsi="Times New Roman"/>
          <w:sz w:val="18"/>
          <w:szCs w:val="18"/>
          <w:color w:val="auto"/>
        </w:rPr>
        <w:t>See “Equity Incentive Compensation” under “Compensation Discussion and Analysis,” above.</w:t>
      </w:r>
    </w:p>
    <w:p>
      <w:pPr>
        <w:spacing w:after="0" w:line="16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amounts in the column “All Other Compensation” represent employer matches for employee contributions to our 401(k) plan. The NEOs did not have any perquisites or other personal benefits in excess of the reporting thresholds during the fiscal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Borders>
              <w:top w:val="single" w:sz="8" w:color="407CCA"/>
            </w:tcBorders>
          </w:tcPr>
          <w:p>
            <w:pPr>
              <w:spacing w:after="0"/>
              <w:rPr>
                <w:sz w:val="11"/>
                <w:szCs w:val="11"/>
                <w:color w:val="auto"/>
              </w:rPr>
            </w:pPr>
          </w:p>
        </w:tc>
        <w:tc>
          <w:tcPr>
            <w:tcW w:w="700" w:type="dxa"/>
            <w:vAlign w:val="bottom"/>
            <w:tcBorders>
              <w:top w:val="single" w:sz="8" w:color="407CCA"/>
            </w:tcBorders>
          </w:tcPr>
          <w:p>
            <w:pPr>
              <w:spacing w:after="0"/>
              <w:rPr>
                <w:sz w:val="11"/>
                <w:szCs w:val="11"/>
                <w:color w:val="auto"/>
              </w:rPr>
            </w:pPr>
          </w:p>
        </w:tc>
        <w:tc>
          <w:tcPr>
            <w:tcW w:w="1000" w:type="dxa"/>
            <w:vAlign w:val="bottom"/>
            <w:tcBorders>
              <w:top w:val="single" w:sz="8" w:color="407CCA"/>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000" w:type="dxa"/>
            <w:vAlign w:val="bottom"/>
            <w:tcBorders>
              <w:top w:val="single" w:sz="8" w:color="407CCA"/>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980" w:type="dxa"/>
            <w:vAlign w:val="bottom"/>
            <w:tcBorders>
              <w:top w:val="single" w:sz="8" w:color="407CCA"/>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100" w:type="dxa"/>
            <w:vAlign w:val="bottom"/>
            <w:tcBorders>
              <w:top w:val="single" w:sz="8" w:color="407CCA"/>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080" w:type="dxa"/>
            <w:vAlign w:val="bottom"/>
            <w:tcBorders>
              <w:top w:val="single" w:sz="8" w:color="407CCA"/>
            </w:tcBorders>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4"/>
                <w:szCs w:val="14"/>
                <w:b w:val="1"/>
                <w:bCs w:val="1"/>
                <w:color w:val="auto"/>
                <w:vertAlign w:val="superscript"/>
              </w:rPr>
              <w:t>1</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2"/>
        </w:trPr>
        <w:tc>
          <w:tcPr>
            <w:tcW w:w="4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Peter J. Federico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2024</w:t>
            </w:r>
          </w:p>
        </w:tc>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7,177,500</w:t>
            </w:r>
          </w:p>
        </w:tc>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5,000,000</w:t>
            </w:r>
          </w:p>
        </w:tc>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13,098,200</w:t>
            </w:r>
          </w:p>
        </w:tc>
        <w:tc>
          <w:tcPr>
            <w:tcW w:w="0" w:type="dxa"/>
            <w:vAlign w:val="bottom"/>
          </w:tcPr>
          <w:p>
            <w:pPr>
              <w:spacing w:after="0"/>
              <w:rPr>
                <w:sz w:val="1"/>
                <w:szCs w:val="1"/>
                <w:color w:val="auto"/>
              </w:rPr>
            </w:pPr>
          </w:p>
        </w:tc>
      </w:tr>
      <w:tr>
        <w:trPr>
          <w:trHeight w:val="25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6,399,000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12,318,800</w:t>
            </w: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2,228,400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7,646,700</w:t>
            </w:r>
          </w:p>
        </w:tc>
        <w:tc>
          <w:tcPr>
            <w:tcW w:w="0" w:type="dxa"/>
            <w:vAlign w:val="bottom"/>
          </w:tcPr>
          <w:p>
            <w:pPr>
              <w:spacing w:after="0"/>
              <w:rPr>
                <w:sz w:val="1"/>
                <w:szCs w:val="1"/>
                <w:color w:val="auto"/>
              </w:rPr>
            </w:pPr>
          </w:p>
        </w:tc>
      </w:tr>
      <w:tr>
        <w:trPr>
          <w:trHeight w:val="178"/>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Gary D. Kain</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2024</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5,742,000</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4,200,000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10,462,700</w:t>
            </w:r>
          </w:p>
        </w:tc>
        <w:tc>
          <w:tcPr>
            <w:tcW w:w="0" w:type="dxa"/>
            <w:vAlign w:val="bottom"/>
          </w:tcPr>
          <w:p>
            <w:pPr>
              <w:spacing w:after="0"/>
              <w:rPr>
                <w:sz w:val="1"/>
                <w:szCs w:val="1"/>
                <w:color w:val="auto"/>
              </w:rPr>
            </w:pPr>
          </w:p>
        </w:tc>
      </w:tr>
      <w:tr>
        <w:trPr>
          <w:trHeight w:val="251"/>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Chair</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5,119,200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4,200,000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9,839,000</w:t>
            </w:r>
          </w:p>
        </w:tc>
        <w:tc>
          <w:tcPr>
            <w:tcW w:w="0" w:type="dxa"/>
            <w:vAlign w:val="bottom"/>
          </w:tcPr>
          <w:p>
            <w:pPr>
              <w:spacing w:after="0"/>
              <w:rPr>
                <w:sz w:val="1"/>
                <w:szCs w:val="1"/>
                <w:color w:val="auto"/>
              </w:rPr>
            </w:pPr>
          </w:p>
        </w:tc>
      </w:tr>
      <w:tr>
        <w:trPr>
          <w:trHeight w:val="249"/>
        </w:trPr>
        <w:tc>
          <w:tcPr>
            <w:tcW w:w="4860" w:type="dxa"/>
            <w:vAlign w:val="bottom"/>
            <w:shd w:val="clear" w:color="auto" w:fill="DBDBDB"/>
          </w:tcPr>
          <w:p>
            <w:pPr>
              <w:spacing w:after="0"/>
              <w:rPr>
                <w:sz w:val="21"/>
                <w:szCs w:val="21"/>
                <w:color w:val="auto"/>
              </w:rPr>
            </w:pP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2,228,400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4,200,000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6,946,700</w:t>
            </w: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Christopher J. Kuehl</w:t>
            </w:r>
          </w:p>
        </w:tc>
        <w:tc>
          <w:tcPr>
            <w:tcW w:w="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2024</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3,825,900</w:t>
            </w: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2,430,000</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7,176,600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Vice President and Chief Investment Officer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3,496,500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2,430,000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6,846,300</w:t>
            </w:r>
          </w:p>
        </w:tc>
        <w:tc>
          <w:tcPr>
            <w:tcW w:w="0" w:type="dxa"/>
            <w:vAlign w:val="bottom"/>
          </w:tcPr>
          <w:p>
            <w:pPr>
              <w:spacing w:after="0"/>
              <w:rPr>
                <w:sz w:val="1"/>
                <w:szCs w:val="1"/>
                <w:color w:val="auto"/>
              </w:rPr>
            </w:pPr>
          </w:p>
        </w:tc>
      </w:tr>
      <w:tr>
        <w:trPr>
          <w:trHeight w:val="52"/>
        </w:trPr>
        <w:tc>
          <w:tcPr>
            <w:tcW w:w="48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1,512,000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5,030,300</w:t>
            </w:r>
          </w:p>
        </w:tc>
        <w:tc>
          <w:tcPr>
            <w:tcW w:w="0" w:type="dxa"/>
            <w:vAlign w:val="bottom"/>
          </w:tcPr>
          <w:p>
            <w:pPr>
              <w:spacing w:after="0"/>
              <w:rPr>
                <w:sz w:val="1"/>
                <w:szCs w:val="1"/>
                <w:color w:val="auto"/>
              </w:rPr>
            </w:pPr>
          </w:p>
        </w:tc>
      </w:tr>
      <w:tr>
        <w:trPr>
          <w:trHeight w:val="178"/>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Bernice E. Bell</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750,000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2,340,825</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1,500,000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4,611,525</w:t>
            </w:r>
          </w:p>
        </w:tc>
        <w:tc>
          <w:tcPr>
            <w:tcW w:w="0" w:type="dxa"/>
            <w:vAlign w:val="bottom"/>
          </w:tcPr>
          <w:p>
            <w:pPr>
              <w:spacing w:after="0"/>
              <w:rPr>
                <w:sz w:val="1"/>
                <w:szCs w:val="1"/>
                <w:color w:val="auto"/>
              </w:rPr>
            </w:pPr>
          </w:p>
        </w:tc>
      </w:tr>
      <w:tr>
        <w:trPr>
          <w:trHeight w:val="250"/>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2,161,425</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1,500,000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4,431,225</w:t>
            </w:r>
          </w:p>
        </w:tc>
        <w:tc>
          <w:tcPr>
            <w:tcW w:w="0" w:type="dxa"/>
            <w:vAlign w:val="bottom"/>
          </w:tcPr>
          <w:p>
            <w:pPr>
              <w:spacing w:after="0"/>
              <w:rPr>
                <w:sz w:val="1"/>
                <w:szCs w:val="1"/>
                <w:color w:val="auto"/>
              </w:rPr>
            </w:pPr>
          </w:p>
        </w:tc>
      </w:tr>
      <w:tr>
        <w:trPr>
          <w:trHeight w:val="222"/>
        </w:trPr>
        <w:tc>
          <w:tcPr>
            <w:tcW w:w="4860" w:type="dxa"/>
            <w:vAlign w:val="bottom"/>
            <w:shd w:val="clear" w:color="auto" w:fill="DBDBDB"/>
          </w:tcPr>
          <w:p>
            <w:pPr>
              <w:spacing w:after="0"/>
              <w:rPr>
                <w:sz w:val="19"/>
                <w:szCs w:val="19"/>
                <w:color w:val="auto"/>
              </w:rPr>
            </w:pP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1,001,250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1,250,000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2,769,550</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Kenneth L. Pollack</w:t>
            </w:r>
          </w:p>
        </w:tc>
        <w:tc>
          <w:tcPr>
            <w:tcW w:w="7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2024</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1,764,100</w:t>
            </w:r>
          </w:p>
        </w:tc>
        <w:tc>
          <w:tcPr>
            <w:tcW w:w="9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3,474,800</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Executive Vice President, General Counsel, Chief</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1,628,900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3,338,700</w:t>
            </w:r>
          </w:p>
        </w:tc>
        <w:tc>
          <w:tcPr>
            <w:tcW w:w="0" w:type="dxa"/>
            <w:vAlign w:val="bottom"/>
          </w:tcPr>
          <w:p>
            <w:pPr>
              <w:spacing w:after="0"/>
              <w:rPr>
                <w:sz w:val="1"/>
                <w:szCs w:val="1"/>
                <w:color w:val="auto"/>
              </w:rPr>
            </w:pPr>
          </w:p>
        </w:tc>
      </w:tr>
      <w:tr>
        <w:trPr>
          <w:trHeight w:val="26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Compliance Officer and Secretary</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801,000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2,319,300</w:t>
            </w:r>
          </w:p>
        </w:tc>
        <w:tc>
          <w:tcPr>
            <w:tcW w:w="0" w:type="dxa"/>
            <w:vAlign w:val="bottom"/>
          </w:tcPr>
          <w:p>
            <w:pPr>
              <w:spacing w:after="0"/>
              <w:rPr>
                <w:sz w:val="1"/>
                <w:szCs w:val="1"/>
                <w:color w:val="auto"/>
              </w:rPr>
            </w:pPr>
          </w:p>
        </w:tc>
      </w:tr>
      <w:tr>
        <w:trPr>
          <w:trHeight w:val="178"/>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Sean P. Reid</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2024</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1,764,100</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20,700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3,474,800</w:t>
            </w:r>
          </w:p>
        </w:tc>
        <w:tc>
          <w:tcPr>
            <w:tcW w:w="0" w:type="dxa"/>
            <w:vAlign w:val="bottom"/>
          </w:tcPr>
          <w:p>
            <w:pPr>
              <w:spacing w:after="0"/>
              <w:rPr>
                <w:sz w:val="1"/>
                <w:szCs w:val="1"/>
                <w:color w:val="auto"/>
              </w:rPr>
            </w:pPr>
          </w:p>
        </w:tc>
      </w:tr>
      <w:tr>
        <w:trPr>
          <w:trHeight w:val="250"/>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Strategy and Corporate Development</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1,628,900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3,338,700</w:t>
            </w:r>
          </w:p>
        </w:tc>
        <w:tc>
          <w:tcPr>
            <w:tcW w:w="0" w:type="dxa"/>
            <w:vAlign w:val="bottom"/>
          </w:tcPr>
          <w:p>
            <w:pPr>
              <w:spacing w:after="0"/>
              <w:rPr>
                <w:sz w:val="1"/>
                <w:szCs w:val="1"/>
                <w:color w:val="auto"/>
              </w:rPr>
            </w:pPr>
          </w:p>
        </w:tc>
      </w:tr>
      <w:tr>
        <w:trPr>
          <w:trHeight w:val="219"/>
        </w:trPr>
        <w:tc>
          <w:tcPr>
            <w:tcW w:w="4860" w:type="dxa"/>
            <w:vAlign w:val="bottom"/>
            <w:tcBorders>
              <w:bottom w:val="single" w:sz="8" w:color="407CCA"/>
            </w:tcBorders>
            <w:shd w:val="clear" w:color="auto" w:fill="DBDBDB"/>
          </w:tcPr>
          <w:p>
            <w:pPr>
              <w:spacing w:after="0"/>
              <w:rPr>
                <w:sz w:val="19"/>
                <w:szCs w:val="19"/>
                <w:color w:val="auto"/>
              </w:rPr>
            </w:pPr>
          </w:p>
        </w:tc>
        <w:tc>
          <w:tcPr>
            <w:tcW w:w="70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251"/>
        <w:spacing w:after="0" w:line="26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column represent the aggregate grant date fair value of each NEO’s awards calculated in accordance with FASB ASC Topic 718, as required by SEC regulations. The fair market value of a stock award is based on the fair market value of our stock on the date of grant with the value of the performance-based RSUs based on the probable outcome of the performance conditions as of the grant date and is set at 100% of the target amount. For fiscal year 2024, the grant date fair value of performance-based RSUs at 100% of the target amount was $3,350,000 for Mr. Federico, $2,814,000 for Mr. Kain, $1,215,000 for Mr. Kuehl, $750,000 for Ms. Bell, and $520,000 for each of Messrs. Pollack and Reid. The grant date fair value of the performance-based RSUs assuming the highest level of performance conditions is met, was $6,700,000 for Mr. Federico, $5,628,000 for Mr. Kain, $2,430,000 for Mr. Kuehl, $1,500,000 for Ms. Bell, and $1,040,000 for each of Messrs. Pollack and Reid. See below in the “Grants of Plan Based Awards in Fiscal Year 2024” table for further details regarding the allocation of grants between time-vesting and performance-based RSUs.</w:t>
      </w:r>
    </w:p>
    <w:p>
      <w:pPr>
        <w:spacing w:after="0" w:line="200" w:lineRule="exact"/>
        <w:rPr>
          <w:sz w:val="20"/>
          <w:szCs w:val="20"/>
          <w:color w:val="auto"/>
        </w:rPr>
      </w:pPr>
    </w:p>
    <w:p>
      <w:pPr>
        <w:spacing w:after="0" w:line="395"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2024</w:t>
      </w:r>
    </w:p>
    <w:p>
      <w:pPr>
        <w:spacing w:after="0" w:line="81" w:lineRule="exact"/>
        <w:rPr>
          <w:sz w:val="20"/>
          <w:szCs w:val="20"/>
          <w:color w:val="auto"/>
        </w:rPr>
      </w:pPr>
    </w:p>
    <w:p>
      <w:pPr>
        <w:ind w:right="340" w:firstLine="648"/>
        <w:spacing w:after="0" w:line="222" w:lineRule="auto"/>
        <w:rPr>
          <w:sz w:val="20"/>
          <w:szCs w:val="20"/>
          <w:color w:val="auto"/>
        </w:rPr>
      </w:pPr>
      <w:r>
        <w:rPr>
          <w:rFonts w:ascii="Times New Roman" w:cs="Times New Roman" w:eastAsia="Times New Roman" w:hAnsi="Times New Roman"/>
          <w:sz w:val="18"/>
          <w:szCs w:val="18"/>
          <w:color w:val="auto"/>
        </w:rPr>
        <w:t>In the following table we provide information about each grant of an award made to an NEO during our fiscal year ended December 31, 2024 under the 2016 Equity Plan. See “Equity Incentive Compensation” in “Compensation Discussion and Analysis” above for a description of the plan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awards. Amounts included in the “Grant date fair value of stock awards” column are valued in accordance with ASC 718 without reduction of any assumed forfeitures.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60" w:type="dxa"/>
            <w:vAlign w:val="bottom"/>
            <w:tcBorders>
              <w:top w:val="single" w:sz="8" w:color="407CCA"/>
            </w:tcBorders>
          </w:tcPr>
          <w:p>
            <w:pPr>
              <w:spacing w:after="0"/>
              <w:rPr>
                <w:sz w:val="11"/>
                <w:szCs w:val="11"/>
                <w:color w:val="auto"/>
              </w:rPr>
            </w:pPr>
          </w:p>
        </w:tc>
        <w:tc>
          <w:tcPr>
            <w:tcW w:w="2800" w:type="dxa"/>
            <w:vAlign w:val="bottom"/>
            <w:tcBorders>
              <w:top w:val="single" w:sz="8" w:color="407CCA"/>
            </w:tcBorders>
          </w:tcPr>
          <w:p>
            <w:pPr>
              <w:spacing w:after="0"/>
              <w:rPr>
                <w:sz w:val="11"/>
                <w:szCs w:val="11"/>
                <w:color w:val="auto"/>
              </w:rPr>
            </w:pPr>
          </w:p>
        </w:tc>
        <w:tc>
          <w:tcPr>
            <w:tcW w:w="1000" w:type="dxa"/>
            <w:vAlign w:val="bottom"/>
            <w:tcBorders>
              <w:top w:val="single" w:sz="8" w:color="407CCA"/>
            </w:tcBorders>
          </w:tcPr>
          <w:p>
            <w:pPr>
              <w:spacing w:after="0"/>
              <w:rPr>
                <w:sz w:val="11"/>
                <w:szCs w:val="11"/>
                <w:color w:val="auto"/>
              </w:rPr>
            </w:pPr>
          </w:p>
        </w:tc>
        <w:tc>
          <w:tcPr>
            <w:tcW w:w="2200" w:type="dxa"/>
            <w:vAlign w:val="bottom"/>
            <w:tcBorders>
              <w:top w:val="single" w:sz="8" w:color="407CCA"/>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840" w:type="dxa"/>
            <w:vAlign w:val="bottom"/>
            <w:tcBorders>
              <w:top w:val="single" w:sz="8" w:color="407CCA"/>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2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Equity Incentive Plan Awards </w:t>
            </w:r>
            <w:r>
              <w:rPr>
                <w:rFonts w:ascii="Times New Roman" w:cs="Times New Roman" w:eastAsia="Times New Roman" w:hAnsi="Times New Roman"/>
                <w:sz w:val="15"/>
                <w:szCs w:val="15"/>
                <w:b w:val="1"/>
                <w:bCs w:val="1"/>
                <w:color w:val="auto"/>
                <w:vertAlign w:val="superscript"/>
              </w:rPr>
              <w:t>3</w:t>
            </w:r>
          </w:p>
        </w:tc>
        <w:tc>
          <w:tcPr>
            <w:tcW w:w="8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bottom w:val="single" w:sz="8" w:color="407CCA"/>
            </w:tcBorders>
          </w:tcPr>
          <w:p>
            <w:pPr>
              <w:spacing w:after="0"/>
              <w:rPr>
                <w:sz w:val="5"/>
                <w:szCs w:val="5"/>
                <w:color w:val="auto"/>
              </w:rPr>
            </w:pPr>
          </w:p>
        </w:tc>
        <w:tc>
          <w:tcPr>
            <w:tcW w:w="720" w:type="dxa"/>
            <w:vAlign w:val="bottom"/>
            <w:tcBorders>
              <w:bottom w:val="single" w:sz="8" w:color="407CCA"/>
            </w:tcBorders>
          </w:tcPr>
          <w:p>
            <w:pPr>
              <w:spacing w:after="0"/>
              <w:rPr>
                <w:sz w:val="5"/>
                <w:szCs w:val="5"/>
                <w:color w:val="auto"/>
              </w:rPr>
            </w:pPr>
          </w:p>
        </w:tc>
        <w:tc>
          <w:tcPr>
            <w:tcW w:w="760" w:type="dxa"/>
            <w:vAlign w:val="bottom"/>
            <w:tcBorders>
              <w:bottom w:val="single" w:sz="8" w:color="407CCA"/>
            </w:tcBorders>
          </w:tcPr>
          <w:p>
            <w:pPr>
              <w:spacing w:after="0"/>
              <w:rPr>
                <w:sz w:val="5"/>
                <w:szCs w:val="5"/>
                <w:color w:val="auto"/>
              </w:rPr>
            </w:pPr>
          </w:p>
        </w:tc>
        <w:tc>
          <w:tcPr>
            <w:tcW w:w="84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Stock</w:t>
            </w: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Awards:</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Grant date fair</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b w:val="1"/>
                <w:bCs w:val="1"/>
                <w:color w:val="auto"/>
                <w:w w:val="91"/>
              </w:rPr>
              <w:t xml:space="preserve">Award Type </w:t>
            </w:r>
            <w:r>
              <w:rPr>
                <w:rFonts w:ascii="Times New Roman" w:cs="Times New Roman" w:eastAsia="Times New Roman" w:hAnsi="Times New Roman"/>
                <w:sz w:val="16"/>
                <w:szCs w:val="16"/>
                <w:b w:val="1"/>
                <w:bCs w:val="1"/>
                <w:color w:val="auto"/>
                <w:w w:val="91"/>
                <w:vertAlign w:val="superscript"/>
              </w:rPr>
              <w:t>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 xml:space="preserve">Grant Date </w:t>
            </w:r>
            <w:r>
              <w:rPr>
                <w:rFonts w:ascii="Times New Roman" w:cs="Times New Roman" w:eastAsia="Times New Roman" w:hAnsi="Times New Roman"/>
                <w:sz w:val="16"/>
                <w:szCs w:val="16"/>
                <w:b w:val="1"/>
                <w:bCs w:val="1"/>
                <w:color w:val="auto"/>
                <w:w w:val="94"/>
                <w:vertAlign w:val="superscript"/>
              </w:rPr>
              <w:t>2</w:t>
            </w:r>
          </w:p>
        </w:tc>
        <w:tc>
          <w:tcPr>
            <w:tcW w:w="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value of stock</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407CCA"/>
            </w:tcBorders>
            <w:vMerge w:val="continue"/>
          </w:tcPr>
          <w:p>
            <w:pPr>
              <w:spacing w:after="0"/>
              <w:rPr>
                <w:sz w:val="16"/>
                <w:szCs w:val="16"/>
                <w:color w:val="auto"/>
              </w:rPr>
            </w:pPr>
          </w:p>
        </w:tc>
        <w:tc>
          <w:tcPr>
            <w:tcW w:w="2800" w:type="dxa"/>
            <w:vAlign w:val="bottom"/>
            <w:tcBorders>
              <w:bottom w:val="single" w:sz="8" w:color="407CCA"/>
            </w:tcBorders>
            <w:vMerge w:val="continue"/>
          </w:tcPr>
          <w:p>
            <w:pPr>
              <w:spacing w:after="0"/>
              <w:rPr>
                <w:sz w:val="16"/>
                <w:szCs w:val="16"/>
                <w:color w:val="auto"/>
              </w:rPr>
            </w:pPr>
          </w:p>
        </w:tc>
        <w:tc>
          <w:tcPr>
            <w:tcW w:w="1000" w:type="dxa"/>
            <w:vAlign w:val="bottom"/>
            <w:tcBorders>
              <w:bottom w:val="single" w:sz="8" w:color="407CCA"/>
            </w:tcBorders>
            <w:vMerge w:val="continue"/>
          </w:tcPr>
          <w:p>
            <w:pPr>
              <w:spacing w:after="0"/>
              <w:rPr>
                <w:sz w:val="16"/>
                <w:szCs w:val="16"/>
                <w:color w:val="auto"/>
              </w:rPr>
            </w:pP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Units</w:t>
            </w:r>
          </w:p>
        </w:tc>
        <w:tc>
          <w:tcPr>
            <w:tcW w:w="11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awards </w:t>
            </w:r>
            <w:r>
              <w:rPr>
                <w:rFonts w:ascii="Times New Roman" w:cs="Times New Roman" w:eastAsia="Times New Roman" w:hAnsi="Times New Roman"/>
                <w:sz w:val="16"/>
                <w:szCs w:val="16"/>
                <w:b w:val="1"/>
                <w:bCs w:val="1"/>
                <w:color w:val="auto"/>
                <w:w w:val="93"/>
                <w:vertAlign w:val="superscript"/>
              </w:rPr>
              <w:t>4</w:t>
            </w:r>
          </w:p>
        </w:tc>
        <w:tc>
          <w:tcPr>
            <w:tcW w:w="0" w:type="dxa"/>
            <w:vAlign w:val="bottom"/>
          </w:tcPr>
          <w:p>
            <w:pPr>
              <w:spacing w:after="0"/>
              <w:rPr>
                <w:sz w:val="1"/>
                <w:szCs w:val="1"/>
                <w:color w:val="auto"/>
              </w:rPr>
            </w:pPr>
          </w:p>
        </w:tc>
      </w:tr>
      <w:tr>
        <w:trPr>
          <w:trHeight w:val="20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Peter J. Federico</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172,233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$1,650,000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349,686</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699,372</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$3,350,000</w:t>
            </w:r>
          </w:p>
        </w:tc>
        <w:tc>
          <w:tcPr>
            <w:tcW w:w="0" w:type="dxa"/>
            <w:vAlign w:val="bottom"/>
          </w:tcPr>
          <w:p>
            <w:pPr>
              <w:spacing w:after="0"/>
              <w:rPr>
                <w:sz w:val="1"/>
                <w:szCs w:val="1"/>
                <w:color w:val="auto"/>
              </w:rPr>
            </w:pPr>
          </w:p>
        </w:tc>
      </w:tr>
      <w:tr>
        <w:trPr>
          <w:trHeight w:val="216"/>
        </w:trPr>
        <w:tc>
          <w:tcPr>
            <w:tcW w:w="1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Gary D. Kain</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144,676</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$1,386,000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293,736</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587,472</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$2,814,000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Christopher J. Kuehl</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126,826</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$1,215,000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126,826</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253,652</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$1,215,000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Bernice E. Bell</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78,288</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78,288</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156,576</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Kenneth L. Pollack</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54,279</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54,279</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108,558</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Sean P. Reid</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54,279</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9"/>
        </w:trPr>
        <w:tc>
          <w:tcPr>
            <w:tcW w:w="1860" w:type="dxa"/>
            <w:vAlign w:val="bottom"/>
            <w:tcBorders>
              <w:bottom w:val="single" w:sz="8" w:color="407CCA"/>
            </w:tcBorders>
          </w:tcPr>
          <w:p>
            <w:pPr>
              <w:spacing w:after="0"/>
              <w:rPr>
                <w:sz w:val="19"/>
                <w:szCs w:val="19"/>
                <w:color w:val="auto"/>
              </w:rPr>
            </w:pPr>
          </w:p>
        </w:tc>
        <w:tc>
          <w:tcPr>
            <w:tcW w:w="2800" w:type="dxa"/>
            <w:vAlign w:val="bottom"/>
            <w:tcBorders>
              <w:bottom w:val="single" w:sz="8" w:color="407CCA"/>
            </w:tcBorders>
          </w:tcPr>
          <w:p>
            <w:pPr>
              <w:jc w:val="center"/>
              <w:ind w:left="14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7"/>
              </w:rPr>
              <w:t>3/1/24</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54,279</w:t>
            </w:r>
          </w:p>
        </w:tc>
        <w:tc>
          <w:tcPr>
            <w:tcW w:w="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108,558</w:t>
            </w:r>
          </w:p>
        </w:tc>
        <w:tc>
          <w:tcPr>
            <w:tcW w:w="840" w:type="dxa"/>
            <w:vAlign w:val="bottom"/>
            <w:tcBorders>
              <w:bottom w:val="single" w:sz="8" w:color="407CCA"/>
            </w:tcBorders>
          </w:tcPr>
          <w:p>
            <w:pPr>
              <w:spacing w:after="0"/>
              <w:rPr>
                <w:sz w:val="19"/>
                <w:szCs w:val="19"/>
                <w:color w:val="auto"/>
              </w:rPr>
            </w:pPr>
          </w:p>
        </w:tc>
        <w:tc>
          <w:tcPr>
            <w:tcW w:w="11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right="260" w:hanging="251"/>
        <w:spacing w:after="0" w:line="262" w:lineRule="auto"/>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AGNC time-based vesting RSU awards vest ratably over a three-year and one-half month period in three equal annual installments. AGNC performance-based vesting RSU awards are subject to cliff vesting two years and eleven and one-half months after the grant date after a three-year performance period and meeting performance conditions. Awards were granted to each NEO pursuant to the terms of his or her respective employment agreement.</w:t>
      </w:r>
    </w:p>
    <w:p>
      <w:pPr>
        <w:spacing w:after="0" w:line="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approved all grants of plan-based awards in fiscal year 2024 at a meeting held on February 22, 2024.</w:t>
      </w:r>
    </w:p>
    <w:p>
      <w:pPr>
        <w:spacing w:after="0" w:line="1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dividend equivalent units.</w:t>
      </w:r>
    </w:p>
    <w:p>
      <w:pPr>
        <w:spacing w:after="0" w:line="14" w:lineRule="exact"/>
        <w:rPr>
          <w:rFonts w:ascii="Times New Roman" w:cs="Times New Roman" w:eastAsia="Times New Roman" w:hAnsi="Times New Roman"/>
          <w:sz w:val="14"/>
          <w:szCs w:val="14"/>
          <w:color w:val="auto"/>
        </w:rPr>
      </w:pPr>
    </w:p>
    <w:p>
      <w:pPr>
        <w:ind w:left="340" w:right="160" w:hanging="251"/>
        <w:spacing w:after="0" w:line="283" w:lineRule="auto"/>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AGNC performance-based vesting RSUs’ grant date fair value assumes performance achievement at 100% of target. Performance payouts may range from 0% to 200% of target based on actual performance achieved.</w:t>
      </w:r>
    </w:p>
    <w:p>
      <w:pPr>
        <w:spacing w:after="0" w:line="32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81"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the table below we provide information about stock awards under the 2016 Equity Plan that have not vested and were outstanding as of December 31, 2024, for each NEO.</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Borders>
              <w:top w:val="single" w:sz="8" w:color="407CCA"/>
            </w:tcBorders>
          </w:tcPr>
          <w:p>
            <w:pPr>
              <w:spacing w:after="0"/>
              <w:rPr>
                <w:sz w:val="18"/>
                <w:szCs w:val="18"/>
                <w:color w:val="auto"/>
              </w:rPr>
            </w:pPr>
          </w:p>
        </w:tc>
        <w:tc>
          <w:tcPr>
            <w:tcW w:w="1780" w:type="dxa"/>
            <w:vAlign w:val="bottom"/>
            <w:tcBorders>
              <w:top w:val="single" w:sz="8" w:color="407CCA"/>
            </w:tcBorders>
          </w:tcPr>
          <w:p>
            <w:pPr>
              <w:spacing w:after="0"/>
              <w:rPr>
                <w:sz w:val="18"/>
                <w:szCs w:val="18"/>
                <w:color w:val="auto"/>
              </w:rPr>
            </w:pPr>
          </w:p>
        </w:tc>
        <w:tc>
          <w:tcPr>
            <w:tcW w:w="1760" w:type="dxa"/>
            <w:vAlign w:val="bottom"/>
            <w:tcBorders>
              <w:top w:val="single" w:sz="8" w:color="407CCA"/>
              <w:bottom w:val="single" w:sz="8" w:color="407CCA"/>
            </w:tcBorders>
          </w:tcPr>
          <w:p>
            <w:pPr>
              <w:spacing w:after="0"/>
              <w:rPr>
                <w:sz w:val="18"/>
                <w:szCs w:val="18"/>
                <w:color w:val="auto"/>
              </w:rPr>
            </w:pPr>
          </w:p>
        </w:tc>
        <w:tc>
          <w:tcPr>
            <w:tcW w:w="3540" w:type="dxa"/>
            <w:vAlign w:val="bottom"/>
            <w:tcBorders>
              <w:top w:val="single" w:sz="8" w:color="407CCA"/>
              <w:bottom w:val="single" w:sz="8" w:color="407CCA"/>
            </w:tcBorders>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60" w:type="dxa"/>
            <w:vAlign w:val="bottom"/>
            <w:tcBorders>
              <w:top w:val="single" w:sz="8" w:color="407CCA"/>
              <w:bottom w:val="single" w:sz="8" w:color="407CCA"/>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16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units that</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2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7"/>
                <w:szCs w:val="17"/>
                <w:b w:val="1"/>
                <w:bCs w:val="1"/>
                <w:color w:val="auto"/>
                <w:vertAlign w:val="superscript"/>
              </w:rPr>
              <w:t>1</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7"/>
                <w:szCs w:val="17"/>
                <w:b w:val="1"/>
                <w:bCs w:val="1"/>
                <w:color w:val="auto"/>
                <w:vertAlign w:val="superscript"/>
              </w:rPr>
              <w:t>2</w:t>
            </w:r>
          </w:p>
        </w:tc>
        <w:tc>
          <w:tcPr>
            <w:tcW w:w="1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6"/>
                <w:szCs w:val="16"/>
                <w:b w:val="1"/>
                <w:bCs w:val="1"/>
                <w:color w:val="auto"/>
                <w:vertAlign w:val="superscript"/>
              </w:rPr>
              <w:t>1</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units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407CCA"/>
            </w:tcBorders>
            <w:vMerge w:val="continue"/>
          </w:tcPr>
          <w:p>
            <w:pPr>
              <w:spacing w:after="0"/>
              <w:rPr>
                <w:sz w:val="17"/>
                <w:szCs w:val="17"/>
                <w:color w:val="auto"/>
              </w:rPr>
            </w:pPr>
          </w:p>
        </w:tc>
        <w:tc>
          <w:tcPr>
            <w:tcW w:w="1780" w:type="dxa"/>
            <w:vAlign w:val="bottom"/>
            <w:tcBorders>
              <w:bottom w:val="single" w:sz="8" w:color="407CCA"/>
            </w:tcBorders>
            <w:vMerge w:val="continue"/>
          </w:tcPr>
          <w:p>
            <w:pPr>
              <w:spacing w:after="0"/>
              <w:rPr>
                <w:sz w:val="17"/>
                <w:szCs w:val="17"/>
                <w:color w:val="auto"/>
              </w:rPr>
            </w:pPr>
          </w:p>
        </w:tc>
        <w:tc>
          <w:tcPr>
            <w:tcW w:w="1760" w:type="dxa"/>
            <w:vAlign w:val="bottom"/>
            <w:tcBorders>
              <w:bottom w:val="single" w:sz="8" w:color="407CCA"/>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57,136</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526,223</w:t>
            </w: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262,742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2,419,854</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136,409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1,256,327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477,746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4,400,041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194,630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1,792,542</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395,162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3,639,442</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53,324</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491,114</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245,228</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2,258,550</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114,583</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1,055,309</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401,304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3,696,010</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163,491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1,505,752</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331,936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3,057,131</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33,008</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304,004</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151,806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1,398,133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100,446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925,108</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173,267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1,595,789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143,319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1,319,968</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143,319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1,319,968</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15,868</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146,144</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72,985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672,192</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62,004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571,057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106,959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985,092</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88,470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814,809</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88,470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814,809</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12,696</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116,930</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58,387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537,744</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42,987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395,910</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74,157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682,986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61,338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564,923</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61,338</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564,923</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11,420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105,178</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483,986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42,987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395,910</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74,157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682,986</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61,338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564,923</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00" w:type="dxa"/>
            <w:vAlign w:val="bottom"/>
            <w:tcBorders>
              <w:bottom w:val="single" w:sz="8" w:color="407CCA"/>
            </w:tcBorders>
          </w:tcPr>
          <w:p>
            <w:pPr>
              <w:spacing w:after="0"/>
              <w:rPr>
                <w:sz w:val="20"/>
                <w:szCs w:val="20"/>
                <w:color w:val="auto"/>
              </w:rPr>
            </w:pPr>
          </w:p>
        </w:tc>
        <w:tc>
          <w:tcPr>
            <w:tcW w:w="1780" w:type="dxa"/>
            <w:vAlign w:val="bottom"/>
            <w:tcBorders>
              <w:bottom w:val="single" w:sz="8" w:color="407CCA"/>
            </w:tcBorders>
          </w:tcPr>
          <w:p>
            <w:pPr>
              <w:jc w:val="center"/>
              <w:ind w:left="111"/>
              <w:spacing w:after="0" w:line="237" w:lineRule="exact"/>
              <w:rPr>
                <w:sz w:val="20"/>
                <w:szCs w:val="20"/>
                <w:color w:val="auto"/>
              </w:rPr>
            </w:pPr>
            <w:r>
              <w:rPr>
                <w:rFonts w:ascii="Times New Roman" w:cs="Times New Roman" w:eastAsia="Times New Roman" w:hAnsi="Times New Roman"/>
                <w:sz w:val="18"/>
                <w:szCs w:val="18"/>
                <w:color w:val="auto"/>
                <w:w w:val="97"/>
              </w:rPr>
              <w:t xml:space="preserve">3/1/2024 </w:t>
            </w:r>
            <w:r>
              <w:rPr>
                <w:rFonts w:ascii="Times New Roman" w:cs="Times New Roman" w:eastAsia="Times New Roman" w:hAnsi="Times New Roman"/>
                <w:sz w:val="23"/>
                <w:szCs w:val="23"/>
                <w:color w:val="auto"/>
                <w:w w:val="97"/>
                <w:vertAlign w:val="superscript"/>
              </w:rPr>
              <w:t>6</w:t>
            </w:r>
          </w:p>
        </w:tc>
        <w:tc>
          <w:tcPr>
            <w:tcW w:w="1760" w:type="dxa"/>
            <w:vAlign w:val="bottom"/>
            <w:tcBorders>
              <w:bottom w:val="single" w:sz="8" w:color="407CCA"/>
            </w:tcBorders>
          </w:tcPr>
          <w:p>
            <w:pPr>
              <w:spacing w:after="0"/>
              <w:rPr>
                <w:sz w:val="20"/>
                <w:szCs w:val="20"/>
                <w:color w:val="auto"/>
              </w:rPr>
            </w:pPr>
          </w:p>
        </w:tc>
        <w:tc>
          <w:tcPr>
            <w:tcW w:w="1680" w:type="dxa"/>
            <w:vAlign w:val="bottom"/>
            <w:tcBorders>
              <w:bottom w:val="single" w:sz="8" w:color="407CCA"/>
            </w:tcBorders>
          </w:tcPr>
          <w:p>
            <w:pPr>
              <w:spacing w:after="0"/>
              <w:rPr>
                <w:sz w:val="20"/>
                <w:szCs w:val="20"/>
                <w:color w:val="auto"/>
              </w:rPr>
            </w:pPr>
          </w:p>
        </w:tc>
        <w:tc>
          <w:tcPr>
            <w:tcW w:w="18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61,338</w:t>
            </w:r>
          </w:p>
        </w:tc>
        <w:tc>
          <w:tcPr>
            <w:tcW w:w="1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564,923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accrued dividend equivalent units.</w:t>
      </w:r>
    </w:p>
    <w:p>
      <w:pPr>
        <w:spacing w:after="0" w:line="17"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computed by multiplying the closing market price of our stock on December 31, 2024, or $9.21, by the number of units.</w:t>
      </w:r>
    </w:p>
    <w:p>
      <w:pPr>
        <w:sectPr>
          <w:pgSz w:w="11900" w:h="16838" w:orient="portrait"/>
          <w:cols w:equalWidth="0" w:num="1">
            <w:col w:w="11220"/>
          </w:cols>
          <w:pgMar w:left="320" w:top="104" w:right="359" w:bottom="1440" w:gutter="0" w:footer="0" w:header="0"/>
        </w:sectPr>
      </w:pPr>
    </w:p>
    <w:p>
      <w:pPr>
        <w:spacing w:after="0" w:line="34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left="340" w:hanging="251"/>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vesting RSUs vest ratably over a three-year and one-half month period that commenced on the Grant Date with the next vesting date on March 15, 2025.</w:t>
      </w:r>
    </w:p>
    <w:p>
      <w:pPr>
        <w:spacing w:after="0" w:line="17" w:lineRule="exact"/>
        <w:rPr>
          <w:rFonts w:ascii="Times New Roman" w:cs="Times New Roman" w:eastAsia="Times New Roman" w:hAnsi="Times New Roman"/>
          <w:sz w:val="14"/>
          <w:szCs w:val="14"/>
          <w:color w:val="auto"/>
        </w:rPr>
      </w:pPr>
    </w:p>
    <w:p>
      <w:pPr>
        <w:ind w:left="340" w:right="240" w:hanging="251"/>
        <w:spacing w:after="0" w:line="221"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Reflects performance achievement of 75.5% of target.</w:t>
      </w:r>
    </w:p>
    <w:p>
      <w:pPr>
        <w:ind w:left="340" w:right="240" w:hanging="251"/>
        <w:spacing w:after="0" w:line="251"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Reflects assumed performance achievement at 115% of target.</w:t>
      </w:r>
    </w:p>
    <w:p>
      <w:pPr>
        <w:ind w:left="340" w:right="240" w:hanging="251"/>
        <w:spacing w:after="0" w:line="239"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Reflects assumed performance achievement at 100% of target.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Year 2024</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stock awards under the 2016 Equity Plan that vested in 2024 for each NEO: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top w:val="single" w:sz="8" w:color="407CCA"/>
            </w:tcBorders>
          </w:tcPr>
          <w:p>
            <w:pPr>
              <w:spacing w:after="0"/>
              <w:rPr>
                <w:sz w:val="18"/>
                <w:szCs w:val="18"/>
                <w:color w:val="auto"/>
              </w:rPr>
            </w:pPr>
          </w:p>
        </w:tc>
        <w:tc>
          <w:tcPr>
            <w:tcW w:w="1820" w:type="dxa"/>
            <w:vAlign w:val="bottom"/>
            <w:tcBorders>
              <w:top w:val="single" w:sz="8" w:color="407CCA"/>
              <w:bottom w:val="single" w:sz="8" w:color="407CCA"/>
            </w:tcBorders>
          </w:tcPr>
          <w:p>
            <w:pPr>
              <w:spacing w:after="0"/>
              <w:rPr>
                <w:sz w:val="18"/>
                <w:szCs w:val="18"/>
                <w:color w:val="auto"/>
              </w:rPr>
            </w:pPr>
          </w:p>
        </w:tc>
        <w:tc>
          <w:tcPr>
            <w:tcW w:w="2800" w:type="dxa"/>
            <w:vAlign w:val="bottom"/>
            <w:tcBorders>
              <w:top w:val="single" w:sz="8" w:color="407CCA"/>
              <w:bottom w:val="single" w:sz="8" w:color="407CCA"/>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Pr>
          <w:p>
            <w:pPr>
              <w:jc w:val="center"/>
              <w:ind w:left="175"/>
              <w:spacing w:after="0" w:line="137"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8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Value realized on vesting ($)</w:t>
            </w:r>
          </w:p>
        </w:tc>
        <w:tc>
          <w:tcPr>
            <w:tcW w:w="0" w:type="dxa"/>
            <w:vAlign w:val="bottom"/>
          </w:tcPr>
          <w:p>
            <w:pPr>
              <w:spacing w:after="0"/>
              <w:rPr>
                <w:sz w:val="1"/>
                <w:szCs w:val="1"/>
                <w:color w:val="auto"/>
              </w:rPr>
            </w:pPr>
          </w:p>
        </w:tc>
      </w:tr>
      <w:tr>
        <w:trPr>
          <w:trHeight w:val="200"/>
        </w:trPr>
        <w:tc>
          <w:tcPr>
            <w:tcW w:w="6600" w:type="dxa"/>
            <w:vAlign w:val="bottom"/>
            <w:tcBorders>
              <w:bottom w:val="single" w:sz="8" w:color="407CCA"/>
            </w:tcBorders>
            <w:vMerge w:val="continue"/>
          </w:tcPr>
          <w:p>
            <w:pPr>
              <w:spacing w:after="0"/>
              <w:rPr>
                <w:sz w:val="17"/>
                <w:szCs w:val="17"/>
                <w:color w:val="auto"/>
              </w:rPr>
            </w:pPr>
          </w:p>
        </w:tc>
        <w:tc>
          <w:tcPr>
            <w:tcW w:w="1820" w:type="dxa"/>
            <w:vAlign w:val="bottom"/>
            <w:tcBorders>
              <w:bottom w:val="single" w:sz="8" w:color="407CCA"/>
            </w:tcBorders>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2800" w:type="dxa"/>
            <w:vAlign w:val="bottom"/>
            <w:tcBorders>
              <w:bottom w:val="single" w:sz="8" w:color="407CC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Peter J. Federico</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280,723</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2,693,855</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Gary D. Kain</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405,035</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3,883,289</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Christopher J. Kuehl</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179,777</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1,725,310</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Bernice E. Bell</w:t>
            </w:r>
          </w:p>
        </w:tc>
        <w:tc>
          <w:tcPr>
            <w:tcW w:w="18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90,939</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873,447</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Kenneth L. Pollack</w:t>
            </w:r>
          </w:p>
        </w:tc>
        <w:tc>
          <w:tcPr>
            <w:tcW w:w="18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72,960</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700,622</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Sean P. Reid</w:t>
            </w:r>
          </w:p>
        </w:tc>
        <w:tc>
          <w:tcPr>
            <w:tcW w:w="1820" w:type="dxa"/>
            <w:vAlign w:val="bottom"/>
            <w:tcBorders>
              <w:bottom w:val="single" w:sz="8" w:color="407CCA"/>
            </w:tcBorders>
          </w:tcPr>
          <w:p>
            <w:pPr>
              <w:jc w:val="center"/>
              <w:ind w:left="175"/>
              <w:spacing w:after="0"/>
              <w:rPr>
                <w:sz w:val="20"/>
                <w:szCs w:val="20"/>
                <w:color w:val="auto"/>
              </w:rPr>
            </w:pPr>
            <w:r>
              <w:rPr>
                <w:rFonts w:ascii="Times New Roman" w:cs="Times New Roman" w:eastAsia="Times New Roman" w:hAnsi="Times New Roman"/>
                <w:sz w:val="18"/>
                <w:szCs w:val="18"/>
                <w:color w:val="auto"/>
                <w:w w:val="96"/>
              </w:rPr>
              <w:t>54,426</w:t>
            </w:r>
          </w:p>
        </w:tc>
        <w:tc>
          <w:tcPr>
            <w:tcW w:w="2800" w:type="dxa"/>
            <w:vAlign w:val="bottom"/>
            <w:tcBorders>
              <w:bottom w:val="single" w:sz="8" w:color="407CCA"/>
            </w:tcBorders>
          </w:tcPr>
          <w:p>
            <w:pPr>
              <w:jc w:val="center"/>
              <w:ind w:left="195"/>
              <w:spacing w:after="0"/>
              <w:rPr>
                <w:sz w:val="20"/>
                <w:szCs w:val="20"/>
                <w:color w:val="auto"/>
              </w:rPr>
            </w:pPr>
            <w:r>
              <w:rPr>
                <w:rFonts w:ascii="Times New Roman" w:cs="Times New Roman" w:eastAsia="Times New Roman" w:hAnsi="Times New Roman"/>
                <w:sz w:val="18"/>
                <w:szCs w:val="18"/>
                <w:color w:val="auto"/>
              </w:rPr>
              <w:t>522,949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of Control Payments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Employment Agreements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employment agreements with Ms. Bell and Messrs. Kain, Federico, Kuehl, Pollack, and Reid contains provisions for payments upon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certain events as set forth below. In the event of a termination by the Company of any of our NEOs for Cause (as defined in their respective employment agreements), our NEOs are not entitled to receive any supplemental payments or incremental benefits.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Termination by the Board Without Cause or Termination by the Executive for Good Reason</w:t>
      </w:r>
    </w:p>
    <w:p>
      <w:pPr>
        <w:spacing w:after="0" w:line="92"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If the employment of Ms. Bell or Messrs. Federico, Kuehl, Pollack, or Reid terminates by reason of a Termination Without Cause or Termination For Good Reason, each as defined in their employment agreements, and such termination does not occur during the 21-month period (24 months in the case of Ms. Bell or Messrs. Pollack or Reid) following a Change of Control, each such executive would be entitled to the following payments from the</w:t>
      </w:r>
    </w:p>
    <w:p>
      <w:pPr>
        <w:spacing w:after="0" w:line="204" w:lineRule="auto"/>
        <w:rPr>
          <w:sz w:val="20"/>
          <w:szCs w:val="20"/>
          <w:color w:val="auto"/>
        </w:rPr>
      </w:pPr>
      <w:r>
        <w:rPr>
          <w:rFonts w:ascii="Times New Roman" w:cs="Times New Roman" w:eastAsia="Times New Roman" w:hAnsi="Times New Roman"/>
          <w:sz w:val="18"/>
          <w:szCs w:val="18"/>
          <w:color w:val="auto"/>
        </w:rPr>
        <w:t>Company, as applicable, in addition to the payments listed below under “All Terminations” (a) an amount equal to the product of (i) 1.5 for</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Messrs. Federico or Kuehl or 1.0 for Ms. Bell or Messrs. Pollack or Reid, multiplied by (ii) the sum of (A) the executive’s annual base salary at the time of such termination, plus (B) the target value of the executive’s annual cash bonus for the year in which such termination occurs (the “Severance Amount”),</w:t>
      </w:r>
    </w:p>
    <w:p>
      <w:pPr>
        <w:spacing w:after="0" w:line="204" w:lineRule="auto"/>
        <w:rPr>
          <w:sz w:val="20"/>
          <w:szCs w:val="20"/>
          <w:color w:val="auto"/>
        </w:rPr>
      </w:pPr>
      <w:r>
        <w:rPr>
          <w:rFonts w:ascii="Times New Roman" w:cs="Times New Roman" w:eastAsia="Times New Roman" w:hAnsi="Times New Roman"/>
          <w:sz w:val="18"/>
          <w:szCs w:val="18"/>
          <w:color w:val="auto"/>
        </w:rPr>
        <w:t>paid over 18 months for Messrs. Federico and Kuehl, and 12 months to Ms. Bell and Messrs. Pollack and Reid, respectively; (b) a pro rata portion of the</w:t>
      </w:r>
    </w:p>
    <w:p>
      <w:pPr>
        <w:spacing w:after="0" w:line="204" w:lineRule="auto"/>
        <w:rPr>
          <w:sz w:val="20"/>
          <w:szCs w:val="20"/>
          <w:color w:val="auto"/>
        </w:rPr>
      </w:pPr>
      <w:r>
        <w:rPr>
          <w:rFonts w:ascii="Times New Roman" w:cs="Times New Roman" w:eastAsia="Times New Roman" w:hAnsi="Times New Roman"/>
          <w:sz w:val="18"/>
          <w:szCs w:val="18"/>
          <w:color w:val="auto"/>
        </w:rPr>
        <w:t>annual cash bonus the executive would have been entitled to receive if he or she had remained employed through December 31 of the year in which such</w:t>
      </w:r>
    </w:p>
    <w:p>
      <w:pPr>
        <w:spacing w:after="0" w:line="219" w:lineRule="auto"/>
        <w:rPr>
          <w:sz w:val="20"/>
          <w:szCs w:val="20"/>
          <w:color w:val="auto"/>
        </w:rPr>
      </w:pPr>
      <w:r>
        <w:rPr>
          <w:rFonts w:ascii="Times New Roman" w:cs="Times New Roman" w:eastAsia="Times New Roman" w:hAnsi="Times New Roman"/>
          <w:sz w:val="18"/>
          <w:szCs w:val="18"/>
          <w:color w:val="auto"/>
        </w:rPr>
        <w:t>termination occurs (as determined by the Compensation Committee but assuming that all qualitative and subjective performance metrics were achieved at</w:t>
      </w:r>
    </w:p>
    <w:p>
      <w:pPr>
        <w:ind w:right="120"/>
        <w:spacing w:after="0" w:line="220" w:lineRule="auto"/>
        <w:rPr>
          <w:sz w:val="20"/>
          <w:szCs w:val="20"/>
          <w:color w:val="auto"/>
        </w:rPr>
      </w:pPr>
      <w:r>
        <w:rPr>
          <w:rFonts w:ascii="Times New Roman" w:cs="Times New Roman" w:eastAsia="Times New Roman" w:hAnsi="Times New Roman"/>
          <w:sz w:val="17"/>
          <w:szCs w:val="17"/>
          <w:color w:val="auto"/>
        </w:rPr>
        <w:t>their target level); (c) reimbursements under COBRA, or substitute payments, for the executive and his or her eligible dependents for up to 18 months in the case of Messrs. Federico and Kuehl and 12 months in the case of Ms. Bell and Messrs. Pollack and Reid; and (d) acceleration of any outstanding unvested equity awards. Under the terms of Mr. Kain’s employment agreement, he would be entitled only to a pro rata portion of the annual cash bonus 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been entitled to receive if he had remained employed through December 31 and acceleration of any outstanding equity awards.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Termination by the Board Without Cause or Termination by the Executive For Good Reason Following a Change of Control</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employment of Ms. Bell or Messrs. Federico, Kuehl, Pollack, or Reid terminates by reason of a Termination Without Cause or Termination</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For Good Reason, and such termination occurs during the 21-month period following a Change of Control (24 months in the case of Ms. Bell and Messrs. Pollack and Reid), as defined in their employment agreements, each such executive would be entitled to the following (as applicable), in addition to the payments listed below under “All Terminations”: (a) an amount equal to the product of (i) 2.0 (for Messrs. Federico or Kuehl) or 1.5 (for Ms. Bell</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and Messrs. Pollack or Reid), multiplied by (ii) the sum of (A) the executive’s annual base salary at the time of such termination, plus (B) the target value of the executive’s annual cash bonus for the year in which such termination occurs, paid in a lump sum; (b) a pro rata portion of the target value of his or her annual cash bonus for the year in which such termination occurs; (c) COBRA reimbursements (or substitute payments) for the executive and his or her</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eligible dependents for up to 18 months; and (d) acceleration of any outstanding unvested equity awards. Under the terms of Mr. Kain’s employment agreement, he would be entitled only to a pro rata portion of the annual cash bonus he would have been entitled to receive if he had remained employed through December 31 and acceleration of any outstanding equity awards.</w:t>
      </w:r>
    </w:p>
    <w:p>
      <w:pPr>
        <w:spacing w:after="0" w:line="32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Death or Disability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the employment period of Ms. Bell or Messrs. Federico, Kuehl, Pollack, or Reid terminates early by reason of death or disability, each executive</w:t>
      </w:r>
    </w:p>
    <w:p>
      <w:pPr>
        <w:spacing w:after="0" w:line="14"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(or his or her estate or eligible dependents, if applicable) is entitled to receive, in addition to the payments listed below under “All Terminations”: (i) a pro rata portion of the annual cash bonus the executive would have been entitled to receive if he or she had remained employed through December 31 of the year in which such termination occurs (as determined by the Compensation Committee but assuming that the executive achieved all qualitative 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subjective performance metrics at their target level), payable in a lump sum; (ii) COBRA reimbursements (or substitute payments) for the executive and his or her eligible dependents for up to 18 months (12 months in the case of Ms. Bell and Messrs. Pollack and Reid); and (iii) acceleration of any outstanding unvested equity awards. Under the terms of Mr. Kain’s employment agreement, he would be entitled only to a pro rata portion of the annual cash bonus 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been entitled to receive if he had remained employed through December 31 and acceleration of any outstanding equity awards.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Voluntary Termination</w:t>
      </w:r>
    </w:p>
    <w:p>
      <w:pPr>
        <w:spacing w:after="0" w:line="9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Pursuant to the terms of his amended and restated employment agreement, Mr. Kain’s outstanding equity awards will be subject to accelerated vesting described above, except that, for such LTI awards granted in the year of the voluntary termination, such terms would only apply to a pro rata portion of the awards based on the number of full calendar months Mr. Kain was employed in such year. The continued vesting of any performance-based</w:t>
      </w:r>
    </w:p>
    <w:p>
      <w:pPr>
        <w:ind w:right="80"/>
        <w:spacing w:after="0" w:line="218" w:lineRule="auto"/>
        <w:rPr>
          <w:sz w:val="20"/>
          <w:szCs w:val="20"/>
          <w:color w:val="auto"/>
        </w:rPr>
      </w:pPr>
      <w:r>
        <w:rPr>
          <w:rFonts w:ascii="Times New Roman" w:cs="Times New Roman" w:eastAsia="Times New Roman" w:hAnsi="Times New Roman"/>
          <w:sz w:val="18"/>
          <w:szCs w:val="18"/>
          <w:color w:val="auto"/>
        </w:rPr>
        <w:t>vesting described in this section shall only occur if Mr. Kain continues to comply with certain restrictive covenants contained in the agreement during such time. Mr. Kain must provide the Company with at least 90 days’ prior written notice to qualify as a voluntary termination under the terms of his employment agreement.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All Terminations</w:t>
      </w:r>
    </w:p>
    <w:p>
      <w:pPr>
        <w:spacing w:after="0" w:line="7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17"/>
          <w:szCs w:val="17"/>
          <w:color w:val="auto"/>
        </w:rPr>
        <w:t>If the employment period of Ms. Bell and Messrs. Kain, Federico, Kuehl, Pollack, or Reid terminates early for any reason, each executive is entitled to receive (i) any earned but unpaid base salary; (ii) any annual cash bonus that has been earned for a calendar year prior to termination but is</w:t>
      </w:r>
    </w:p>
    <w:p>
      <w:pPr>
        <w:spacing w:after="0" w:line="203" w:lineRule="auto"/>
        <w:rPr>
          <w:sz w:val="20"/>
          <w:szCs w:val="20"/>
          <w:color w:val="auto"/>
        </w:rPr>
      </w:pPr>
      <w:r>
        <w:rPr>
          <w:rFonts w:ascii="Times New Roman" w:cs="Times New Roman" w:eastAsia="Times New Roman" w:hAnsi="Times New Roman"/>
          <w:sz w:val="18"/>
          <w:szCs w:val="18"/>
          <w:color w:val="auto"/>
        </w:rPr>
        <w:t>unpaid (but only if not a Termination For Cause or (other than Mr. Kain) a voluntary termination by the executive for any reason other than Good Reason);</w:t>
      </w:r>
    </w:p>
    <w:p>
      <w:pPr>
        <w:ind w:right="160" w:firstLine="8"/>
        <w:spacing w:after="0" w:line="226"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reimbursable expenses that have been incurred by the executive; (iv) any plan benefits which by their terms extend beyond termination of employment; and (v) any COBRA benefits generally available to employees.</w:t>
      </w:r>
    </w:p>
    <w:p>
      <w:pPr>
        <w:spacing w:after="0" w:line="171" w:lineRule="exact"/>
        <w:rPr>
          <w:sz w:val="20"/>
          <w:szCs w:val="20"/>
          <w:color w:val="auto"/>
        </w:rPr>
      </w:pPr>
    </w:p>
    <w:p>
      <w:pPr>
        <w:jc w:val="both"/>
        <w:ind w:right="320" w:firstLine="648"/>
        <w:spacing w:after="0" w:line="229" w:lineRule="auto"/>
        <w:rPr>
          <w:sz w:val="20"/>
          <w:szCs w:val="20"/>
          <w:color w:val="auto"/>
        </w:rPr>
      </w:pPr>
      <w:r>
        <w:rPr>
          <w:rFonts w:ascii="Times New Roman" w:cs="Times New Roman" w:eastAsia="Times New Roman" w:hAnsi="Times New Roman"/>
          <w:sz w:val="17"/>
          <w:szCs w:val="17"/>
          <w:color w:val="auto"/>
        </w:rPr>
        <w:t>In addition, each of the employment agreements contains a non-competition provision that prevents the officer from participating as an officer, employee, director, partner, stockholder, consultant or otherwise, in any type of business that engages in the Company’s business for a certain restricted period. Each of the employment agreements also contains a provision preventing the executive from soliciting any of our employees or interfering in a</w:t>
      </w:r>
    </w:p>
    <w:p>
      <w:pPr>
        <w:spacing w:after="0"/>
        <w:rPr>
          <w:sz w:val="20"/>
          <w:szCs w:val="20"/>
          <w:color w:val="auto"/>
        </w:rPr>
      </w:pPr>
      <w:r>
        <w:rPr>
          <w:rFonts w:ascii="Times New Roman" w:cs="Times New Roman" w:eastAsia="Times New Roman" w:hAnsi="Times New Roman"/>
          <w:sz w:val="18"/>
          <w:szCs w:val="18"/>
          <w:color w:val="auto"/>
        </w:rPr>
        <w:t>similar manner with our business during such restricted period.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Equity Plans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2016 Equity Plan includes “double-trigger” acceleration provisions with respect to the vesting of awards in connection with a Change of</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Control of the Company (as defined in the 2016 Equity Plan). Under the 2016 Equity Plan, the vesting of awards may accelerate in connection with a Change of Control where either (1) within a specified period the participant experiences a qualifying termination of employment or service, as applicable, in a manner described in the award agreement or (2) the award is not continued, assumed, or converted into a replacement award in a manner described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award agreement.</w:t>
      </w:r>
    </w:p>
    <w:p>
      <w:pPr>
        <w:spacing w:after="0" w:line="57"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The following table summarizes the estimated payments to be made under the employment agreement for each NEO at, following, or in connection with any termination of employment, including by the Company without cause or by the executive for good reason, death or disability and upon a change of control. In accordance with SEC regulations, the following table does not include any amount to be provided to an NEO under any arrangement</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that does not discriminate in scope, terms or operation in favor of the NEO and that are available generally to all salaried employees. Also, the following table does not duplicate information already provided in the outstanding equity awards at fiscal year-end table, except to the extent that the amount payable to the NEO would be enhanced by the termination event. The amounts in the following table are hypothetical and based on SEC regulations. Actual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will depend on the circumstances and timing of any termination.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In accordance with SEC regulations, for purposes of the quantitative disclosure in the following table, we have assumed that the termination took place on December 31, 2024, and that the price per share of our common stock is the closing market price as of December 31, 2024, which was $9.21.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information below constitutes forward-looking statements for purposes of the Private Litigation Securities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Termination by</w:t>
      </w:r>
    </w:p>
    <w:p>
      <w:pPr>
        <w:jc w:val="center"/>
        <w:ind w:left="2400"/>
        <w:spacing w:after="0" w:line="216" w:lineRule="auto"/>
        <w:rPr>
          <w:sz w:val="20"/>
          <w:szCs w:val="20"/>
          <w:color w:val="auto"/>
        </w:rPr>
      </w:pPr>
      <w:r>
        <w:rPr>
          <w:rFonts w:ascii="Times New Roman" w:cs="Times New Roman" w:eastAsia="Times New Roman" w:hAnsi="Times New Roman"/>
          <w:sz w:val="13"/>
          <w:szCs w:val="13"/>
          <w:b w:val="1"/>
          <w:bCs w:val="1"/>
          <w:color w:val="auto"/>
        </w:rPr>
        <w:t>Company Without</w:t>
      </w:r>
    </w:p>
    <w:tbl>
      <w:tblPr>
        <w:tblLayout w:type="fixed"/>
        <w:tblInd w:w="0" w:type="dxa"/>
        <w:tblCellMar>
          <w:top w:w="0" w:type="dxa"/>
          <w:left w:w="0" w:type="dxa"/>
          <w:bottom w:w="0" w:type="dxa"/>
          <w:right w:w="0" w:type="dxa"/>
        </w:tblCellMar>
      </w:tblPr>
      <w:tr>
        <w:trPr>
          <w:trHeight w:val="113"/>
        </w:trPr>
        <w:tc>
          <w:tcPr>
            <w:tcW w:w="3340" w:type="dxa"/>
            <w:vAlign w:val="bottom"/>
          </w:tcPr>
          <w:p>
            <w:pPr>
              <w:spacing w:after="0"/>
              <w:rPr>
                <w:sz w:val="9"/>
                <w:szCs w:val="9"/>
                <w:color w:val="auto"/>
              </w:rPr>
            </w:pPr>
          </w:p>
        </w:tc>
        <w:tc>
          <w:tcPr>
            <w:tcW w:w="2620" w:type="dxa"/>
            <w:vAlign w:val="bottom"/>
            <w:vMerge w:val="restart"/>
          </w:tcPr>
          <w:p>
            <w:pPr>
              <w:jc w:val="center"/>
              <w:ind w:left="754"/>
              <w:spacing w:after="0"/>
              <w:rPr>
                <w:sz w:val="20"/>
                <w:szCs w:val="20"/>
                <w:color w:val="auto"/>
              </w:rPr>
            </w:pPr>
            <w:r>
              <w:rPr>
                <w:rFonts w:ascii="Times New Roman" w:cs="Times New Roman" w:eastAsia="Times New Roman" w:hAnsi="Times New Roman"/>
                <w:sz w:val="13"/>
                <w:szCs w:val="13"/>
                <w:b w:val="1"/>
                <w:bCs w:val="1"/>
                <w:color w:val="auto"/>
                <w:w w:val="94"/>
              </w:rPr>
              <w:t>Termination by</w:t>
            </w:r>
          </w:p>
        </w:tc>
        <w:tc>
          <w:tcPr>
            <w:tcW w:w="17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Cause or</w:t>
            </w: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Termination by</w:t>
            </w:r>
          </w:p>
        </w:tc>
        <w:tc>
          <w:tcPr>
            <w:tcW w:w="174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Voluntary</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tcPr>
          <w:p>
            <w:pPr>
              <w:jc w:val="center"/>
              <w:ind w:left="774"/>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Company Without</w:t>
            </w:r>
          </w:p>
        </w:tc>
        <w:tc>
          <w:tcPr>
            <w:tcW w:w="1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Executive for</w:t>
            </w:r>
          </w:p>
        </w:tc>
        <w:tc>
          <w:tcPr>
            <w:tcW w:w="17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620" w:type="dxa"/>
            <w:vAlign w:val="bottom"/>
          </w:tcPr>
          <w:p>
            <w:pPr>
              <w:jc w:val="center"/>
              <w:ind w:left="7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Cause or Termination</w:t>
            </w:r>
          </w:p>
        </w:tc>
        <w:tc>
          <w:tcPr>
            <w:tcW w:w="1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Good Reason, each in</w:t>
            </w:r>
          </w:p>
        </w:tc>
        <w:tc>
          <w:tcPr>
            <w:tcW w:w="174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Termination by</w:t>
            </w:r>
          </w:p>
        </w:tc>
        <w:tc>
          <w:tcPr>
            <w:tcW w:w="0" w:type="dxa"/>
            <w:vAlign w:val="bottom"/>
          </w:tcPr>
          <w:p>
            <w:pPr>
              <w:spacing w:after="0"/>
              <w:rPr>
                <w:sz w:val="1"/>
                <w:szCs w:val="1"/>
                <w:color w:val="auto"/>
              </w:rPr>
            </w:pPr>
          </w:p>
        </w:tc>
      </w:tr>
      <w:tr>
        <w:trPr>
          <w:trHeight w:val="12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 Benefits and Payments</w:t>
            </w:r>
          </w:p>
        </w:tc>
        <w:tc>
          <w:tcPr>
            <w:tcW w:w="2620" w:type="dxa"/>
            <w:vAlign w:val="bottom"/>
          </w:tcPr>
          <w:p>
            <w:pPr>
              <w:jc w:val="center"/>
              <w:ind w:left="754"/>
              <w:spacing w:after="0" w:line="122" w:lineRule="exact"/>
              <w:rPr>
                <w:sz w:val="20"/>
                <w:szCs w:val="20"/>
                <w:color w:val="auto"/>
              </w:rPr>
            </w:pPr>
            <w:r>
              <w:rPr>
                <w:rFonts w:ascii="Times New Roman" w:cs="Times New Roman" w:eastAsia="Times New Roman" w:hAnsi="Times New Roman"/>
                <w:sz w:val="13"/>
                <w:szCs w:val="13"/>
                <w:b w:val="1"/>
                <w:bCs w:val="1"/>
                <w:color w:val="auto"/>
                <w:w w:val="98"/>
              </w:rPr>
              <w:t>by Executive for</w:t>
            </w:r>
          </w:p>
        </w:tc>
        <w:tc>
          <w:tcPr>
            <w:tcW w:w="1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connection with a</w:t>
            </w:r>
          </w:p>
        </w:tc>
        <w:tc>
          <w:tcPr>
            <w:tcW w:w="1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Death or Disability</w:t>
            </w:r>
          </w:p>
        </w:tc>
        <w:tc>
          <w:tcPr>
            <w:tcW w:w="1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Executive without</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2620" w:type="dxa"/>
            <w:vAlign w:val="bottom"/>
          </w:tcPr>
          <w:p>
            <w:pPr>
              <w:jc w:val="center"/>
              <w:ind w:left="754"/>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Good Reason </w:t>
            </w:r>
            <w:r>
              <w:rPr>
                <w:rFonts w:ascii="Times New Roman" w:cs="Times New Roman" w:eastAsia="Times New Roman" w:hAnsi="Times New Roman"/>
                <w:sz w:val="14"/>
                <w:szCs w:val="14"/>
                <w:b w:val="1"/>
                <w:bCs w:val="1"/>
                <w:color w:val="auto"/>
                <w:vertAlign w:val="superscript"/>
              </w:rPr>
              <w:t>1</w:t>
            </w:r>
          </w:p>
        </w:tc>
        <w:tc>
          <w:tcPr>
            <w:tcW w:w="1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Change in Control </w:t>
            </w:r>
            <w:r>
              <w:rPr>
                <w:rFonts w:ascii="Times New Roman" w:cs="Times New Roman" w:eastAsia="Times New Roman" w:hAnsi="Times New Roman"/>
                <w:sz w:val="14"/>
                <w:szCs w:val="14"/>
                <w:b w:val="1"/>
                <w:bCs w:val="1"/>
                <w:color w:val="auto"/>
                <w:vertAlign w:val="superscript"/>
              </w:rPr>
              <w:t>2</w:t>
            </w:r>
          </w:p>
        </w:tc>
        <w:tc>
          <w:tcPr>
            <w:tcW w:w="1740" w:type="dxa"/>
            <w:vAlign w:val="bottom"/>
            <w:vMerge w:val="continue"/>
          </w:tcPr>
          <w:p>
            <w:pPr>
              <w:spacing w:after="0"/>
              <w:rPr>
                <w:sz w:val="10"/>
                <w:szCs w:val="10"/>
                <w:color w:val="auto"/>
              </w:rPr>
            </w:pPr>
          </w:p>
        </w:tc>
        <w:tc>
          <w:tcPr>
            <w:tcW w:w="1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Good Reason</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407CCA"/>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upon Termination</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8,100,000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10,800,000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7,177,500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7,177,500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7,177,500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rPr>
              <w:t>14,034,428</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14,034,428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14,034,428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52,236</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29,364,164</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32,064,164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21,264,164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5,742,000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5,742,000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5,742,000</w:t>
            </w:r>
          </w:p>
        </w:tc>
        <w:tc>
          <w:tcPr>
            <w:tcW w:w="1740" w:type="dxa"/>
            <w:vAlign w:val="bottom"/>
          </w:tcPr>
          <w:p>
            <w:pPr>
              <w:jc w:val="center"/>
              <w:ind w:right="313"/>
              <w:spacing w:after="0" w:line="230" w:lineRule="exact"/>
              <w:rPr>
                <w:sz w:val="20"/>
                <w:szCs w:val="20"/>
                <w:color w:val="auto"/>
              </w:rPr>
            </w:pPr>
            <w:r>
              <w:rPr>
                <w:rFonts w:ascii="Times New Roman" w:cs="Times New Roman" w:eastAsia="Times New Roman" w:hAnsi="Times New Roman"/>
                <w:sz w:val="18"/>
                <w:szCs w:val="18"/>
                <w:color w:val="auto"/>
              </w:rPr>
              <w:t xml:space="preserve">5,742,000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rPr>
              <w:t>12,063,866</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12,063,866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12,063,866</w:t>
            </w:r>
          </w:p>
        </w:tc>
        <w:tc>
          <w:tcPr>
            <w:tcW w:w="1740" w:type="dxa"/>
            <w:vAlign w:val="bottom"/>
          </w:tcPr>
          <w:p>
            <w:pPr>
              <w:jc w:val="center"/>
              <w:ind w:right="273"/>
              <w:spacing w:after="0" w:line="230" w:lineRule="exact"/>
              <w:rPr>
                <w:sz w:val="20"/>
                <w:szCs w:val="20"/>
                <w:color w:val="auto"/>
              </w:rPr>
            </w:pPr>
            <w:r>
              <w:rPr>
                <w:rFonts w:ascii="Times New Roman" w:cs="Times New Roman" w:eastAsia="Times New Roman" w:hAnsi="Times New Roman"/>
                <w:sz w:val="18"/>
                <w:szCs w:val="18"/>
                <w:color w:val="auto"/>
              </w:rPr>
              <w:t xml:space="preserve">12,063,866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17,805,866</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17,805,866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17,805,866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17,805,866</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5,400,000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7,200,000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3,825,900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3,825,900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3,825,900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6,862,970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6,862,970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6,862,970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52,236</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16,141,106</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17,941,106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10,741,106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2,475,000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3,712,500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2,340,825</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2,340,825</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2,340,825</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4,004,103</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4,004,103</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4,004,103</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34,824</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34,824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8,854,752</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10,109,664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6,379,752</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1,950,000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2,925,000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1,764,100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1,764,100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1,764,100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2,863,417</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2,863,417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2,863,417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34,824</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34,824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6,612,341</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7,604,753</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4,662,341</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1,950,000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2,925,000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1,764,100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1,764,100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1,764,100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2,797,906</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2,797,906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2,797,906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34,824</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52,236</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34,824</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6,546,830</w:t>
            </w:r>
          </w:p>
        </w:tc>
        <w:tc>
          <w:tcPr>
            <w:tcW w:w="17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7,539,242</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4,596,830</w:t>
            </w:r>
          </w:p>
        </w:tc>
        <w:tc>
          <w:tcPr>
            <w:tcW w:w="17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40" w:hanging="239"/>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amounts are payable over a period of 18 months for Messrs. Federico and Kuehl and over a period of 12 months for each of Messrs. Kain, Pollack, and Reid and Ms. Bell.</w:t>
      </w:r>
    </w:p>
    <w:p>
      <w:pPr>
        <w:spacing w:after="0" w:line="3" w:lineRule="exact"/>
        <w:rPr>
          <w:rFonts w:ascii="Times New Roman" w:cs="Times New Roman" w:eastAsia="Times New Roman" w:hAnsi="Times New Roman"/>
          <w:sz w:val="14"/>
          <w:szCs w:val="14"/>
          <w:color w:val="auto"/>
        </w:rPr>
      </w:pPr>
    </w:p>
    <w:p>
      <w:pPr>
        <w:ind w:left="340" w:hanging="239"/>
        <w:spacing w:after="0" w:line="20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amounts are payable in a lump sum on the first payroll date 60 days after termination.</w:t>
      </w:r>
    </w:p>
    <w:p>
      <w:pPr>
        <w:ind w:left="340" w:right="120" w:hanging="239"/>
        <w:spacing w:after="0" w:line="22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in a lump sum by March 15 of the calendar year following the calendar year in which termination occurs. Reflects cash bonus NEO is entitled to receive for fiscal year 2024 based on achievement of Corporate Scorecard measures and personal performance, as applicable.</w:t>
      </w:r>
    </w:p>
    <w:p>
      <w:pPr>
        <w:ind w:left="340" w:hanging="239"/>
        <w:spacing w:after="0" w:line="21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 achievement of 75.5% of target for March 1, 2022 performance-based vesting RSUs award. Reflects assumed performance achievement at 115% of target for March 1, 2023 and 100% of target for March 1, 2024 performance-based vesting RSUs awards.</w:t>
      </w:r>
    </w:p>
    <w:p>
      <w:pPr>
        <w:ind w:left="340" w:hanging="239"/>
        <w:spacing w:after="0" w:line="22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Benefits are based on the December 2024 monthly payment for Health, Dental and Vision coverage for each NEO.</w:t>
      </w:r>
    </w:p>
    <w:p>
      <w:pPr>
        <w:ind w:left="340" w:hanging="239"/>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Kain must provide the Company with at least 90 days’ prior written notice to qualify as a voluntary termination under the terms of his employment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81" w:lineRule="exact"/>
        <w:rPr>
          <w:sz w:val="20"/>
          <w:szCs w:val="20"/>
          <w:color w:val="auto"/>
        </w:rPr>
      </w:pPr>
    </w:p>
    <w:p>
      <w:pPr>
        <w:ind w:right="160" w:firstLine="648"/>
        <w:spacing w:after="0" w:line="22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have prepared this pay versus performance disclosure, which serves to further demonstrate the alignment of our executive compensation program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interests.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Value of Initial Fixed</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 Investment Based</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Borders>
              <w:bottom w:val="single" w:sz="8" w:color="407CCA"/>
            </w:tcBorders>
          </w:tcPr>
          <w:p>
            <w:pPr>
              <w:spacing w:after="0"/>
              <w:rPr>
                <w:sz w:val="18"/>
                <w:szCs w:val="18"/>
                <w:color w:val="auto"/>
              </w:rPr>
            </w:pPr>
          </w:p>
        </w:tc>
        <w:tc>
          <w:tcPr>
            <w:tcW w:w="940" w:type="dxa"/>
            <w:vAlign w:val="bottom"/>
            <w:tcBorders>
              <w:bottom w:val="single" w:sz="8" w:color="407CCA"/>
            </w:tcBorders>
          </w:tcPr>
          <w:p>
            <w:pPr>
              <w:jc w:val="center"/>
              <w:ind w:right="579"/>
              <w:spacing w:after="0"/>
              <w:rPr>
                <w:sz w:val="20"/>
                <w:szCs w:val="20"/>
                <w:color w:val="auto"/>
              </w:rPr>
            </w:pPr>
            <w:r>
              <w:rPr>
                <w:rFonts w:ascii="Times New Roman" w:cs="Times New Roman" w:eastAsia="Times New Roman" w:hAnsi="Times New Roman"/>
                <w:sz w:val="16"/>
                <w:szCs w:val="16"/>
                <w:color w:val="auto"/>
                <w:w w:val="97"/>
              </w:rPr>
              <w:t>on:</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Summary</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Summary</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Peer Group</w:t>
            </w:r>
          </w:p>
        </w:tc>
        <w:tc>
          <w:tcPr>
            <w:tcW w:w="96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Relative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Compensation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Compensation</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Summary</w:t>
            </w: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1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Compensation</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Total Stock-</w:t>
            </w:r>
          </w:p>
        </w:tc>
        <w:tc>
          <w:tcPr>
            <w:tcW w:w="960" w:type="dxa"/>
            <w:vAlign w:val="bottom"/>
            <w:vMerge w:val="continue"/>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Annual</w:t>
            </w:r>
          </w:p>
        </w:tc>
        <w:tc>
          <w:tcPr>
            <w:tcW w:w="0" w:type="dxa"/>
            <w:vAlign w:val="bottom"/>
          </w:tcPr>
          <w:p>
            <w:pPr>
              <w:spacing w:after="0"/>
              <w:rPr>
                <w:sz w:val="1"/>
                <w:szCs w:val="1"/>
                <w:color w:val="auto"/>
              </w:rPr>
            </w:pPr>
          </w:p>
        </w:tc>
      </w:tr>
      <w:tr>
        <w:trPr>
          <w:trHeight w:val="162"/>
        </w:trPr>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Year</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1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holder</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holder</w:t>
            </w: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 in</w:t>
            </w: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Economic</w:t>
            </w:r>
          </w:p>
        </w:tc>
        <w:tc>
          <w:tcPr>
            <w:tcW w:w="0" w:type="dxa"/>
            <w:vAlign w:val="bottom"/>
          </w:tcPr>
          <w:p>
            <w:pPr>
              <w:spacing w:after="0"/>
              <w:rPr>
                <w:sz w:val="1"/>
                <w:szCs w:val="1"/>
                <w:color w:val="auto"/>
              </w:rPr>
            </w:pPr>
          </w:p>
        </w:tc>
      </w:tr>
      <w:tr>
        <w:trPr>
          <w:trHeight w:val="216"/>
        </w:trPr>
        <w:tc>
          <w:tcPr>
            <w:tcW w:w="520" w:type="dxa"/>
            <w:vAlign w:val="bottom"/>
            <w:tcBorders>
              <w:bottom w:val="single" w:sz="8" w:color="407CCA"/>
            </w:tcBorders>
            <w:vMerge w:val="continue"/>
          </w:tcPr>
          <w:p>
            <w:pPr>
              <w:spacing w:after="0"/>
              <w:rPr>
                <w:sz w:val="18"/>
                <w:szCs w:val="18"/>
                <w:color w:val="auto"/>
              </w:rPr>
            </w:pPr>
          </w:p>
        </w:tc>
        <w:tc>
          <w:tcPr>
            <w:tcW w:w="122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Current CEO</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Prior CEO</w:t>
            </w:r>
            <w:r>
              <w:rPr>
                <w:rFonts w:ascii="Times New Roman" w:cs="Times New Roman" w:eastAsia="Times New Roman" w:hAnsi="Times New Roman"/>
                <w:sz w:val="21"/>
                <w:szCs w:val="21"/>
                <w:color w:val="auto"/>
                <w:w w:val="98"/>
                <w:vertAlign w:val="superscript"/>
              </w:rPr>
              <w:t>1</w:t>
            </w:r>
          </w:p>
        </w:tc>
        <w:tc>
          <w:tcPr>
            <w:tcW w:w="124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Current CEO</w:t>
            </w:r>
            <w:r>
              <w:rPr>
                <w:rFonts w:ascii="Times New Roman" w:cs="Times New Roman" w:eastAsia="Times New Roman" w:hAnsi="Times New Roman"/>
                <w:sz w:val="21"/>
                <w:szCs w:val="21"/>
                <w:color w:val="auto"/>
                <w:vertAlign w:val="superscript"/>
              </w:rPr>
              <w:t>1</w:t>
            </w:r>
          </w:p>
        </w:tc>
        <w:tc>
          <w:tcPr>
            <w:tcW w:w="11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Prior CEO</w:t>
            </w:r>
            <w:r>
              <w:rPr>
                <w:rFonts w:ascii="Times New Roman" w:cs="Times New Roman" w:eastAsia="Times New Roman" w:hAnsi="Times New Roman"/>
                <w:sz w:val="21"/>
                <w:szCs w:val="21"/>
                <w:color w:val="auto"/>
                <w:vertAlign w:val="superscript"/>
              </w:rPr>
              <w:t>1</w:t>
            </w:r>
          </w:p>
        </w:tc>
        <w:tc>
          <w:tcPr>
            <w:tcW w:w="122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Non-CEO NEOs</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9"/>
              </w:rPr>
              <w:t>Non-CEO NEOs</w:t>
            </w:r>
            <w:r>
              <w:rPr>
                <w:rFonts w:ascii="Times New Roman" w:cs="Times New Roman" w:eastAsia="Times New Roman" w:hAnsi="Times New Roman"/>
                <w:sz w:val="21"/>
                <w:szCs w:val="21"/>
                <w:color w:val="auto"/>
                <w:w w:val="99"/>
                <w:vertAlign w:val="superscript"/>
              </w:rPr>
              <w:t>2</w:t>
            </w:r>
          </w:p>
        </w:tc>
        <w:tc>
          <w:tcPr>
            <w:tcW w:w="6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Return</w:t>
            </w:r>
            <w:r>
              <w:rPr>
                <w:rFonts w:ascii="Times New Roman" w:cs="Times New Roman" w:eastAsia="Times New Roman" w:hAnsi="Times New Roman"/>
                <w:sz w:val="21"/>
                <w:szCs w:val="21"/>
                <w:color w:val="auto"/>
                <w:w w:val="98"/>
                <w:vertAlign w:val="superscript"/>
              </w:rPr>
              <w:t>3</w:t>
            </w:r>
          </w:p>
        </w:tc>
        <w:tc>
          <w:tcPr>
            <w:tcW w:w="94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4"/>
              </w:rPr>
              <w:t>Return</w:t>
            </w:r>
            <w:r>
              <w:rPr>
                <w:rFonts w:ascii="Times New Roman" w:cs="Times New Roman" w:eastAsia="Times New Roman" w:hAnsi="Times New Roman"/>
                <w:sz w:val="21"/>
                <w:szCs w:val="21"/>
                <w:color w:val="auto"/>
                <w:w w:val="94"/>
                <w:vertAlign w:val="superscript"/>
              </w:rPr>
              <w:t>3,4</w:t>
            </w:r>
          </w:p>
        </w:tc>
        <w:tc>
          <w:tcPr>
            <w:tcW w:w="96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9"/>
              </w:rPr>
              <w:t>Millions)</w:t>
            </w:r>
            <w:r>
              <w:rPr>
                <w:rFonts w:ascii="Times New Roman" w:cs="Times New Roman" w:eastAsia="Times New Roman" w:hAnsi="Times New Roman"/>
                <w:sz w:val="21"/>
                <w:szCs w:val="21"/>
                <w:color w:val="auto"/>
                <w:w w:val="99"/>
                <w:vertAlign w:val="superscript"/>
              </w:rPr>
              <w:t>5</w:t>
            </w:r>
          </w:p>
        </w:tc>
        <w:tc>
          <w:tcPr>
            <w:tcW w:w="8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Return</w:t>
            </w:r>
            <w:r>
              <w:rPr>
                <w:rFonts w:ascii="Times New Roman" w:cs="Times New Roman" w:eastAsia="Times New Roman" w:hAnsi="Times New Roman"/>
                <w:sz w:val="21"/>
                <w:szCs w:val="21"/>
                <w:color w:val="auto"/>
                <w:w w:val="98"/>
                <w:vertAlign w:val="superscript"/>
              </w:rPr>
              <w:t>6</w:t>
            </w:r>
          </w:p>
        </w:tc>
        <w:tc>
          <w:tcPr>
            <w:tcW w:w="0" w:type="dxa"/>
            <w:vAlign w:val="bottom"/>
          </w:tcPr>
          <w:p>
            <w:pPr>
              <w:spacing w:after="0"/>
              <w:rPr>
                <w:sz w:val="1"/>
                <w:szCs w:val="1"/>
                <w:color w:val="auto"/>
              </w:rPr>
            </w:pPr>
          </w:p>
        </w:tc>
      </w:tr>
      <w:tr>
        <w:trPr>
          <w:trHeight w:val="204"/>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$13,098,200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$15,493,368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$5,840,085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$6,808,308</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$97.05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$79.80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$863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0" w:type="dxa"/>
            <w:vAlign w:val="bottom"/>
          </w:tcPr>
          <w:p>
            <w:pPr>
              <w:spacing w:after="0"/>
              <w:rPr>
                <w:sz w:val="1"/>
                <w:szCs w:val="1"/>
                <w:color w:val="auto"/>
              </w:rPr>
            </w:pPr>
          </w:p>
        </w:tc>
      </w:tr>
      <w:tr>
        <w:trPr>
          <w:trHeight w:val="216"/>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$12,318,800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$13,343,838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$5,558,785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$6,145,933</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$89.13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$79.52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16"/>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$7,646,700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$3,653,990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$4,266,463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$1,425,320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$81.01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$68.94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$(1,190)</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(2.1)</w:t>
            </w:r>
          </w:p>
        </w:tc>
        <w:tc>
          <w:tcPr>
            <w:tcW w:w="0" w:type="dxa"/>
            <w:vAlign w:val="bottom"/>
          </w:tcPr>
          <w:p>
            <w:pPr>
              <w:spacing w:after="0"/>
              <w:rPr>
                <w:sz w:val="1"/>
                <w:szCs w:val="1"/>
                <w:color w:val="auto"/>
              </w:rPr>
            </w:pPr>
          </w:p>
        </w:tc>
      </w:tr>
      <w:tr>
        <w:trPr>
          <w:trHeight w:val="216"/>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$6,949,900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$11,254,900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$7,745,878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$15,106,695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$2,952,885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$3,317,861</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$103.51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$93.93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$749</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219"/>
        </w:trPr>
        <w:tc>
          <w:tcPr>
            <w:tcW w:w="520" w:type="dxa"/>
            <w:vAlign w:val="bottom"/>
            <w:tcBorders>
              <w:bottom w:val="single" w:sz="8" w:color="407CCA"/>
            </w:tcBorders>
          </w:tcPr>
          <w:p>
            <w:pPr>
              <w:ind w:left="80"/>
              <w:spacing w:after="0"/>
              <w:rPr>
                <w:sz w:val="20"/>
                <w:szCs w:val="20"/>
                <w:color w:val="auto"/>
              </w:rPr>
            </w:pPr>
            <w:r>
              <w:rPr>
                <w:rFonts w:ascii="Times New Roman" w:cs="Times New Roman" w:eastAsia="Times New Roman" w:hAnsi="Times New Roman"/>
                <w:sz w:val="16"/>
                <w:szCs w:val="16"/>
                <w:color w:val="auto"/>
              </w:rPr>
              <w:t>2020</w:t>
            </w:r>
          </w:p>
        </w:tc>
        <w:tc>
          <w:tcPr>
            <w:tcW w:w="12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$15,826,500</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$13,076,972</w:t>
            </w:r>
          </w:p>
        </w:tc>
        <w:tc>
          <w:tcPr>
            <w:tcW w:w="12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$3,623,342</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$3,153,609</w:t>
            </w:r>
          </w:p>
        </w:tc>
        <w:tc>
          <w:tcPr>
            <w:tcW w:w="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$98.36</w:t>
            </w:r>
          </w:p>
        </w:tc>
        <w:tc>
          <w:tcPr>
            <w:tcW w:w="9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$81.23</w:t>
            </w:r>
          </w:p>
        </w:tc>
        <w:tc>
          <w:tcPr>
            <w:tcW w:w="9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$(266)</w:t>
            </w:r>
          </w:p>
        </w:tc>
        <w:tc>
          <w:tcPr>
            <w:tcW w:w="8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28.8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29"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Federico (“Current CEO”) served as out CEO throughout 2022, 2023, and 2024. During 2021, each of Peter Federico and Gary Kain (“Prior CEO”) served as CEO of the Company for a six month period. Compensation totals during 2021 reflect the full-year compensation received by each of Messrs. Kain and Federico and do not reflect pro-rated payment for the period that each individual served as CEO. During 2020, our CEO was Gary Kain.</w:t>
      </w:r>
    </w:p>
    <w:p>
      <w:pPr>
        <w:jc w:val="both"/>
        <w:ind w:left="340" w:right="180" w:hanging="332"/>
        <w:spacing w:after="0" w:line="225"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and 2024, our remaining NEOs consisted of Messrs. Kain, Kuehl, Pollack, and Reid and Ms. Bell. During 2022, remaining NEOs included Messrs. Kain, Kuehl and Pollack and Ms. Bell. During 2021, our remaining NEOs consisted of Messrs. Kuehl, Pas, and Pollack and Ms. Bell. During 2020, our remaining NEOs consisted of Messrs. Federico, Kuehl, and Pollack and Ms. Bell. For more details regarding how the amounts in this column are calculated, refer to the “Adjustments to Summary Compensation Tables to Determine Compensation Actually Paid” tables immediately below.</w:t>
      </w: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Stockholder Return and Peer Group Total Stockholder Return assumes $100 invested at December 31, 2019.</w:t>
      </w:r>
    </w:p>
    <w:p>
      <w:pPr>
        <w:spacing w:after="0" w:line="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by SEC rules, the peer group referenced for purpose of the Total Stockholder Return comparison consists of the FTSE NAREIT Mortgage REITs Index.</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after-tax net income attributable to stockholders prepared in accordance with GAAP for each of the years shown.</w:t>
      </w:r>
    </w:p>
    <w:p>
      <w:pPr>
        <w:spacing w:after="0" w:line="14" w:lineRule="exact"/>
        <w:rPr>
          <w:rFonts w:ascii="Times New Roman" w:cs="Times New Roman" w:eastAsia="Times New Roman" w:hAnsi="Times New Roman"/>
          <w:sz w:val="14"/>
          <w:szCs w:val="14"/>
          <w:color w:val="auto"/>
        </w:rPr>
      </w:pPr>
    </w:p>
    <w:p>
      <w:pPr>
        <w:ind w:left="340" w:right="20" w:hanging="332"/>
        <w:spacing w:after="0" w:line="218"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designated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Relative Annual Economic Return” as its Company Selected Measure, as this is the largest financial component of our 2024 Corporate Scorecard and our most important financial measure (that is not otherwise required to be disclosed in this table) used by us to link compensation actually paid to our NEOs to Company performance. Relative Annual Economic Return compares the economic return of AGNC to that of the average of the Agency REIT Peer Group and is calculated based on percentage points. For purposes of AGNC’s Corporate Scorecard, relative annual economic return is calculated on an October 1 - September 30 year, but consistent with the requirements of Regulation S-K, it is calculated for purposes of this table on a calendar year basis. Additional details regarding the calculation of Relative Annual Economic Return and the companies included in the Agency REIT Peer Group for 2024 are included in the discussion of our 2024 Corporate Scorecard on page 30. For 2020, the peer group consisted of ANH, ARR, CMO, DX, IVR, NLY, and TWO. For 2021, the component companies were ARR, CMO, DX, IVR, NLY, and TWO, although CMO was included only through September 30, 2021 as a result of its acquisition. ANH was not included in 2021 as a result of its acquisition. For 2022, 2023 and 2024, the peer group included ARR, DX, IVR, NLY, ORC, and TWO.</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Actually Paid represents the Summary Compensation Table Totals adjusted for the following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200" w:type="dxa"/>
            <w:vAlign w:val="bottom"/>
            <w:tcBorders>
              <w:bottom w:val="single" w:sz="8" w:color="407CCA"/>
            </w:tcBorders>
          </w:tcPr>
          <w:p>
            <w:pPr>
              <w:spacing w:after="0"/>
              <w:rPr>
                <w:sz w:val="18"/>
                <w:szCs w:val="18"/>
                <w:color w:val="auto"/>
              </w:rPr>
            </w:pPr>
          </w:p>
        </w:tc>
        <w:tc>
          <w:tcPr>
            <w:tcW w:w="9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8"/>
              </w:rPr>
              <w:t>Year 2024</w:t>
            </w:r>
          </w:p>
        </w:tc>
        <w:tc>
          <w:tcPr>
            <w:tcW w:w="300" w:type="dxa"/>
            <w:vAlign w:val="bottom"/>
            <w:tcBorders>
              <w:bottom w:val="single" w:sz="8" w:color="407CCA"/>
            </w:tcBorders>
          </w:tcPr>
          <w:p>
            <w:pPr>
              <w:spacing w:after="0"/>
              <w:rPr>
                <w:sz w:val="18"/>
                <w:szCs w:val="18"/>
                <w:color w:val="auto"/>
              </w:rPr>
            </w:pPr>
          </w:p>
        </w:tc>
        <w:tc>
          <w:tcPr>
            <w:tcW w:w="920" w:type="dxa"/>
            <w:vAlign w:val="bottom"/>
            <w:tcBorders>
              <w:bottom w:val="single" w:sz="8" w:color="407CCA"/>
            </w:tcBorders>
          </w:tcPr>
          <w:p>
            <w:pPr>
              <w:spacing w:after="0"/>
              <w:rPr>
                <w:sz w:val="18"/>
                <w:szCs w:val="18"/>
                <w:color w:val="auto"/>
              </w:rPr>
            </w:pPr>
          </w:p>
        </w:tc>
        <w:tc>
          <w:tcPr>
            <w:tcW w:w="200" w:type="dxa"/>
            <w:vAlign w:val="bottom"/>
            <w:tcBorders>
              <w:bottom w:val="single" w:sz="8" w:color="407CC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20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Current CEO</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Prior CEO</w:t>
            </w:r>
          </w:p>
        </w:tc>
        <w:tc>
          <w:tcPr>
            <w:tcW w:w="1420" w:type="dxa"/>
            <w:vAlign w:val="bottom"/>
            <w:gridSpan w:val="3"/>
          </w:tcPr>
          <w:p>
            <w:pPr>
              <w:jc w:val="center"/>
              <w:ind w:left="39"/>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vMerge w:val="continue"/>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200" w:type="dxa"/>
            <w:vAlign w:val="bottom"/>
            <w:tcBorders>
              <w:bottom w:val="single" w:sz="8" w:color="407CCA"/>
            </w:tcBorders>
            <w:vMerge w:val="continue"/>
          </w:tcPr>
          <w:p>
            <w:pPr>
              <w:spacing w:after="0"/>
              <w:rPr>
                <w:sz w:val="18"/>
                <w:szCs w:val="18"/>
                <w:color w:val="auto"/>
              </w:rPr>
            </w:pPr>
          </w:p>
        </w:tc>
        <w:tc>
          <w:tcPr>
            <w:tcW w:w="980" w:type="dxa"/>
            <w:vAlign w:val="bottom"/>
            <w:tcBorders>
              <w:bottom w:val="single" w:sz="8" w:color="407CCA"/>
            </w:tcBorders>
            <w:vMerge w:val="continue"/>
          </w:tcPr>
          <w:p>
            <w:pPr>
              <w:spacing w:after="0"/>
              <w:rPr>
                <w:sz w:val="18"/>
                <w:szCs w:val="18"/>
                <w:color w:val="auto"/>
              </w:rPr>
            </w:pPr>
          </w:p>
        </w:tc>
        <w:tc>
          <w:tcPr>
            <w:tcW w:w="300" w:type="dxa"/>
            <w:vAlign w:val="bottom"/>
            <w:tcBorders>
              <w:bottom w:val="single" w:sz="8" w:color="407CCA"/>
            </w:tcBorders>
          </w:tcPr>
          <w:p>
            <w:pPr>
              <w:spacing w:after="0"/>
              <w:rPr>
                <w:sz w:val="18"/>
                <w:szCs w:val="18"/>
                <w:color w:val="auto"/>
              </w:rPr>
            </w:pPr>
          </w:p>
        </w:tc>
        <w:tc>
          <w:tcPr>
            <w:tcW w:w="9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CEO-NEOs</w:t>
            </w:r>
          </w:p>
        </w:tc>
        <w:tc>
          <w:tcPr>
            <w:tcW w:w="200" w:type="dxa"/>
            <w:vAlign w:val="bottom"/>
            <w:tcBorders>
              <w:bottom w:val="single" w:sz="8" w:color="407CC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(5,000,000)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5,431,984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2,218,426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1,978,383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800,694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(15,199)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200" w:type="dxa"/>
            <w:vAlign w:val="bottom"/>
            <w:tcBorders>
              <w:bottom w:val="single" w:sz="8" w:color="407CCA"/>
            </w:tcBorders>
            <w:vMerge w:val="continue"/>
          </w:tcPr>
          <w:p>
            <w:pPr>
              <w:spacing w:after="0"/>
              <w:rPr>
                <w:sz w:val="18"/>
                <w:szCs w:val="18"/>
                <w:color w:val="auto"/>
              </w:rPr>
            </w:pPr>
          </w:p>
        </w:tc>
        <w:tc>
          <w:tcPr>
            <w:tcW w:w="980" w:type="dxa"/>
            <w:vAlign w:val="bottom"/>
            <w:tcBorders>
              <w:bottom w:val="single" w:sz="8" w:color="407CCA"/>
            </w:tcBorders>
            <w:vMerge w:val="continue"/>
          </w:tcPr>
          <w:p>
            <w:pPr>
              <w:spacing w:after="0"/>
              <w:rPr>
                <w:sz w:val="18"/>
                <w:szCs w:val="18"/>
                <w:color w:val="auto"/>
              </w:rPr>
            </w:pPr>
          </w:p>
        </w:tc>
        <w:tc>
          <w:tcPr>
            <w:tcW w:w="30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407CCA"/>
            </w:tcBorders>
          </w:tcPr>
          <w:p>
            <w:pPr>
              <w:jc w:val="right"/>
              <w:ind w:right="100"/>
              <w:spacing w:after="0"/>
              <w:rPr>
                <w:sz w:val="20"/>
                <w:szCs w:val="20"/>
                <w:color w:val="auto"/>
              </w:rPr>
            </w:pPr>
            <w:r>
              <w:rPr>
                <w:rFonts w:ascii="Times New Roman" w:cs="Times New Roman" w:eastAsia="Times New Roman" w:hAnsi="Times New Roman"/>
                <w:sz w:val="16"/>
                <w:szCs w:val="16"/>
                <w:color w:val="auto"/>
              </w:rPr>
              <w:t>2,395,168</w:t>
            </w:r>
          </w:p>
        </w:tc>
        <w:tc>
          <w:tcPr>
            <w:tcW w:w="9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407CCA"/>
            </w:tcBorders>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968,224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4"/>
          </w:tcPr>
          <w:p>
            <w:pPr>
              <w:jc w:val="center"/>
              <w:ind w:left="2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407CCA"/>
              </w:rPr>
              <w:t>47</w:t>
            </w:r>
          </w:p>
        </w:tc>
        <w:tc>
          <w:tcPr>
            <w:tcW w:w="0" w:type="dxa"/>
            <w:vAlign w:val="bottom"/>
          </w:tcPr>
          <w:p>
            <w:pPr>
              <w:spacing w:after="0"/>
              <w:rPr>
                <w:sz w:val="1"/>
                <w:szCs w:val="1"/>
                <w:color w:val="auto"/>
              </w:rPr>
            </w:pPr>
          </w:p>
        </w:tc>
      </w:tr>
      <w:tr>
        <w:trPr>
          <w:trHeight w:val="233"/>
        </w:trPr>
        <w:tc>
          <w:tcPr>
            <w:tcW w:w="74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1151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2023</w:t>
            </w:r>
          </w:p>
        </w:tc>
        <w:tc>
          <w:tcPr>
            <w:tcW w:w="18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tcBorders>
              <w:top w:val="single" w:sz="8" w:color="407CCA"/>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0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80" w:type="dxa"/>
            <w:vAlign w:val="bottom"/>
            <w:tcBorders>
              <w:top w:val="single" w:sz="8" w:color="407CCA"/>
            </w:tcBorders>
          </w:tcPr>
          <w:p>
            <w:pPr>
              <w:spacing w:after="0"/>
              <w:rPr>
                <w:sz w:val="19"/>
                <w:szCs w:val="19"/>
                <w:color w:val="auto"/>
              </w:rPr>
            </w:pPr>
          </w:p>
        </w:tc>
        <w:tc>
          <w:tcPr>
            <w:tcW w:w="1040" w:type="dxa"/>
            <w:vAlign w:val="bottom"/>
            <w:tcBorders>
              <w:top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(2,042,000)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5,250,910</w:t>
            </w:r>
          </w:p>
        </w:tc>
        <w:tc>
          <w:tcPr>
            <w:tcW w:w="180" w:type="dxa"/>
            <w:vAlign w:val="bottom"/>
          </w:tcPr>
          <w:p>
            <w:pPr>
              <w:spacing w:after="0"/>
              <w:rPr>
                <w:sz w:val="19"/>
                <w:szCs w:val="19"/>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643,902</w:t>
            </w:r>
          </w:p>
        </w:tc>
        <w:tc>
          <w:tcPr>
            <w:tcW w:w="180" w:type="dxa"/>
            <w:vAlign w:val="bottom"/>
          </w:tcPr>
          <w:p>
            <w:pPr>
              <w:spacing w:after="0"/>
              <w:rPr>
                <w:sz w:val="20"/>
                <w:szCs w:val="20"/>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130,226</w:t>
            </w:r>
          </w:p>
        </w:tc>
        <w:tc>
          <w:tcPr>
            <w:tcW w:w="180" w:type="dxa"/>
            <w:vAlign w:val="bottom"/>
          </w:tcPr>
          <w:p>
            <w:pPr>
              <w:spacing w:after="0"/>
              <w:rPr>
                <w:sz w:val="14"/>
                <w:szCs w:val="14"/>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1,025,038</w:t>
            </w: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587,148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Borders>
              <w:bottom w:val="single" w:sz="8" w:color="407CCA"/>
            </w:tcBorders>
          </w:tcPr>
          <w:p>
            <w:pPr>
              <w:spacing w:after="0"/>
              <w:rPr>
                <w:sz w:val="24"/>
                <w:szCs w:val="24"/>
                <w:color w:val="auto"/>
              </w:rPr>
            </w:pPr>
          </w:p>
        </w:tc>
        <w:tc>
          <w:tcPr>
            <w:tcW w:w="1080" w:type="dxa"/>
            <w:vAlign w:val="bottom"/>
            <w:tcBorders>
              <w:bottom w:val="single" w:sz="8" w:color="407CCA"/>
            </w:tcBorders>
          </w:tcPr>
          <w:p>
            <w:pPr>
              <w:spacing w:after="0"/>
              <w:rPr>
                <w:sz w:val="24"/>
                <w:szCs w:val="24"/>
                <w:color w:val="auto"/>
              </w:rPr>
            </w:pPr>
          </w:p>
        </w:tc>
        <w:tc>
          <w:tcPr>
            <w:tcW w:w="180" w:type="dxa"/>
            <w:vAlign w:val="bottom"/>
            <w:tcBorders>
              <w:bottom w:val="single" w:sz="8" w:color="407CCA"/>
            </w:tcBorders>
          </w:tcPr>
          <w:p>
            <w:pPr>
              <w:spacing w:after="0"/>
              <w:rPr>
                <w:sz w:val="24"/>
                <w:szCs w:val="24"/>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2022</w:t>
            </w:r>
          </w:p>
        </w:tc>
        <w:tc>
          <w:tcPr>
            <w:tcW w:w="180" w:type="dxa"/>
            <w:vAlign w:val="bottom"/>
            <w:tcBorders>
              <w:bottom w:val="single" w:sz="8" w:color="407CCA"/>
            </w:tcBorders>
          </w:tcPr>
          <w:p>
            <w:pPr>
              <w:spacing w:after="0"/>
              <w:rPr>
                <w:sz w:val="24"/>
                <w:szCs w:val="24"/>
                <w:color w:val="auto"/>
              </w:rPr>
            </w:pPr>
          </w:p>
        </w:tc>
        <w:tc>
          <w:tcPr>
            <w:tcW w:w="1120" w:type="dxa"/>
            <w:vAlign w:val="bottom"/>
            <w:tcBorders>
              <w:bottom w:val="single" w:sz="8" w:color="407CC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tcBorders>
              <w:top w:val="single" w:sz="8" w:color="407CCA"/>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0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180" w:type="dxa"/>
            <w:vAlign w:val="bottom"/>
            <w:tcBorders>
              <w:top w:val="single" w:sz="8" w:color="407CCA"/>
            </w:tcBorders>
          </w:tcPr>
          <w:p>
            <w:pPr>
              <w:spacing w:after="0"/>
              <w:rPr>
                <w:sz w:val="19"/>
                <w:szCs w:val="19"/>
                <w:color w:val="auto"/>
              </w:rPr>
            </w:pPr>
          </w:p>
        </w:tc>
        <w:tc>
          <w:tcPr>
            <w:tcW w:w="1040" w:type="dxa"/>
            <w:vAlign w:val="bottom"/>
            <w:tcBorders>
              <w:top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(2,262,500)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2,663,407</w:t>
            </w:r>
          </w:p>
        </w:tc>
        <w:tc>
          <w:tcPr>
            <w:tcW w:w="180" w:type="dxa"/>
            <w:vAlign w:val="bottom"/>
          </w:tcPr>
          <w:p>
            <w:pPr>
              <w:spacing w:after="0"/>
              <w:rPr>
                <w:sz w:val="19"/>
                <w:szCs w:val="19"/>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(2,009,058)</w:t>
            </w:r>
          </w:p>
        </w:tc>
        <w:tc>
          <w:tcPr>
            <w:tcW w:w="180" w:type="dxa"/>
            <w:vAlign w:val="bottom"/>
          </w:tcPr>
          <w:p>
            <w:pPr>
              <w:spacing w:after="0"/>
              <w:rPr>
                <w:sz w:val="20"/>
                <w:szCs w:val="20"/>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180" w:type="dxa"/>
            <w:vAlign w:val="bottom"/>
          </w:tcPr>
          <w:p>
            <w:pPr>
              <w:spacing w:after="0"/>
              <w:rPr>
                <w:sz w:val="14"/>
                <w:szCs w:val="14"/>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(3,992,710)</w:t>
            </w: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(2,841,143)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Borders>
              <w:bottom w:val="single" w:sz="8" w:color="407CCA"/>
            </w:tcBorders>
          </w:tcPr>
          <w:p>
            <w:pPr>
              <w:spacing w:after="0"/>
              <w:rPr>
                <w:sz w:val="24"/>
                <w:szCs w:val="24"/>
                <w:color w:val="auto"/>
              </w:rPr>
            </w:pPr>
          </w:p>
        </w:tc>
        <w:tc>
          <w:tcPr>
            <w:tcW w:w="1080" w:type="dxa"/>
            <w:vAlign w:val="bottom"/>
            <w:tcBorders>
              <w:bottom w:val="single" w:sz="8" w:color="407CCA"/>
            </w:tcBorders>
          </w:tcPr>
          <w:p>
            <w:pPr>
              <w:spacing w:after="0"/>
              <w:rPr>
                <w:sz w:val="24"/>
                <w:szCs w:val="24"/>
                <w:color w:val="auto"/>
              </w:rPr>
            </w:pPr>
          </w:p>
        </w:tc>
        <w:tc>
          <w:tcPr>
            <w:tcW w:w="180" w:type="dxa"/>
            <w:vAlign w:val="bottom"/>
            <w:tcBorders>
              <w:bottom w:val="single" w:sz="8" w:color="407CCA"/>
            </w:tcBorders>
          </w:tcPr>
          <w:p>
            <w:pPr>
              <w:spacing w:after="0"/>
              <w:rPr>
                <w:sz w:val="24"/>
                <w:szCs w:val="24"/>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2021</w:t>
            </w:r>
          </w:p>
        </w:tc>
        <w:tc>
          <w:tcPr>
            <w:tcW w:w="180" w:type="dxa"/>
            <w:vAlign w:val="bottom"/>
            <w:tcBorders>
              <w:bottom w:val="single" w:sz="8" w:color="407CCA"/>
            </w:tcBorders>
          </w:tcPr>
          <w:p>
            <w:pPr>
              <w:spacing w:after="0"/>
              <w:rPr>
                <w:sz w:val="24"/>
                <w:szCs w:val="24"/>
                <w:color w:val="auto"/>
              </w:rPr>
            </w:pPr>
          </w:p>
        </w:tc>
        <w:tc>
          <w:tcPr>
            <w:tcW w:w="1120" w:type="dxa"/>
            <w:vAlign w:val="bottom"/>
            <w:tcBorders>
              <w:bottom w:val="single" w:sz="8" w:color="407CC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tcBorders>
              <w:top w:val="single" w:sz="8" w:color="407CCA"/>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0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(3,400,000)</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(6,150,000)</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(1,257,500)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3,443,197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6,228,139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3,420,757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116,933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352,899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795,978</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3,851,795</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364,976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Borders>
              <w:bottom w:val="single" w:sz="8" w:color="407CCA"/>
            </w:tcBorders>
          </w:tcPr>
          <w:p>
            <w:pPr>
              <w:spacing w:after="0"/>
              <w:rPr>
                <w:sz w:val="24"/>
                <w:szCs w:val="24"/>
                <w:color w:val="auto"/>
              </w:rPr>
            </w:pPr>
          </w:p>
        </w:tc>
        <w:tc>
          <w:tcPr>
            <w:tcW w:w="1080" w:type="dxa"/>
            <w:vAlign w:val="bottom"/>
            <w:tcBorders>
              <w:bottom w:val="single" w:sz="8" w:color="407CCA"/>
            </w:tcBorders>
          </w:tcPr>
          <w:p>
            <w:pPr>
              <w:spacing w:after="0"/>
              <w:rPr>
                <w:sz w:val="24"/>
                <w:szCs w:val="24"/>
                <w:color w:val="auto"/>
              </w:rPr>
            </w:pPr>
          </w:p>
        </w:tc>
        <w:tc>
          <w:tcPr>
            <w:tcW w:w="180" w:type="dxa"/>
            <w:vAlign w:val="bottom"/>
            <w:tcBorders>
              <w:bottom w:val="single" w:sz="8" w:color="407CCA"/>
            </w:tcBorders>
          </w:tcPr>
          <w:p>
            <w:pPr>
              <w:spacing w:after="0"/>
              <w:rPr>
                <w:sz w:val="24"/>
                <w:szCs w:val="24"/>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2020</w:t>
            </w:r>
          </w:p>
        </w:tc>
        <w:tc>
          <w:tcPr>
            <w:tcW w:w="180" w:type="dxa"/>
            <w:vAlign w:val="bottom"/>
            <w:tcBorders>
              <w:bottom w:val="single" w:sz="8" w:color="407CCA"/>
            </w:tcBorders>
          </w:tcPr>
          <w:p>
            <w:pPr>
              <w:spacing w:after="0"/>
              <w:rPr>
                <w:sz w:val="24"/>
                <w:szCs w:val="24"/>
                <w:color w:val="auto"/>
              </w:rPr>
            </w:pPr>
          </w:p>
        </w:tc>
        <w:tc>
          <w:tcPr>
            <w:tcW w:w="1120" w:type="dxa"/>
            <w:vAlign w:val="bottom"/>
            <w:tcBorders>
              <w:bottom w:val="single" w:sz="8" w:color="407CC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480" w:type="dxa"/>
            <w:vAlign w:val="bottom"/>
            <w:tcBorders>
              <w:top w:val="single" w:sz="8" w:color="407CCA"/>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Deduction for amounts reported under the Stock Awards Column in the Summary Compensation Table</w:t>
            </w:r>
          </w:p>
        </w:tc>
        <w:tc>
          <w:tcPr>
            <w:tcW w:w="140" w:type="dxa"/>
            <w:vAlign w:val="bottom"/>
            <w:tcBorders>
              <w:top w:val="single" w:sz="8" w:color="407CCA"/>
            </w:tcBorders>
          </w:tcPr>
          <w:p>
            <w:pPr>
              <w:spacing w:after="0"/>
              <w:rPr>
                <w:sz w:val="19"/>
                <w:szCs w:val="19"/>
                <w:color w:val="auto"/>
              </w:rPr>
            </w:pPr>
          </w:p>
        </w:tc>
        <w:tc>
          <w:tcPr>
            <w:tcW w:w="1080" w:type="dxa"/>
            <w:vAlign w:val="bottom"/>
            <w:tcBorders>
              <w:top w:val="single" w:sz="8" w:color="407CCA"/>
            </w:tcBorders>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(8,100,000)</w:t>
            </w:r>
          </w:p>
        </w:tc>
        <w:tc>
          <w:tcPr>
            <w:tcW w:w="18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(1,406,250)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spacing w:after="0"/>
              <w:rPr>
                <w:sz w:val="19"/>
                <w:szCs w:val="19"/>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7,117,718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spacing w:after="0"/>
              <w:rPr>
                <w:sz w:val="20"/>
                <w:szCs w:val="20"/>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tcPr>
          <w:p>
            <w:pPr>
              <w:spacing w:after="0"/>
              <w:rPr>
                <w:sz w:val="14"/>
                <w:szCs w:val="14"/>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(1,753,070)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(279,684)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(2,749,528)</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(469,733)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2"/>
        </w:trPr>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407CCA"/>
              </w:rPr>
              <w:t>48</w:t>
            </w:r>
          </w:p>
        </w:tc>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0" w:type="dxa"/>
            <w:vAlign w:val="bottom"/>
            <w:tcBorders>
              <w:bottom w:val="single" w:sz="8" w:color="9A9A9A"/>
            </w:tcBorders>
          </w:tcPr>
          <w:p>
            <w:pPr>
              <w:spacing w:after="0"/>
              <w:rPr>
                <w:sz w:val="20"/>
                <w:szCs w:val="20"/>
                <w:color w:val="auto"/>
              </w:rPr>
            </w:pPr>
          </w:p>
        </w:tc>
        <w:tc>
          <w:tcPr>
            <w:tcW w:w="71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NEOs and AGNC’s total stockholder return on a cumulative basis assuming investment of $100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60960</wp:posOffset>
            </wp:positionV>
            <wp:extent cx="5760720" cy="33686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072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NEOs and AGNC’s net income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77470</wp:posOffset>
            </wp:positionV>
            <wp:extent cx="5760720" cy="33858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0720" cy="338582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NEOs and AGNC’s economic return relative to the</w:t>
      </w:r>
    </w:p>
    <w:p>
      <w:pPr>
        <w:spacing w:after="0"/>
        <w:rPr>
          <w:sz w:val="20"/>
          <w:szCs w:val="20"/>
          <w:color w:val="auto"/>
        </w:rPr>
      </w:pPr>
      <w:r>
        <w:rPr>
          <w:rFonts w:ascii="Times New Roman" w:cs="Times New Roman" w:eastAsia="Times New Roman" w:hAnsi="Times New Roman"/>
          <w:sz w:val="18"/>
          <w:szCs w:val="18"/>
          <w:color w:val="auto"/>
        </w:rPr>
        <w:t>Agency REIT Peer Group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64770</wp:posOffset>
            </wp:positionV>
            <wp:extent cx="5760720" cy="31115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072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648"/>
        <w:spacing w:after="0" w:line="215" w:lineRule="auto"/>
        <w:rPr>
          <w:sz w:val="20"/>
          <w:szCs w:val="20"/>
          <w:color w:val="auto"/>
        </w:rPr>
      </w:pPr>
      <w:r>
        <w:rPr>
          <w:rFonts w:ascii="Times New Roman" w:cs="Times New Roman" w:eastAsia="Times New Roman" w:hAnsi="Times New Roman"/>
          <w:sz w:val="18"/>
          <w:szCs w:val="18"/>
          <w:color w:val="auto"/>
        </w:rPr>
        <w:t>The relationship between AGNC’s total stockholder return and the total stockholder return of the FTSE NAREIT Mortgage REITs Index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on a cumulative basis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52070</wp:posOffset>
            </wp:positionV>
            <wp:extent cx="5760720" cy="3317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239"/>
        <w:spacing w:after="0" w:line="24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Bloomberg suspended its publication of the Bloomberg Mortgage REIT Index, which the Company had historically used as its comparative index. Commencing with our Annual Report on Form 10-K for the year ended December 31, 2024, the Company began using the FTSE NAREIT Mortgage REITs Index.</w:t>
      </w:r>
    </w:p>
    <w:p>
      <w:pPr>
        <w:sectPr>
          <w:pgSz w:w="11900" w:h="16838" w:orient="portrait"/>
          <w:cols w:equalWidth="0" w:num="1">
            <w:col w:w="11160"/>
          </w:cols>
          <w:pgMar w:left="320" w:top="104" w:right="419" w:bottom="1440" w:gutter="0" w:footer="0" w:header="0"/>
        </w:sectPr>
      </w:pPr>
    </w:p>
    <w:p>
      <w:pPr>
        <w:spacing w:after="0" w:line="33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Since its adoption in 2016, our current compensation program has linked the compensation of our NEOs to achievement of short- and long-term</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financial and strategic goals. Our 2024 Corporate Scorecard consists 75% of financial metrics and 25% of strategic and operational objectives. A significant percentage of our NEOs’ compensation is in the form of equity awards that vest over three years, and in 2024, our CEO and our Executive Chair</w:t>
      </w:r>
    </w:p>
    <w:p>
      <w:pPr>
        <w:spacing w:after="0" w:line="1" w:lineRule="exact"/>
        <w:rPr>
          <w:sz w:val="20"/>
          <w:szCs w:val="20"/>
          <w:color w:val="auto"/>
        </w:rPr>
      </w:pPr>
    </w:p>
    <w:p>
      <w:pPr>
        <w:ind w:right="540"/>
        <w:spacing w:after="0" w:line="208" w:lineRule="auto"/>
        <w:rPr>
          <w:sz w:val="20"/>
          <w:szCs w:val="20"/>
          <w:color w:val="auto"/>
        </w:rPr>
      </w:pPr>
      <w:r>
        <w:rPr>
          <w:rFonts w:ascii="Times New Roman" w:cs="Times New Roman" w:eastAsia="Times New Roman" w:hAnsi="Times New Roman"/>
          <w:sz w:val="18"/>
          <w:szCs w:val="18"/>
          <w:color w:val="auto"/>
        </w:rPr>
        <w:t>each received 67% of their equity awards in the form of performance-based compensation. For our remaining NEOs, 50% of these awards were performance vesting. In 2024, incentive compensation served as a material element of each NEO’s compensation package and serves to further align compensation to Company performance. The most important financial performance measures utilized by the Compensation Committee to link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paid to our NEOs to AGNC’s performance for 2024 were:</w:t>
      </w:r>
    </w:p>
    <w:p>
      <w:pPr>
        <w:spacing w:after="0" w:line="5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Economic Return Relative to the Agency REIT Peer Group</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Annual Economic Return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Price-to-Tangible Book Value Ratio Relative to the Agency REIT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Compensation Pay Ratio</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determined that the 2024 total compensation of Peter Federico, our President and Chief Executive Officer, of $13,098,200 was approximately 37 times the total compensation of a median employee in 2024 of $358,750.</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identified the median employee using the annual base salary and expected bonus, as of December 31, 2024, plus any long-term incentive stock</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awards granted in 2024 for all individuals, excluding our Chief Executive Officer, who were employed by us on December 31, 2024, the last day of our payroll year (whether employed on a full-time, part-time, or seasonal basis). After identifying the median employee, we calculated annual total compensation for such employee using the same methodology we used for determining the CEO Compensation shown in the Summary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320"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INFORMATION REGARDING COMPANY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407CCA"/>
        </w:rPr>
        <w:t>INFORMATION REGARDING COMPANY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81"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7"/>
          <w:szCs w:val="17"/>
          <w:color w:val="auto"/>
        </w:rPr>
        <w:t>The following table sets forth, as of February 21, 2025 (unless otherwise indicated), the beneficial ownership of common stock of each current director, each nominee for director, each of our named executive officers, our executive officers and directors as a group, and each stockholder known to</w:t>
      </w: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management to own beneficially more than 5% of the outstanding shares of our common stock. Unless otherwise indicated, we believe that the beneficial owners set forth in the table below have sole voting and investment power. As of February 21, 2025, there were 915,463,675 shares of our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046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2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5"/>
              </w:rPr>
              <w:t>Percentage of</w:t>
            </w:r>
          </w:p>
        </w:tc>
      </w:tr>
      <w:tr>
        <w:trPr>
          <w:trHeight w:val="121"/>
        </w:trPr>
        <w:tc>
          <w:tcPr>
            <w:tcW w:w="1420" w:type="dxa"/>
            <w:vAlign w:val="bottom"/>
          </w:tcPr>
          <w:p>
            <w:pPr>
              <w:spacing w:after="0"/>
              <w:rPr>
                <w:sz w:val="10"/>
                <w:szCs w:val="10"/>
                <w:color w:val="auto"/>
              </w:rPr>
            </w:pPr>
          </w:p>
        </w:tc>
        <w:tc>
          <w:tcPr>
            <w:tcW w:w="1020" w:type="dxa"/>
            <w:vAlign w:val="bottom"/>
          </w:tcPr>
          <w:p>
            <w:pPr>
              <w:jc w:val="center"/>
              <w:ind w:left="237"/>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r>
      <w:tr>
        <w:trPr>
          <w:trHeight w:val="135"/>
        </w:trPr>
        <w:tc>
          <w:tcPr>
            <w:tcW w:w="142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Number of Shares of</w:t>
            </w:r>
          </w:p>
        </w:tc>
        <w:tc>
          <w:tcPr>
            <w:tcW w:w="102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r>
      <w:tr>
        <w:trPr>
          <w:trHeight w:val="122"/>
        </w:trPr>
        <w:tc>
          <w:tcPr>
            <w:tcW w:w="1420" w:type="dxa"/>
            <w:vAlign w:val="bottom"/>
          </w:tcPr>
          <w:p>
            <w:pPr>
              <w:jc w:val="center"/>
              <w:ind w:right="2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20" w:type="dxa"/>
            <w:vAlign w:val="bottom"/>
          </w:tcPr>
          <w:p>
            <w:pPr>
              <w:jc w:val="center"/>
              <w:ind w:left="2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Beneficially</w:t>
            </w:r>
          </w:p>
        </w:tc>
      </w:tr>
      <w:tr>
        <w:trPr>
          <w:trHeight w:val="189"/>
        </w:trPr>
        <w:tc>
          <w:tcPr>
            <w:tcW w:w="142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 xml:space="preserve">Beneficially Owned </w:t>
            </w:r>
            <w:r>
              <w:rPr>
                <w:rFonts w:ascii="Times New Roman" w:cs="Times New Roman" w:eastAsia="Times New Roman" w:hAnsi="Times New Roman"/>
                <w:sz w:val="16"/>
                <w:szCs w:val="16"/>
                <w:b w:val="1"/>
                <w:bCs w:val="1"/>
                <w:color w:val="auto"/>
                <w:w w:val="96"/>
                <w:vertAlign w:val="superscript"/>
              </w:rPr>
              <w:t>1</w:t>
            </w:r>
          </w:p>
        </w:tc>
        <w:tc>
          <w:tcPr>
            <w:tcW w:w="102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7"/>
              </w:rPr>
              <w:t>Owned</w:t>
            </w:r>
            <w:r>
              <w:rPr>
                <w:rFonts w:ascii="Times New Roman" w:cs="Times New Roman" w:eastAsia="Times New Roman" w:hAnsi="Times New Roman"/>
                <w:sz w:val="16"/>
                <w:szCs w:val="16"/>
                <w:b w:val="1"/>
                <w:bCs w:val="1"/>
                <w:color w:val="auto"/>
                <w:w w:val="97"/>
                <w:vertAlign w:val="superscript"/>
              </w:rPr>
              <w:t>2</w:t>
            </w:r>
          </w:p>
        </w:tc>
      </w:tr>
    </w:tbl>
    <w:p>
      <w:pPr>
        <w:spacing w:after="0" w:line="1" w:lineRule="exact"/>
        <w:rPr>
          <w:sz w:val="20"/>
          <w:szCs w:val="20"/>
          <w:color w:val="auto"/>
        </w:rPr>
      </w:pPr>
    </w:p>
    <w:p>
      <w:pPr>
        <w:sectPr>
          <w:pgSz w:w="11900" w:h="16838" w:orient="portrait"/>
          <w:cols w:equalWidth="0" w:num="2">
            <w:col w:w="7740" w:space="720"/>
            <w:col w:w="278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380" w:type="dxa"/>
            <w:vAlign w:val="bottom"/>
            <w:tcBorders>
              <w:top w:val="single" w:sz="8" w:color="407CCA"/>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Beneficial Owners of more than 5%:</w:t>
            </w:r>
          </w:p>
        </w:tc>
        <w:tc>
          <w:tcPr>
            <w:tcW w:w="3480" w:type="dxa"/>
            <w:vAlign w:val="bottom"/>
            <w:tcBorders>
              <w:top w:val="single" w:sz="8" w:color="407CCA"/>
            </w:tcBorders>
          </w:tcPr>
          <w:p>
            <w:pPr>
              <w:spacing w:after="0"/>
              <w:rPr>
                <w:sz w:val="18"/>
                <w:szCs w:val="18"/>
                <w:color w:val="auto"/>
              </w:rPr>
            </w:pPr>
          </w:p>
        </w:tc>
        <w:tc>
          <w:tcPr>
            <w:tcW w:w="1240" w:type="dxa"/>
            <w:vAlign w:val="bottom"/>
            <w:tcBorders>
              <w:top w:val="single" w:sz="8" w:color="407CCA"/>
            </w:tcBorders>
          </w:tcPr>
          <w:p>
            <w:pPr>
              <w:spacing w:after="0"/>
              <w:rPr>
                <w:sz w:val="18"/>
                <w:szCs w:val="18"/>
                <w:color w:val="auto"/>
              </w:rPr>
            </w:pPr>
          </w:p>
        </w:tc>
      </w:tr>
      <w:tr>
        <w:trPr>
          <w:trHeight w:val="233"/>
        </w:trPr>
        <w:tc>
          <w:tcPr>
            <w:tcW w:w="6380" w:type="dxa"/>
            <w:vAlign w:val="bottom"/>
          </w:tcPr>
          <w:p>
            <w:pPr>
              <w:ind w:left="380"/>
              <w:spacing w:after="0" w:line="233"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3</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63,366,808</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6.92%</w:t>
            </w:r>
          </w:p>
        </w:tc>
      </w:tr>
      <w:tr>
        <w:trPr>
          <w:trHeight w:val="180"/>
        </w:trPr>
        <w:tc>
          <w:tcPr>
            <w:tcW w:w="6380" w:type="dxa"/>
            <w:vAlign w:val="bottom"/>
          </w:tcPr>
          <w:p>
            <w:pPr>
              <w:ind w:left="680"/>
              <w:spacing w:after="0" w:line="181" w:lineRule="exact"/>
              <w:rPr>
                <w:sz w:val="20"/>
                <w:szCs w:val="20"/>
                <w:color w:val="auto"/>
              </w:rPr>
            </w:pPr>
            <w:r>
              <w:rPr>
                <w:rFonts w:ascii="Times New Roman" w:cs="Times New Roman" w:eastAsia="Times New Roman" w:hAnsi="Times New Roman"/>
                <w:sz w:val="18"/>
                <w:szCs w:val="18"/>
                <w:color w:val="auto"/>
              </w:rPr>
              <w:t>100 Vanguard Blvd.</w:t>
            </w:r>
          </w:p>
        </w:tc>
        <w:tc>
          <w:tcPr>
            <w:tcW w:w="3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Malvern, PA 19355</w:t>
            </w:r>
          </w:p>
        </w:tc>
        <w:tc>
          <w:tcPr>
            <w:tcW w:w="3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Directors and Named Executive Officers: </w:t>
            </w:r>
            <w:r>
              <w:rPr>
                <w:rFonts w:ascii="Times New Roman" w:cs="Times New Roman" w:eastAsia="Times New Roman" w:hAnsi="Times New Roman"/>
                <w:sz w:val="9"/>
                <w:szCs w:val="9"/>
                <w:i w:val="1"/>
                <w:iCs w:val="1"/>
                <w:color w:val="auto"/>
              </w:rPr>
              <w:t>4</w:t>
            </w:r>
          </w:p>
        </w:tc>
        <w:tc>
          <w:tcPr>
            <w:tcW w:w="3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Peter J. Federico</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930,023</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87"/>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Gary D. Kain </w:t>
            </w:r>
            <w:r>
              <w:rPr>
                <w:rFonts w:ascii="Times New Roman" w:cs="Times New Roman" w:eastAsia="Times New Roman" w:hAnsi="Times New Roman"/>
                <w:sz w:val="23"/>
                <w:szCs w:val="23"/>
                <w:color w:val="auto"/>
                <w:vertAlign w:val="superscript"/>
              </w:rPr>
              <w:t>5</w:t>
            </w:r>
          </w:p>
        </w:tc>
        <w:tc>
          <w:tcPr>
            <w:tcW w:w="34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1,745,943</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Christopher J. Kuehl</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579,304</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3"/>
        </w:trPr>
        <w:tc>
          <w:tcPr>
            <w:tcW w:w="6380" w:type="dxa"/>
            <w:vAlign w:val="bottom"/>
          </w:tcPr>
          <w:p>
            <w:pPr>
              <w:ind w:left="380"/>
              <w:spacing w:after="0" w:line="233" w:lineRule="exact"/>
              <w:rPr>
                <w:sz w:val="20"/>
                <w:szCs w:val="20"/>
                <w:color w:val="auto"/>
              </w:rPr>
            </w:pPr>
            <w:r>
              <w:rPr>
                <w:rFonts w:ascii="Times New Roman" w:cs="Times New Roman" w:eastAsia="Times New Roman" w:hAnsi="Times New Roman"/>
                <w:sz w:val="18"/>
                <w:szCs w:val="18"/>
                <w:color w:val="auto"/>
              </w:rPr>
              <w:t>Donna J. Blank</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17,218</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Bernice E. Bell</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139,897</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Morris A. Davis</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12,122</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John D. Fisk</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39,079</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Andrew A. Johnson, Jr.</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Prue B. Larocca</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92,892</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3"/>
        </w:trPr>
        <w:tc>
          <w:tcPr>
            <w:tcW w:w="6380" w:type="dxa"/>
            <w:vAlign w:val="bottom"/>
          </w:tcPr>
          <w:p>
            <w:pPr>
              <w:ind w:left="380"/>
              <w:spacing w:after="0" w:line="233" w:lineRule="exact"/>
              <w:rPr>
                <w:sz w:val="20"/>
                <w:szCs w:val="20"/>
                <w:color w:val="auto"/>
              </w:rPr>
            </w:pPr>
            <w:r>
              <w:rPr>
                <w:rFonts w:ascii="Times New Roman" w:cs="Times New Roman" w:eastAsia="Times New Roman" w:hAnsi="Times New Roman"/>
                <w:sz w:val="18"/>
                <w:szCs w:val="18"/>
                <w:color w:val="auto"/>
              </w:rPr>
              <w:t>Paul E. Mullings</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16,884</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Kenneth L. Pollack</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107,047</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Sean P. Reid</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154,389</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6380" w:type="dxa"/>
            <w:vAlign w:val="bottom"/>
            <w:tcBorders>
              <w:bottom w:val="single" w:sz="8" w:color="407CCA"/>
            </w:tcBorders>
          </w:tcPr>
          <w:p>
            <w:pPr>
              <w:ind w:left="380"/>
              <w:spacing w:after="0" w:line="237" w:lineRule="exact"/>
              <w:rPr>
                <w:sz w:val="20"/>
                <w:szCs w:val="20"/>
                <w:color w:val="auto"/>
              </w:rPr>
            </w:pPr>
            <w:r>
              <w:rPr>
                <w:rFonts w:ascii="Times New Roman" w:cs="Times New Roman" w:eastAsia="Times New Roman" w:hAnsi="Times New Roman"/>
                <w:sz w:val="18"/>
                <w:szCs w:val="18"/>
                <w:color w:val="auto"/>
              </w:rPr>
              <w:t>Frances R. Spark</w:t>
            </w:r>
            <w:r>
              <w:rPr>
                <w:rFonts w:ascii="Times New Roman" w:cs="Times New Roman" w:eastAsia="Times New Roman" w:hAnsi="Times New Roman"/>
                <w:sz w:val="23"/>
                <w:szCs w:val="23"/>
                <w:color w:val="auto"/>
                <w:vertAlign w:val="superscript"/>
              </w:rPr>
              <w:t>6</w:t>
            </w:r>
          </w:p>
        </w:tc>
        <w:tc>
          <w:tcPr>
            <w:tcW w:w="3480" w:type="dxa"/>
            <w:vAlign w:val="bottom"/>
            <w:tcBorders>
              <w:bottom w:val="single" w:sz="8" w:color="407CCA"/>
            </w:tcBorders>
          </w:tcPr>
          <w:p>
            <w:pPr>
              <w:jc w:val="center"/>
              <w:ind w:left="1730"/>
              <w:spacing w:after="0"/>
              <w:rPr>
                <w:sz w:val="20"/>
                <w:szCs w:val="20"/>
                <w:color w:val="auto"/>
              </w:rPr>
            </w:pPr>
            <w:r>
              <w:rPr>
                <w:rFonts w:ascii="Times New Roman" w:cs="Times New Roman" w:eastAsia="Times New Roman" w:hAnsi="Times New Roman"/>
                <w:sz w:val="18"/>
                <w:szCs w:val="18"/>
                <w:color w:val="auto"/>
              </w:rPr>
              <w:t>26,752</w:t>
            </w:r>
          </w:p>
        </w:tc>
        <w:tc>
          <w:tcPr>
            <w:tcW w:w="1240" w:type="dxa"/>
            <w:vAlign w:val="bottom"/>
            <w:tcBorders>
              <w:bottom w:val="single" w:sz="8" w:color="407CCA"/>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63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Executive Officers as a group (13 persons)</w:t>
            </w:r>
          </w:p>
        </w:tc>
        <w:tc>
          <w:tcPr>
            <w:tcW w:w="3480" w:type="dxa"/>
            <w:vAlign w:val="bottom"/>
            <w:tcBorders>
              <w:bottom w:val="single" w:sz="8" w:color="407CCA"/>
            </w:tcBorders>
          </w:tcPr>
          <w:p>
            <w:pPr>
              <w:jc w:val="center"/>
              <w:ind w:left="1710"/>
              <w:spacing w:after="0"/>
              <w:rPr>
                <w:sz w:val="20"/>
                <w:szCs w:val="20"/>
                <w:color w:val="auto"/>
              </w:rPr>
            </w:pPr>
            <w:r>
              <w:rPr>
                <w:rFonts w:ascii="Times New Roman" w:cs="Times New Roman" w:eastAsia="Times New Roman" w:hAnsi="Times New Roman"/>
                <w:sz w:val="18"/>
                <w:szCs w:val="18"/>
                <w:color w:val="auto"/>
                <w:w w:val="99"/>
              </w:rPr>
              <w:t>3,861,550</w:t>
            </w:r>
          </w:p>
        </w:tc>
        <w:tc>
          <w:tcPr>
            <w:tcW w:w="1240" w:type="dxa"/>
            <w:vAlign w:val="bottom"/>
            <w:tcBorders>
              <w:bottom w:val="single" w:sz="8" w:color="407CCA"/>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541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14" w:lineRule="exact"/>
        <w:rPr>
          <w:sz w:val="20"/>
          <w:szCs w:val="20"/>
          <w:color w:val="auto"/>
        </w:rPr>
      </w:pPr>
    </w:p>
    <w:p>
      <w:pPr>
        <w:ind w:left="80"/>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Less than one percent.</w:t>
      </w:r>
    </w:p>
    <w:p>
      <w:pPr>
        <w:spacing w:after="0" w:line="4" w:lineRule="exact"/>
        <w:rPr>
          <w:sz w:val="20"/>
          <w:szCs w:val="20"/>
          <w:color w:val="auto"/>
        </w:rPr>
      </w:pPr>
    </w:p>
    <w:p>
      <w:pPr>
        <w:ind w:left="340" w:hanging="251"/>
        <w:spacing w:after="0"/>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shares of our common stock. Mr. Kain also owns 10,900 shares of our 6.875% Series D Fixed-to-Floating Rate Cumulative Redeemable Preferred Stock (“Series D Preferred Stock”), representing less than one percent of the shares of Series D Preferred Stock issued and outstanding as of February 21, 2025. Holders of Series D Preferred Stock generally do not have any voting rights. Other than Mr. Kain’s ownership of Series D Preferred Stock, our Directors and executive officers do not own shares of our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or Series G Fixed-Rate-Reset Cumulative Redeemable Preferred Stock.</w:t>
      </w:r>
    </w:p>
    <w:p>
      <w:pPr>
        <w:spacing w:after="0" w:line="59" w:lineRule="exact"/>
        <w:rPr>
          <w:rFonts w:ascii="Times New Roman" w:cs="Times New Roman" w:eastAsia="Times New Roman" w:hAnsi="Times New Roman"/>
          <w:sz w:val="14"/>
          <w:szCs w:val="14"/>
          <w:color w:val="auto"/>
        </w:rPr>
      </w:pPr>
    </w:p>
    <w:p>
      <w:pPr>
        <w:ind w:left="340" w:right="60" w:hanging="251"/>
        <w:spacing w:after="0" w:line="21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percentages set forth in this column are based on 915,463,675 shares of common stock outstanding on February 21, 2025. We have assumed that beneficial holders reporting on Schedule 13G continued to own the number of shares reported in their most recent filing.</w:t>
      </w:r>
    </w:p>
    <w:p>
      <w:pPr>
        <w:jc w:val="both"/>
        <w:ind w:left="340" w:right="140" w:hanging="251"/>
        <w:spacing w:after="0" w:line="214"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13G/A filed with the SEC on February 13, 2024 by The Vanguard Group, Inc. (“Vanguard”), as an investment adviser. Vanguard reports being the beneficial owner of 63,366,808 shares and has the sole power to dispose or direct the disposition of 62,474,071 of such shares, shared power to dispose or direct the disposition of 892,737 of such shares, and shared power to vote or direct the vote of 208,818 of such shares.</w:t>
      </w:r>
    </w:p>
    <w:p>
      <w:pPr>
        <w:spacing w:after="0" w:line="1" w:lineRule="exact"/>
        <w:rPr>
          <w:rFonts w:ascii="Times New Roman" w:cs="Times New Roman" w:eastAsia="Times New Roman" w:hAnsi="Times New Roman"/>
          <w:sz w:val="14"/>
          <w:szCs w:val="14"/>
          <w:color w:val="auto"/>
        </w:rPr>
      </w:pPr>
    </w:p>
    <w:p>
      <w:pPr>
        <w:ind w:left="340" w:hanging="251"/>
        <w:spacing w:after="0" w:line="22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the executive officers and directors listed above is c/o AGNC Investment Corp., 7373 Wisconsin Ave, 22nd Floor, Bethesda, MD 20814.</w:t>
      </w:r>
    </w:p>
    <w:p>
      <w:pPr>
        <w:ind w:left="340" w:hanging="251"/>
        <w:spacing w:after="0" w:line="20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517,920 shares held in a family trust over which shares Mr. Kain has voting and dispositive power.</w:t>
      </w:r>
    </w:p>
    <w:p>
      <w:pPr>
        <w:ind w:left="340" w:right="240" w:hanging="251"/>
        <w:spacing w:after="0" w:line="233"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2016 Equity Plan, independent directors may elect to defer distribution of their equity awards for a period of up to ten years. Deferred awards are non-forfeitable following the vesting date. Please see the table on page 9 herein for a more complete breakdown of total ownership of common stock by our independent directors, including beneficially owned, unvested, and deferred shares.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407CCA"/>
        </w:rPr>
        <w:t>QUESTIONS AND ANSWERS ABOUT STOCKHOLDER COMMUNICATIONS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407CCA"/>
        </w:rPr>
        <w:t>QUESTIONS AND ANSWERS ABOUT STOCKHOLDER COMMUNICATIONS AND PROPOSALS</w:t>
      </w:r>
    </w:p>
    <w:p>
      <w:pPr>
        <w:spacing w:after="0" w:line="188"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WHO IS RESPONSIBLE FOR STOCKHOLDER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Board is of the view that management is primarily responsible for all communications on behalf of AGNC with stockholders and the public at large. Thus, in addition to our executive officers, we employ a Vice President, Investor Relations, whose primary responsibilities include investor and stockholder relations.</w:t>
      </w:r>
    </w:p>
    <w:p>
      <w:pPr>
        <w:spacing w:after="0" w:line="167"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HOW DO I COMMUNICATE WITH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Stockholders who wish to communicate with our Board or with a particular director may send a letter to our Secretary at AGNC Investment Corp., 7373 Wisconsin Avenue, 22nd Floor, Bethesda, MD 20814. Any communication should clearly specify that it is intended to be made to the entire Board or to one or more particular director(s).</w:t>
      </w:r>
    </w:p>
    <w:p>
      <w:pPr>
        <w:spacing w:after="0" w:line="171" w:lineRule="exact"/>
        <w:rPr>
          <w:sz w:val="20"/>
          <w:szCs w:val="20"/>
          <w:color w:val="auto"/>
        </w:rPr>
      </w:pPr>
    </w:p>
    <w:p>
      <w:pPr>
        <w:jc w:val="both"/>
        <w:ind w:right="220"/>
        <w:spacing w:after="0" w:line="229" w:lineRule="auto"/>
        <w:rPr>
          <w:sz w:val="20"/>
          <w:szCs w:val="20"/>
          <w:color w:val="auto"/>
        </w:rPr>
      </w:pPr>
      <w:r>
        <w:rPr>
          <w:rFonts w:ascii="Times New Roman" w:cs="Times New Roman" w:eastAsia="Times New Roman" w:hAnsi="Times New Roman"/>
          <w:sz w:val="17"/>
          <w:szCs w:val="17"/>
          <w:color w:val="auto"/>
        </w:rPr>
        <w:t>Under this process, our Secretary reviews all such correspondence and will forward to the Board a summary of all such correspondence and copies of all correspondence that, in the opinion of the Secretary, deals with the functions of the Board or committees thereof or that he otherwise determines requires their attention. Directors may at any time review a log of all correspondence received by AGNC that is addressed to members of the Board and request</w:t>
      </w:r>
    </w:p>
    <w:p>
      <w:pPr>
        <w:ind w:right="20"/>
        <w:spacing w:after="0" w:line="226" w:lineRule="auto"/>
        <w:rPr>
          <w:sz w:val="20"/>
          <w:szCs w:val="20"/>
          <w:color w:val="auto"/>
        </w:rPr>
      </w:pPr>
      <w:r>
        <w:rPr>
          <w:rFonts w:ascii="Times New Roman" w:cs="Times New Roman" w:eastAsia="Times New Roman" w:hAnsi="Times New Roman"/>
          <w:sz w:val="18"/>
          <w:szCs w:val="18"/>
          <w:color w:val="auto"/>
        </w:rPr>
        <w:t>copies of any such correspondence. Concerns relating to accounting, internal controls, or auditing matters are promptly brought to the attention of the Chair of the Audit Committee and handled in accordance with procedures approved by the Board with respect to such matters.</w:t>
      </w:r>
    </w:p>
    <w:p>
      <w:pPr>
        <w:spacing w:after="0" w:line="157" w:lineRule="exact"/>
        <w:rPr>
          <w:sz w:val="20"/>
          <w:szCs w:val="20"/>
          <w:color w:val="auto"/>
        </w:rPr>
      </w:pPr>
    </w:p>
    <w:p>
      <w:pPr>
        <w:jc w:val="both"/>
        <w:ind w:right="460"/>
        <w:spacing w:after="0" w:line="279" w:lineRule="auto"/>
        <w:rPr>
          <w:sz w:val="20"/>
          <w:szCs w:val="20"/>
          <w:color w:val="auto"/>
        </w:rPr>
      </w:pPr>
      <w:r>
        <w:rPr>
          <w:rFonts w:ascii="Times New Roman" w:cs="Times New Roman" w:eastAsia="Times New Roman" w:hAnsi="Times New Roman"/>
          <w:sz w:val="17"/>
          <w:szCs w:val="17"/>
          <w:color w:val="auto"/>
        </w:rPr>
        <w:t>A copy of such procedures for the submission and handling of complaints or concerns regarding accounting, internal accounting controls, or auditing matters is included in our Code of Ethics, which is published in the Investors section of our web site at ir.agnc.com/corporate-governance-documents</w:t>
      </w:r>
      <w:r>
        <w:rPr>
          <w:rFonts w:ascii="Times New Roman" w:cs="Times New Roman" w:eastAsia="Times New Roman" w:hAnsi="Times New Roman"/>
          <w:sz w:val="17"/>
          <w:szCs w:val="17"/>
          <w:i w:val="1"/>
          <w:iCs w:val="1"/>
          <w:color w:val="auto"/>
        </w:rPr>
        <w:t>.</w:t>
      </w:r>
    </w:p>
    <w:p>
      <w:pPr>
        <w:spacing w:after="0" w:line="122"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HOW CAN A STOCKHOLDER NOMINATE A DIRECTOR OR SUBMIT A PROPOSAL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Stockholder proposals or nominees for election to the Board must be made in accordance with the procedures set forth in our Bylaws and described in the following question, and not the procedures set forth in the preceding question.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HOW CAN A STOCKHOLDER SUBMIT A PROPOSAL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received from common stockholders in accordance with Rule 14a-8 under the Exchange Act are given careful consideration by our</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Compensation Committee and our Board. If a common stockholder intends to present a proposal at the 2026 annual meeting of stockholders pursuant to Rule 14a-8 under the Exchange Act, in order for such stockholder proposal to be included in our proxy statement and proxy card for that meeting, the stockholder proposal must be received by our Secretary at AGNC Investment Corp., 7373 Wisconsin Avenue, 22nd Floor, Bethesda, Maryland 20814, on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or before November 7, 2025, unless the date of the 2026 annual meeting of stockholders has been changed by more than 30 days from April 17, 2026, in which event the deadline is a reasonable time before we begin to print and send our proxy materials.</w:t>
      </w:r>
    </w:p>
    <w:p>
      <w:pPr>
        <w:spacing w:after="0" w:line="130"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If such proposal is in compliance with all of the requirements of Rule 14a-8 under the Exchange Act, the proposal will be included in our proxy statement and proxy card relating to such meeting. Nothing in the response to this question shall be deemed to require us to include any stockholder proposal that does not meet all the requirements for such inclusion established by the SEC in effect at that time.</w:t>
      </w:r>
    </w:p>
    <w:p>
      <w:pPr>
        <w:spacing w:after="0" w:line="17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In order for a proposal by a common stockholder submitted outside of Rule 14a-8, including any nominations for election to the Board made by common stockholders, to be considered at the 2026 annual meeting of stockholders, such proposal must be made by written notice (setting forth the information required by our current Bylaws) and received by our Secretary not less than 90 and not more than 120 days in advance of the 2026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proposals should be submitted by certified mail, return receipt requested.</w:t>
      </w:r>
    </w:p>
    <w:p>
      <w:pPr>
        <w:spacing w:after="0" w:line="181"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HOW CAN I OBTAIN A COPY OF THE COMPANY’S 2024 ANNUAL REPORT ON FORM 10-K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17"/>
          <w:szCs w:val="17"/>
          <w:color w:val="auto"/>
        </w:rPr>
        <w:t>A copy of our 2024 annual report on Form 10-K containing audited financial statements was delivered or made available with this proxy statement. Additional copies of our 2024 annual report on Form 10-K (without exhibits, unless otherwise requested) are available in print, free of charge, to</w:t>
      </w:r>
    </w:p>
    <w:p>
      <w:pPr>
        <w:ind w:right="20"/>
        <w:spacing w:after="0" w:line="218" w:lineRule="auto"/>
        <w:rPr>
          <w:sz w:val="20"/>
          <w:szCs w:val="20"/>
          <w:color w:val="auto"/>
        </w:rPr>
      </w:pPr>
      <w:r>
        <w:rPr>
          <w:rFonts w:ascii="Times New Roman" w:cs="Times New Roman" w:eastAsia="Times New Roman" w:hAnsi="Times New Roman"/>
          <w:sz w:val="18"/>
          <w:szCs w:val="18"/>
          <w:color w:val="auto"/>
        </w:rPr>
        <w:t>stockholders requesting a copy by writing to: AGNC Investment Corp., Investor Relations, 7373 Wisconsin Avenue, 22nd Floor, Bethesda, Maryland 20814, or by calling (301) 968-9300. You may review our filings with the SEC by visiting the SEC’s home page on the internet at http://www.sec.gov or by visiting the Investors section of our web site at ir.agnc.com/financial-information/sec-filings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0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QUESTIONS AND ANSWERS ABOUT THE 2025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QUESTIONS AND ANSWERS ABOUT THE 2025 ANNUAL MEETING AND VOTING</w:t>
      </w: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Our Board is furnishing this proxy statement to you to solicit proxies on its behalf to be voted at the 2025 Annual Meeting on Thursday, April 17, 2025, at 9:00 a.m., Eastern Time. This year’s Annual Meeting will be held in a virtual format only through a live audio webcast. The proxies also may be voted at any postponement or adjournment of the meeting.</w:t>
      </w:r>
    </w:p>
    <w:p>
      <w:pPr>
        <w:spacing w:after="0" w:line="6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All properly executed written proxies, and all properly completed proxies submitted by telephone or by the internet, that are timely delivered pursuant to this solicitation, will be voted at the Annual Meeting in accordance with the directions given in the proxy unless the proxy is revoked before the completion of voting at the meeting.</w:t>
      </w:r>
    </w:p>
    <w:p>
      <w:pPr>
        <w:spacing w:after="0" w:line="15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WHAT ITEMS WILL BE CONSIDERED AND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407CCA"/>
            </w:tcBorders>
            <w:gridSpan w:val="2"/>
            <w:vMerge w:val="continue"/>
          </w:tcPr>
          <w:p>
            <w:pPr>
              <w:spacing w:after="0"/>
              <w:rPr>
                <w:sz w:val="20"/>
                <w:szCs w:val="20"/>
                <w:color w:val="auto"/>
              </w:rPr>
            </w:pPr>
          </w:p>
        </w:tc>
        <w:tc>
          <w:tcPr>
            <w:tcW w:w="3880" w:type="dxa"/>
            <w:vAlign w:val="bottom"/>
            <w:tcBorders>
              <w:bottom w:val="single" w:sz="8" w:color="407CCA"/>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0" w:type="dxa"/>
            <w:vAlign w:val="bottom"/>
          </w:tcPr>
          <w:p>
            <w:pPr>
              <w:spacing w:after="0"/>
              <w:rPr>
                <w:sz w:val="1"/>
                <w:szCs w:val="1"/>
                <w:color w:val="auto"/>
              </w:rPr>
            </w:pPr>
          </w:p>
        </w:tc>
      </w:tr>
      <w:tr>
        <w:trPr>
          <w:trHeight w:val="183"/>
        </w:trPr>
        <w:tc>
          <w:tcPr>
            <w:tcW w:w="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5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Election of nine directors, each to serve a one-year term and until his or</w:t>
            </w:r>
          </w:p>
        </w:tc>
        <w:tc>
          <w:tcPr>
            <w:tcW w:w="38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 of the nominees of the Board of</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 successor is elected and qualified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193"/>
        </w:trPr>
        <w:tc>
          <w:tcPr>
            <w:tcW w:w="2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w:t>
            </w:r>
          </w:p>
        </w:tc>
        <w:tc>
          <w:tcPr>
            <w:tcW w:w="532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Approval of an amendment to our Amended and Restated Certificate of</w:t>
            </w:r>
          </w:p>
        </w:tc>
        <w:tc>
          <w:tcPr>
            <w:tcW w:w="388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proposed amendment to the Certificate of</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Incorporation to increase the total authorized number of shares of</w:t>
            </w:r>
          </w:p>
        </w:tc>
        <w:tc>
          <w:tcPr>
            <w:tcW w:w="38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Incorporation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from 1,500,000,000 to 2,250,000,000</w:t>
            </w: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resolution</w:t>
            </w:r>
          </w:p>
        </w:tc>
        <w:tc>
          <w:tcPr>
            <w:tcW w:w="0" w:type="dxa"/>
            <w:vAlign w:val="bottom"/>
          </w:tcPr>
          <w:p>
            <w:pPr>
              <w:spacing w:after="0"/>
              <w:rPr>
                <w:sz w:val="1"/>
                <w:szCs w:val="1"/>
                <w:color w:val="auto"/>
              </w:rPr>
            </w:pPr>
          </w:p>
        </w:tc>
      </w:tr>
      <w:tr>
        <w:trPr>
          <w:trHeight w:val="21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an advisory resolution on executive compensation</w:t>
            </w: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5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Ratification of the appointment of Ernst &amp; Young LLP to serve as our</w:t>
            </w:r>
          </w:p>
        </w:tc>
        <w:tc>
          <w:tcPr>
            <w:tcW w:w="3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appointment</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public accountant for the year ending December 31, 2025</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The Board does not intend to bring other matters before the Annual Meeting except items incidental to the conduct of the meeting. However, on all other matters properly brought before the meeting, or any postponement or adjournment thereof, by the Board or others, the persons named as proxies in the</w:t>
      </w:r>
    </w:p>
    <w:p>
      <w:pPr>
        <w:spacing w:after="0"/>
        <w:rPr>
          <w:sz w:val="20"/>
          <w:szCs w:val="20"/>
          <w:color w:val="auto"/>
        </w:rPr>
      </w:pPr>
      <w:r>
        <w:rPr>
          <w:rFonts w:ascii="Times New Roman" w:cs="Times New Roman" w:eastAsia="Times New Roman" w:hAnsi="Times New Roman"/>
          <w:sz w:val="18"/>
          <w:szCs w:val="18"/>
          <w:color w:val="auto"/>
        </w:rPr>
        <w:t>accompanying proxy card, or their substitutes, will vote in accordance with their discretion.</w:t>
      </w:r>
    </w:p>
    <w:p>
      <w:pPr>
        <w:spacing w:after="0" w:line="16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It is your legal designation of another person to vote the stock you own. That other person is called a proxy. If you designate someone as your proxy in a written document, that document is also called a proxy or a proxy card. Peter J. Federico and Kenneth L. Pollack have been designated as proxies by the</w:t>
      </w:r>
    </w:p>
    <w:p>
      <w:pPr>
        <w:spacing w:after="0"/>
        <w:rPr>
          <w:sz w:val="20"/>
          <w:szCs w:val="20"/>
          <w:color w:val="auto"/>
        </w:rPr>
      </w:pPr>
      <w:r>
        <w:rPr>
          <w:rFonts w:ascii="Times New Roman" w:cs="Times New Roman" w:eastAsia="Times New Roman" w:hAnsi="Times New Roman"/>
          <w:sz w:val="18"/>
          <w:szCs w:val="18"/>
          <w:color w:val="auto"/>
        </w:rPr>
        <w:t>Board for the Annual Meeting.</w:t>
      </w:r>
    </w:p>
    <w:p>
      <w:pPr>
        <w:spacing w:after="0" w:line="16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860"/>
        <w:spacing w:after="0" w:line="237" w:lineRule="auto"/>
        <w:rPr>
          <w:sz w:val="20"/>
          <w:szCs w:val="20"/>
          <w:color w:val="auto"/>
        </w:rPr>
      </w:pPr>
      <w:r>
        <w:rPr>
          <w:rFonts w:ascii="Times New Roman" w:cs="Times New Roman" w:eastAsia="Times New Roman" w:hAnsi="Times New Roman"/>
          <w:sz w:val="18"/>
          <w:szCs w:val="18"/>
          <w:color w:val="auto"/>
        </w:rPr>
        <w:t>The record date for the Annual Meeting is February 21, 2025 (the “record date”). The record date is established by the Board and only common stockholders of record at the close of business on the record date are entitled to:</w:t>
      </w:r>
    </w:p>
    <w:p>
      <w:pPr>
        <w:spacing w:after="0" w:line="64" w:lineRule="exact"/>
        <w:rPr>
          <w:sz w:val="20"/>
          <w:szCs w:val="20"/>
          <w:color w:val="auto"/>
        </w:rPr>
      </w:pPr>
    </w:p>
    <w:p>
      <w:pPr>
        <w:ind w:left="680" w:hanging="312"/>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the meeting; and</w:t>
      </w:r>
    </w:p>
    <w:p>
      <w:pPr>
        <w:spacing w:after="0" w:line="76"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at the meeting and any postponement or adjournment of the meeting.</w:t>
      </w:r>
    </w:p>
    <w:p>
      <w:pPr>
        <w:spacing w:after="0" w:line="77"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auto"/>
        </w:rPr>
        <w:t>Each common stockholder of record on the record date is entitled to one vote for each share of common stock held. On the record date, there were 915,463,675 shares of common stock outstanding.</w:t>
      </w:r>
    </w:p>
    <w:p>
      <w:pPr>
        <w:spacing w:after="0" w:line="145" w:lineRule="exact"/>
        <w:rPr>
          <w:sz w:val="20"/>
          <w:szCs w:val="20"/>
          <w:color w:val="auto"/>
        </w:rPr>
      </w:pPr>
    </w:p>
    <w:p>
      <w:pPr>
        <w:ind w:left="380" w:right="560" w:hanging="300"/>
        <w:spacing w:after="0" w:line="239" w:lineRule="auto"/>
        <w:tabs>
          <w:tab w:leader="none" w:pos="389"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STOCKHOLDER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of common stock are registered in your name on the books and records of our transfer agent, you are a common stockholder of record.</w:t>
      </w:r>
    </w:p>
    <w:p>
      <w:pPr>
        <w:spacing w:after="0" w:line="9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If your shares of common stock are held for you through an intermediary in the name of your broker, bank, or other nominee, your shares are held in street name. The answer to Question 10 below describes brokers’ discretionary voting authority and when your broker, bank, or other nominee is permitted to vote your shares of common stock without instructions from you. For shares held through a benefit or compensation plan or a broker, bank, or other</w:t>
      </w:r>
    </w:p>
    <w:p>
      <w:pPr>
        <w:ind w:right="40"/>
        <w:spacing w:after="0" w:line="226" w:lineRule="auto"/>
        <w:rPr>
          <w:sz w:val="20"/>
          <w:szCs w:val="20"/>
          <w:color w:val="auto"/>
        </w:rPr>
      </w:pPr>
      <w:r>
        <w:rPr>
          <w:rFonts w:ascii="Times New Roman" w:cs="Times New Roman" w:eastAsia="Times New Roman" w:hAnsi="Times New Roman"/>
          <w:sz w:val="18"/>
          <w:szCs w:val="18"/>
          <w:color w:val="auto"/>
        </w:rPr>
        <w:t>nominee, you may vote by submitting voting instructions to your plan trustee, broker, bank, or nominee. If you attend the virtual Annual Meeting, you may withdraw your proxy and vote online during the meeting consistent with the voting instructions provided in Question 14.</w:t>
      </w:r>
    </w:p>
    <w:p>
      <w:pPr>
        <w:spacing w:after="0" w:line="47" w:lineRule="exact"/>
        <w:rPr>
          <w:sz w:val="20"/>
          <w:szCs w:val="20"/>
          <w:color w:val="auto"/>
        </w:rPr>
      </w:pPr>
    </w:p>
    <w:p>
      <w:pPr>
        <w:ind w:right="620"/>
        <w:spacing w:after="0" w:line="253" w:lineRule="auto"/>
        <w:rPr>
          <w:sz w:val="20"/>
          <w:szCs w:val="20"/>
          <w:color w:val="auto"/>
        </w:rPr>
      </w:pPr>
      <w:r>
        <w:rPr>
          <w:rFonts w:ascii="Times New Roman" w:cs="Times New Roman" w:eastAsia="Times New Roman" w:hAnsi="Times New Roman"/>
          <w:sz w:val="18"/>
          <w:szCs w:val="18"/>
          <w:i w:val="1"/>
          <w:iCs w:val="1"/>
          <w:color w:val="auto"/>
        </w:rPr>
        <w:t>It is important that you vote your shares of common stock if you are a stockholder of record and, if you hold shares in street name, that you provide appropriate voting instructions to your broker, bank, or other nominee as discussed in the answer to Question 10 below.</w:t>
      </w:r>
    </w:p>
    <w:p>
      <w:pPr>
        <w:spacing w:after="0" w:line="302"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QUESTIONS AND ANSWERS ABOUT THE 2025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WHAT ARE THE DIFFERENT METHODS THAT I CAN USE TO VOTE MY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submit your proxy or vote your shares of our common stock by any of the following methods:</w:t>
      </w:r>
    </w:p>
    <w:p>
      <w:pPr>
        <w:spacing w:after="0" w:line="73"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7"/>
          <w:szCs w:val="17"/>
          <w:b w:val="1"/>
          <w:bCs w:val="1"/>
          <w:color w:val="auto"/>
        </w:rPr>
        <w:t>By Telephone or the Internet—</w:t>
      </w:r>
      <w:r>
        <w:rPr>
          <w:rFonts w:ascii="Times New Roman" w:cs="Times New Roman" w:eastAsia="Times New Roman" w:hAnsi="Times New Roman"/>
          <w:sz w:val="17"/>
          <w:szCs w:val="17"/>
          <w:color w:val="auto"/>
        </w:rPr>
        <w:t>Common stockholders can vote their shares via telephone or the internet as instructed in the proxy card or the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 form. The telephone and internet procedures are designed to authenticate a stockholder’s identity, to allow common stockholders to vote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to confirm that their instructions have been properly recorded.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A common stockholder who receives a paper proxy card or voting instruction form or requests a paper proxy card or voting instruction form by</w:t>
      </w:r>
    </w:p>
    <w:p>
      <w:pPr>
        <w:spacing w:after="0" w:line="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telephone or internet may elect to vote by mail and should complete, sign, and date the proxy card or voting instruction form and mail it in the pre-addressed envelope that accompanies the delivery of the proxy card or voting instruction form. For common stockholders of record, proxy cards submitted by mail must be received by the date and time of the Annual Meeting. For common stockholders who hold their shares through an intermediary, such as a</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broker, bank, or other nominee, the voting instruction form submitted by mail must be mailed by the deadline imposed by your broker, bank, or other nominee for your shares to be voted.</w:t>
      </w:r>
    </w:p>
    <w:p>
      <w:pPr>
        <w:spacing w:after="0" w:line="45"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b w:val="1"/>
          <w:bCs w:val="1"/>
          <w:color w:val="auto"/>
        </w:rPr>
        <w:t>Online during the Meeting—</w:t>
      </w:r>
      <w:r>
        <w:rPr>
          <w:rFonts w:ascii="Times New Roman" w:cs="Times New Roman" w:eastAsia="Times New Roman" w:hAnsi="Times New Roman"/>
          <w:sz w:val="18"/>
          <w:szCs w:val="18"/>
          <w:color w:val="auto"/>
        </w:rPr>
        <w:t>Shares of common stock may be voted online during the Annual Meeting consistent with the instructions detailed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14.</w:t>
      </w:r>
    </w:p>
    <w:p>
      <w:pPr>
        <w:spacing w:after="0" w:line="14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 representative of Computershare Investor Services, our transfer agent, will serve as the inspector of election and will receive and tabulate the proxies and certify the results.</w:t>
      </w:r>
    </w:p>
    <w:p>
      <w:pPr>
        <w:spacing w:after="0" w:line="15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WHAT IF A STOCKHOLDER DOES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specify their voting choice for each matter on the accompanying proxy. If no specification is made, such shares will be voted “FOR”</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the election of the nine director nominees, “FOR” the increase in the number of authorized shares of common stock,“FOR” the advisory resolution on executive compensation, and “FOR” the ratification of the appointment of Ernst &amp; Young LLP as our independent public accountant for the year ending December 31, 2025.</w:t>
      </w:r>
    </w:p>
    <w:p>
      <w:pPr>
        <w:spacing w:after="0" w:line="168"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 means that you have multiple accounts with brokers and/or our transfer agent. </w:t>
      </w:r>
      <w:r>
        <w:rPr>
          <w:rFonts w:ascii="Times New Roman" w:cs="Times New Roman" w:eastAsia="Times New Roman" w:hAnsi="Times New Roman"/>
          <w:sz w:val="18"/>
          <w:szCs w:val="18"/>
          <w:i w:val="1"/>
          <w:iCs w:val="1"/>
          <w:color w:val="auto"/>
        </w:rPr>
        <w:t>Please vote all of these shares.</w:t>
      </w:r>
    </w:p>
    <w:p>
      <w:pPr>
        <w:spacing w:after="0" w:line="7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We recommend that you contact your broker and/or our transfer agent to consolidate as many accounts as possible under the same name and address. Our transfer agent is Computershare Investor Services. Computershare’s address is P.O. Box 43006; Providence, RI 02940-3006; you can reach Computershare</w:t>
      </w:r>
    </w:p>
    <w:p>
      <w:pPr>
        <w:ind w:right="240"/>
        <w:spacing w:after="0" w:line="226" w:lineRule="auto"/>
        <w:rPr>
          <w:sz w:val="20"/>
          <w:szCs w:val="20"/>
          <w:color w:val="auto"/>
        </w:rPr>
      </w:pPr>
      <w:r>
        <w:rPr>
          <w:rFonts w:ascii="Times New Roman" w:cs="Times New Roman" w:eastAsia="Times New Roman" w:hAnsi="Times New Roman"/>
          <w:sz w:val="18"/>
          <w:szCs w:val="18"/>
          <w:color w:val="auto"/>
        </w:rPr>
        <w:t>at 1-800-733-5001 (from within the United States or Canada) or 781-575-3400 (from outside the United States or Canada) or via their Investor Centre™ portal at www.computershare.com/investor.</w:t>
      </w:r>
    </w:p>
    <w:p>
      <w:pPr>
        <w:spacing w:after="0" w:line="153" w:lineRule="exact"/>
        <w:rPr>
          <w:sz w:val="20"/>
          <w:szCs w:val="20"/>
          <w:color w:val="auto"/>
        </w:rPr>
      </w:pPr>
    </w:p>
    <w:p>
      <w:pPr>
        <w:ind w:left="480" w:hanging="400"/>
        <w:spacing w:after="0"/>
        <w:tabs>
          <w:tab w:leader="none" w:pos="4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If you are a stockholder of record (see Question 5 above), your shares of common stock will not be voted if you do not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your proxy unless you vote online during the Annual Meeting. </w:t>
      </w:r>
      <w:r>
        <w:rPr>
          <w:rFonts w:ascii="Times New Roman" w:cs="Times New Roman" w:eastAsia="Times New Roman" w:hAnsi="Times New Roman"/>
          <w:sz w:val="18"/>
          <w:szCs w:val="18"/>
          <w:i w:val="1"/>
          <w:iCs w:val="1"/>
          <w:color w:val="auto"/>
        </w:rPr>
        <w:t>It is important that you vote your shares.</w:t>
      </w:r>
    </w:p>
    <w:p>
      <w:pPr>
        <w:spacing w:after="0" w:line="33"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7"/>
          <w:szCs w:val="17"/>
          <w:b w:val="1"/>
          <w:bCs w:val="1"/>
          <w:color w:val="auto"/>
        </w:rPr>
        <w:t>Street Name Holders—</w:t>
      </w:r>
      <w:r>
        <w:rPr>
          <w:rFonts w:ascii="Times New Roman" w:cs="Times New Roman" w:eastAsia="Times New Roman" w:hAnsi="Times New Roman"/>
          <w:sz w:val="17"/>
          <w:szCs w:val="17"/>
          <w:color w:val="auto"/>
        </w:rPr>
        <w:t>If your shares of common stock are held in street name (see Question 5 above) and you do not provide your signed and 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voting instruction form to your broker, bank, or other nominee, your shares may be voted by your broker, bank, or other nominee but </w:t>
      </w:r>
      <w:r>
        <w:rPr>
          <w:rFonts w:ascii="Times New Roman" w:cs="Times New Roman" w:eastAsia="Times New Roman" w:hAnsi="Times New Roman"/>
          <w:sz w:val="17"/>
          <w:szCs w:val="17"/>
          <w:i w:val="1"/>
          <w:iCs w:val="1"/>
          <w:color w:val="auto"/>
        </w:rPr>
        <w:t>only</w:t>
      </w:r>
      <w:r>
        <w:rPr>
          <w:rFonts w:ascii="Times New Roman" w:cs="Times New Roman" w:eastAsia="Times New Roman" w:hAnsi="Times New Roman"/>
          <w:sz w:val="17"/>
          <w:szCs w:val="17"/>
          <w:color w:val="auto"/>
        </w:rPr>
        <w:t xml:space="preserve"> under certain</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circumstances. Specifically, under applicable rules, shares held in the name of your broker, bank, or other nominee may be voted by your broker, bank, or other nominee on certain “routine” matters if you do not provide voting instructions.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proposals to be voted on at the Annual Meeting that are considered a “routine” matter for which brokers, banks, or other nominees may vote</w:t>
      </w:r>
    </w:p>
    <w:p>
      <w:pPr>
        <w:spacing w:after="0" w:line="2" w:lineRule="exact"/>
        <w:rPr>
          <w:sz w:val="20"/>
          <w:szCs w:val="20"/>
          <w:color w:val="auto"/>
        </w:rPr>
      </w:pPr>
    </w:p>
    <w:p>
      <w:pPr>
        <w:jc w:val="both"/>
        <w:ind w:right="120"/>
        <w:spacing w:after="0" w:line="220" w:lineRule="auto"/>
        <w:rPr>
          <w:sz w:val="20"/>
          <w:szCs w:val="20"/>
          <w:color w:val="auto"/>
        </w:rPr>
      </w:pPr>
      <w:r>
        <w:rPr>
          <w:rFonts w:ascii="Times New Roman" w:cs="Times New Roman" w:eastAsia="Times New Roman" w:hAnsi="Times New Roman"/>
          <w:sz w:val="17"/>
          <w:szCs w:val="17"/>
          <w:color w:val="auto"/>
        </w:rPr>
        <w:t xml:space="preserve">uninstructed shares is the approval of the amendment to our Certificate of Incorporation to increase the authorized number of shares of common stock and the ratification of the appointment of Ernst &amp; Young LLP as the Company’s independent public accountant. The other proposals (specifically, the election of director nominees and the approval of the advisory resolution on executive compensation) are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considered “routine” under applicable rules, so the</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 xml:space="preserve">broker, bank, or other nominee cannot vote your shares on these proposals unless you provide to the broker, bank, or other nominee voting instructions for these matters. If you do not provide voting instructions on a non-routine matter, your shares of common stock will not be voted on the matter, which is referred to as a “broker non-vote.” </w:t>
      </w:r>
      <w:r>
        <w:rPr>
          <w:rFonts w:ascii="Times New Roman" w:cs="Times New Roman" w:eastAsia="Times New Roman" w:hAnsi="Times New Roman"/>
          <w:sz w:val="18"/>
          <w:szCs w:val="18"/>
          <w:i w:val="1"/>
          <w:iCs w:val="1"/>
          <w:color w:val="auto"/>
        </w:rPr>
        <w:t>It is, therefore, important that you vote your shares.</w:t>
      </w:r>
    </w:p>
    <w:p>
      <w:pPr>
        <w:spacing w:after="0" w:line="168" w:lineRule="exact"/>
        <w:rPr>
          <w:sz w:val="20"/>
          <w:szCs w:val="20"/>
          <w:color w:val="auto"/>
        </w:rPr>
      </w:pPr>
    </w:p>
    <w:p>
      <w:pPr>
        <w:ind w:left="80"/>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ARE ABSTENTIONS AND BROKER NON-VOTES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not be counted as votes cast and will not affect the outcome of the votes at the Annual Meeting. See Question 10 above for more information about broker non-votes.</w:t>
      </w:r>
    </w:p>
    <w:p>
      <w:pPr>
        <w:spacing w:after="0" w:line="327"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QUESTIONS AND ANSWERS ABOUT THE 2025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HOW CAN I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7"/>
          <w:szCs w:val="17"/>
          <w:color w:val="auto"/>
        </w:rPr>
        <w:t>The enclosed proxy is solicited on behalf of the Board and is revocable at any time prior to the voting of the proxy, by the filing of an instrument revoking it, or a duly executed proxy bearing a later date, with our Secretary, addressed to our principal executive offices at 7373 Wisconsin Avenue, 22nd Floor, Bethesda, Maryland 20814. In the event that you attend the Annual Meeting, you may revoke your proxy and cast your vote personally online during the</w:t>
      </w:r>
    </w:p>
    <w:p>
      <w:pPr>
        <w:spacing w:after="0"/>
        <w:rPr>
          <w:sz w:val="20"/>
          <w:szCs w:val="20"/>
          <w:color w:val="auto"/>
        </w:rPr>
      </w:pPr>
      <w:r>
        <w:rPr>
          <w:rFonts w:ascii="Times New Roman" w:cs="Times New Roman" w:eastAsia="Times New Roman" w:hAnsi="Times New Roman"/>
          <w:sz w:val="18"/>
          <w:szCs w:val="18"/>
          <w:color w:val="auto"/>
        </w:rPr>
        <w:t>meeting consistent with the procedures detailed in Question 14.</w:t>
      </w:r>
    </w:p>
    <w:p>
      <w:pPr>
        <w:spacing w:after="0" w:line="161" w:lineRule="exact"/>
        <w:rPr>
          <w:sz w:val="20"/>
          <w:szCs w:val="20"/>
          <w:color w:val="auto"/>
        </w:rPr>
      </w:pPr>
    </w:p>
    <w:p>
      <w:pPr>
        <w:ind w:left="480" w:hanging="400"/>
        <w:spacing w:after="0"/>
        <w:tabs>
          <w:tab w:leader="none" w:pos="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PAY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We will bear the cost of soliciting proxies on the accompanying form. In addition to the use of mail, our officers and employees may solicit proxies by telephone or email. Upon request, we will reimburse brokers, dealers, banks and trustees, or their nominees, for reasonable expenses incurred by them in forwarding our proxy materials to beneficial owners of our common stock. The Company has also retained D.F. King &amp; Co., Inc. to assist in the solicitation</w:t>
      </w:r>
    </w:p>
    <w:p>
      <w:pPr>
        <w:ind w:right="100"/>
        <w:spacing w:after="0" w:line="218" w:lineRule="auto"/>
        <w:rPr>
          <w:sz w:val="20"/>
          <w:szCs w:val="20"/>
          <w:color w:val="auto"/>
        </w:rPr>
      </w:pPr>
      <w:r>
        <w:rPr>
          <w:rFonts w:ascii="Times New Roman" w:cs="Times New Roman" w:eastAsia="Times New Roman" w:hAnsi="Times New Roman"/>
          <w:sz w:val="18"/>
          <w:szCs w:val="18"/>
          <w:color w:val="auto"/>
        </w:rPr>
        <w:t>of proxies in connection with the Annual Meeting and will pay D.F. King a fee of $10,000 for its services. In addition, the Company may pay D.F. King additional fees depending on the extent of additional services requested by the Company and will reimburse D.F. King for expenses incurred in connection with its engagement by the Company.</w:t>
      </w:r>
    </w:p>
    <w:p>
      <w:pPr>
        <w:spacing w:after="0" w:line="168" w:lineRule="exact"/>
        <w:rPr>
          <w:sz w:val="20"/>
          <w:szCs w:val="20"/>
          <w:color w:val="auto"/>
        </w:rPr>
      </w:pPr>
    </w:p>
    <w:p>
      <w:pPr>
        <w:ind w:left="480" w:hanging="400"/>
        <w:spacing w:after="0"/>
        <w:tabs>
          <w:tab w:leader="none" w:pos="4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OBTAIN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Only stockholders of record of our common stock as of the close of business on February 21, 2025 are entitled to vote and submit questions during the meeting. If your shares are held in a bank or brokerage account, you are considered the “beneficial owner” of those shares. As outlined below, the procedures required to participate in the 2025 Annual Meeting vary depending on whether you are a stockholder of record or a beneficial owner.</w:t>
      </w:r>
    </w:p>
    <w:p>
      <w:pPr>
        <w:spacing w:after="0" w:line="194"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Stockholders of Record: </w:t>
      </w:r>
      <w:r>
        <w:rPr>
          <w:rFonts w:ascii="Times New Roman" w:cs="Times New Roman" w:eastAsia="Times New Roman" w:hAnsi="Times New Roman"/>
          <w:sz w:val="17"/>
          <w:szCs w:val="17"/>
          <w:color w:val="auto"/>
        </w:rPr>
        <w:t>Visit https://meetnow.global/AGNC2025 on the day of the meeting and log in by entering your 15-digit control number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appears on your notice, proxy card, or the instructions that accompanied your proxy materials. Options for voting and submitting questions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after logging in with your control number. No advance registration is necessary.</w:t>
      </w:r>
    </w:p>
    <w:p>
      <w:pPr>
        <w:spacing w:after="0" w:line="18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To attend the meeting, vote on proposals at the meeting, or submit questions during the meeting, we recommend that beneficial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for the meeting in advance using one of two options: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Advance Registration (recommended)</w:t>
      </w:r>
    </w:p>
    <w:p>
      <w:pPr>
        <w:sectPr>
          <w:pgSz w:w="11900" w:h="16838" w:orient="portrait"/>
          <w:cols w:equalWidth="0" w:num="1">
            <w:col w:w="11240"/>
          </w:cols>
          <w:pgMar w:left="320" w:top="104" w:right="339" w:bottom="1440" w:gutter="0" w:footer="0" w:header="0"/>
        </w:sectPr>
      </w:pPr>
    </w:p>
    <w:p>
      <w:pPr>
        <w:spacing w:after="0" w:line="31" w:lineRule="exact"/>
        <w:rPr>
          <w:sz w:val="20"/>
          <w:szCs w:val="20"/>
          <w:color w:val="auto"/>
        </w:rPr>
      </w:pPr>
    </w:p>
    <w:p>
      <w:pPr>
        <w:ind w:left="680"/>
        <w:spacing w:after="0" w:line="234" w:lineRule="auto"/>
        <w:rPr>
          <w:sz w:val="20"/>
          <w:szCs w:val="20"/>
          <w:color w:val="auto"/>
        </w:rPr>
      </w:pPr>
      <w:r>
        <w:rPr>
          <w:rFonts w:ascii="Times New Roman" w:cs="Times New Roman" w:eastAsia="Times New Roman" w:hAnsi="Times New Roman"/>
          <w:sz w:val="18"/>
          <w:szCs w:val="18"/>
          <w:color w:val="auto"/>
        </w:rPr>
        <w:t>By email: Forward the email from your broker granting you a legal proxy, or attach an image of your legal proxy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By mail:</w:t>
      </w: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6" w:lineRule="exact"/>
        <w:rPr>
          <w:sz w:val="20"/>
          <w:szCs w:val="20"/>
          <w:color w:val="auto"/>
        </w:rPr>
      </w:pPr>
    </w:p>
    <w:p>
      <w:pPr>
        <w:sectPr>
          <w:pgSz w:w="11900" w:h="16838" w:orient="portrait"/>
          <w:cols w:equalWidth="0" w:num="2">
            <w:col w:w="5120" w:space="180"/>
            <w:col w:w="5940"/>
          </w:cols>
          <w:pgMar w:left="320" w:top="104" w:right="339" w:bottom="1440" w:gutter="0" w:footer="0" w:header="0"/>
          <w:type w:val="continuous"/>
        </w:sectPr>
      </w:pPr>
    </w:p>
    <w:p>
      <w:pPr>
        <w:ind w:left="680"/>
        <w:spacing w:after="0" w:line="233" w:lineRule="auto"/>
        <w:rPr>
          <w:sz w:val="20"/>
          <w:szCs w:val="20"/>
          <w:color w:val="auto"/>
        </w:rPr>
      </w:pPr>
      <w:r>
        <w:rPr>
          <w:rFonts w:ascii="Times New Roman" w:cs="Times New Roman" w:eastAsia="Times New Roman" w:hAnsi="Times New Roman"/>
          <w:sz w:val="17"/>
          <w:szCs w:val="17"/>
          <w:color w:val="auto"/>
        </w:rPr>
        <w:t>legalproxy@computershare.com</w:t>
      </w:r>
    </w:p>
    <w:p>
      <w:pPr>
        <w:spacing w:after="0" w:line="20" w:lineRule="exact"/>
        <w:rPr>
          <w:sz w:val="20"/>
          <w:szCs w:val="20"/>
          <w:color w:val="auto"/>
        </w:rPr>
      </w:pPr>
      <w:r>
        <w:rPr>
          <w:sz w:val="20"/>
          <w:szCs w:val="20"/>
          <w:color w:val="auto"/>
        </w:rPr>
        <w:br w:type="column"/>
      </w:r>
    </w:p>
    <w:p>
      <w:pPr>
        <w:spacing w:after="0" w:line="186" w:lineRule="auto"/>
        <w:rPr>
          <w:sz w:val="20"/>
          <w:szCs w:val="20"/>
          <w:color w:val="auto"/>
        </w:rPr>
      </w:pPr>
      <w:r>
        <w:rPr>
          <w:rFonts w:ascii="Times New Roman" w:cs="Times New Roman" w:eastAsia="Times New Roman" w:hAnsi="Times New Roman"/>
          <w:sz w:val="17"/>
          <w:szCs w:val="17"/>
          <w:color w:val="auto"/>
        </w:rPr>
        <w:t>AGNC Investment Corp Legal Proxy</w:t>
      </w:r>
    </w:p>
    <w:p>
      <w:pPr>
        <w:spacing w:after="0" w:line="203" w:lineRule="auto"/>
        <w:rPr>
          <w:sz w:val="20"/>
          <w:szCs w:val="20"/>
          <w:color w:val="auto"/>
        </w:rPr>
      </w:pPr>
      <w:r>
        <w:rPr>
          <w:rFonts w:ascii="Times New Roman" w:cs="Times New Roman" w:eastAsia="Times New Roman" w:hAnsi="Times New Roman"/>
          <w:sz w:val="18"/>
          <w:szCs w:val="18"/>
          <w:color w:val="auto"/>
        </w:rPr>
        <w:t>P.O. Box 43001</w:t>
      </w:r>
    </w:p>
    <w:p>
      <w:pPr>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107" w:lineRule="exact"/>
        <w:rPr>
          <w:sz w:val="20"/>
          <w:szCs w:val="20"/>
          <w:color w:val="auto"/>
        </w:rPr>
      </w:pPr>
    </w:p>
    <w:p>
      <w:pPr>
        <w:sectPr>
          <w:pgSz w:w="11900" w:h="16838" w:orient="portrait"/>
          <w:cols w:equalWidth="0" w:num="2">
            <w:col w:w="4580" w:space="720"/>
            <w:col w:w="5940"/>
          </w:cols>
          <w:pgMar w:left="320" w:top="104"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b w:val="1"/>
          <w:bCs w:val="1"/>
          <w:color w:val="auto"/>
        </w:rPr>
        <w:t>Online Registration at the 2025 Annual Meeting</w:t>
      </w:r>
    </w:p>
    <w:p>
      <w:pPr>
        <w:spacing w:after="0" w:line="31" w:lineRule="exact"/>
        <w:rPr>
          <w:sz w:val="20"/>
          <w:szCs w:val="20"/>
          <w:color w:val="auto"/>
        </w:rPr>
      </w:pPr>
    </w:p>
    <w:p>
      <w:pPr>
        <w:ind w:left="680" w:right="1760"/>
        <w:spacing w:after="0" w:line="233" w:lineRule="auto"/>
        <w:rPr>
          <w:sz w:val="20"/>
          <w:szCs w:val="20"/>
          <w:color w:val="auto"/>
        </w:rPr>
      </w:pPr>
      <w:r>
        <w:rPr>
          <w:rFonts w:ascii="Times New Roman" w:cs="Times New Roman" w:eastAsia="Times New Roman" w:hAnsi="Times New Roman"/>
          <w:sz w:val="17"/>
          <w:szCs w:val="17"/>
          <w:color w:val="auto"/>
        </w:rPr>
        <w:t>We have arranged for an online registration solution that most beneficial owners can use to attend and participate in the meeting. If you choose to use this option, visit https://meetnow.global/AGNC2025 on the day of the meeting and log in by</w:t>
      </w:r>
    </w:p>
    <w:p>
      <w:pPr>
        <w:ind w:left="680" w:right="2120"/>
        <w:spacing w:after="0" w:line="226" w:lineRule="auto"/>
        <w:rPr>
          <w:sz w:val="20"/>
          <w:szCs w:val="20"/>
          <w:color w:val="auto"/>
        </w:rPr>
      </w:pPr>
      <w:r>
        <w:rPr>
          <w:rFonts w:ascii="Times New Roman" w:cs="Times New Roman" w:eastAsia="Times New Roman" w:hAnsi="Times New Roman"/>
          <w:sz w:val="18"/>
          <w:szCs w:val="18"/>
          <w:color w:val="auto"/>
        </w:rPr>
        <w:t>entering the control number that appears on your notice or voting instruction form. Options for voting and submitting questions will be available after logging in with your control number.</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expect that most beneficial owners will be able to fully participate in the meeting using the online registration solution.</w:t>
      </w:r>
    </w:p>
    <w:p>
      <w:pPr>
        <w:ind w:left="680"/>
        <w:spacing w:after="0" w:line="205" w:lineRule="auto"/>
        <w:rPr>
          <w:sz w:val="20"/>
          <w:szCs w:val="20"/>
          <w:color w:val="auto"/>
        </w:rPr>
      </w:pPr>
      <w:r>
        <w:rPr>
          <w:rFonts w:ascii="Times New Roman" w:cs="Times New Roman" w:eastAsia="Times New Roman" w:hAnsi="Times New Roman"/>
          <w:sz w:val="18"/>
          <w:szCs w:val="18"/>
          <w:color w:val="auto"/>
        </w:rPr>
        <w:t>However, there is no guarantee that online registration will be available for every type of beneficial owner control number.</w:t>
      </w:r>
    </w:p>
    <w:p>
      <w:pPr>
        <w:ind w:left="680"/>
        <w:spacing w:after="0" w:line="204" w:lineRule="auto"/>
        <w:rPr>
          <w:sz w:val="20"/>
          <w:szCs w:val="20"/>
          <w:color w:val="auto"/>
        </w:rPr>
      </w:pPr>
      <w:r>
        <w:rPr>
          <w:rFonts w:ascii="Times New Roman" w:cs="Times New Roman" w:eastAsia="Times New Roman" w:hAnsi="Times New Roman"/>
          <w:sz w:val="18"/>
          <w:szCs w:val="18"/>
          <w:color w:val="auto"/>
        </w:rPr>
        <w:t>The inability to provide this option to any or all beneficial holders shall in no way impact the validity of the Annual Meeting.</w:t>
      </w:r>
    </w:p>
    <w:p>
      <w:pPr>
        <w:ind w:left="680"/>
        <w:spacing w:after="0"/>
        <w:rPr>
          <w:sz w:val="20"/>
          <w:szCs w:val="20"/>
          <w:color w:val="auto"/>
        </w:rPr>
      </w:pPr>
      <w:r>
        <w:rPr>
          <w:rFonts w:ascii="Times New Roman" w:cs="Times New Roman" w:eastAsia="Times New Roman" w:hAnsi="Times New Roman"/>
          <w:sz w:val="18"/>
          <w:szCs w:val="18"/>
          <w:color w:val="auto"/>
        </w:rPr>
        <w:t>If you are a beneficial owner and plan to submit a question or vote during the meeting, we recommend advance registration.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go to https://meetnow.global/AGNC2025 for more information on the available options and registration instructions.</w:t>
      </w:r>
    </w:p>
    <w:p>
      <w:pPr>
        <w:spacing w:after="0" w:line="21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online meeting will begin promptly at 9 a.m., Eastern Time. We encourage you to access the meeting prior to the start time leaving ample time for the check in. Please follow the registration instructions as outlined in this proxy statement.</w:t>
      </w:r>
    </w:p>
    <w:p>
      <w:pPr>
        <w:spacing w:after="0" w:line="1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Participants will be able to access the virtual meeting site 30 minutes before the meeting begins on April 17, 2025. Stockholders experiencing technical difficulties when logging into the virtual meeting platform may access technical assistance provided by Computershare, the hosting platform for the Annual</w:t>
      </w:r>
    </w:p>
    <w:p>
      <w:pPr>
        <w:spacing w:after="0"/>
        <w:rPr>
          <w:sz w:val="20"/>
          <w:szCs w:val="20"/>
          <w:color w:val="auto"/>
        </w:rPr>
      </w:pPr>
      <w:r>
        <w:rPr>
          <w:rFonts w:ascii="Times New Roman" w:cs="Times New Roman" w:eastAsia="Times New Roman" w:hAnsi="Times New Roman"/>
          <w:sz w:val="18"/>
          <w:szCs w:val="18"/>
          <w:color w:val="auto"/>
        </w:rPr>
        <w:t>Meeting, toll-free in the United States at 1-888-724-2416 or internationally at +1-781-575-2748.</w:t>
      </w:r>
    </w:p>
    <w:p>
      <w:pPr>
        <w:spacing w:after="0" w:line="19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 xml:space="preserve">The virtual meeting platform is fully supported across most browsers (Edge, Firefox, Chrome and Safari) and devices (desktops, laptops, tablets and cell phones) running the most up-to-date version of applicable software and plugins. Please note that </w:t>
      </w:r>
      <w:r>
        <w:rPr>
          <w:rFonts w:ascii="Times New Roman" w:cs="Times New Roman" w:eastAsia="Times New Roman" w:hAnsi="Times New Roman"/>
          <w:sz w:val="18"/>
          <w:szCs w:val="18"/>
          <w:b w:val="1"/>
          <w:bCs w:val="1"/>
          <w:color w:val="auto"/>
        </w:rPr>
        <w:t>Internet Explorer is not a supported browser</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QUESTIONS AND ANSWERS ABOUT THE 2025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hanging="400"/>
        <w:spacing w:after="0"/>
        <w:tabs>
          <w:tab w:leader="none" w:pos="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STOCKHOLDERS BE ABLE TO ASK QUESTIONS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Annual Meeting will include a question and answer session and will address questions submitted in writing during the virtual meeting. We will endeavor to answer as many questions submitted by stockholders as time permits. We reserve the right to edit profanity or other inappropriate language and to exclude questions regarding topics that are not pertinent to meeting matters or Company business in accordance with our rules of conduct for the</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meeting. If we receive substantially similar questions, we may group such questions together and provide a single response to avoid repetition. Additional information regarding the rules and procedures for participating in the virtual Annual Meeting will be provided in our meeting rules of conduct, which stockholders can view during the meeting at the virtual meeting website.</w:t>
      </w:r>
    </w:p>
    <w:p>
      <w:pPr>
        <w:spacing w:after="0" w:line="154" w:lineRule="exact"/>
        <w:rPr>
          <w:sz w:val="20"/>
          <w:szCs w:val="20"/>
          <w:color w:val="auto"/>
        </w:rPr>
      </w:pPr>
    </w:p>
    <w:p>
      <w:pPr>
        <w:ind w:left="480" w:hanging="400"/>
        <w:spacing w:after="0"/>
        <w:tabs>
          <w:tab w:leader="none" w:pos="4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order for us to conduct the Annual Meeting, holders representing a majority of our outstanding shares of common stock entitled to vote as of the close of business on the record date must be present online or by proxy at the meeting. This is referred to as a quorum.</w:t>
      </w:r>
    </w:p>
    <w:p>
      <w:pPr>
        <w:spacing w:after="0" w:line="41"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Your shares are counted as present at the Annual Meeting if you attend the virtual meeting online and vote in person or if you properly return a proxy by internet, telephone, or mail.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be considered present for the purpose of determining whether a quorum is present.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OTHER MATTERS</w:t>
      </w:r>
    </w:p>
    <w:p>
      <w:pPr>
        <w:spacing w:after="0" w:line="19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The Board does not intend to bring other matters before the Annual Meeting except items incidental to the conduct of the meeting. However, on all other matters properly brought before the meeting, or any postponement or adjournment thereof, by the Board or others, the persons named as proxies in the</w:t>
      </w:r>
    </w:p>
    <w:p>
      <w:pPr>
        <w:spacing w:after="0"/>
        <w:rPr>
          <w:sz w:val="20"/>
          <w:szCs w:val="20"/>
          <w:color w:val="auto"/>
        </w:rPr>
      </w:pPr>
      <w:r>
        <w:rPr>
          <w:rFonts w:ascii="Times New Roman" w:cs="Times New Roman" w:eastAsia="Times New Roman" w:hAnsi="Times New Roman"/>
          <w:sz w:val="18"/>
          <w:szCs w:val="18"/>
          <w:color w:val="auto"/>
        </w:rPr>
        <w:t>accompanying proxy card, or their substitutes, will vote in accordance with their discretion.</w:t>
      </w:r>
    </w:p>
    <w:p>
      <w:pPr>
        <w:spacing w:after="0" w:line="200" w:lineRule="exact"/>
        <w:rPr>
          <w:sz w:val="20"/>
          <w:szCs w:val="20"/>
          <w:color w:val="auto"/>
        </w:rPr>
      </w:pPr>
    </w:p>
    <w:p>
      <w:pPr>
        <w:spacing w:after="0" w:line="377"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663575</wp:posOffset>
            </wp:positionV>
            <wp:extent cx="7157720" cy="8542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8542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6172200" cy="79806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lvl w:ilvl="1">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2"/>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4"/>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6"/>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8"/>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5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û"/>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ü"/>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lowerRoman"/>
      <w:start w:val="3"/>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5"/>
    </w:lvl>
  </w:abstractNum>
  <w:abstractNum w:abstractNumId="52">
    <w:nsid w:val="23F9C13C"/>
    <w:multiLevelType w:val="hybridMultilevel"/>
    <w:lvl w:ilvl="0">
      <w:lvlJc w:val="left"/>
      <w:lvlText w:val="%1."/>
      <w:numFmt w:val="decimal"/>
      <w:start w:val="10"/>
    </w:lvl>
  </w:abstractNum>
  <w:abstractNum w:abstractNumId="53">
    <w:nsid w:val="649BB77C"/>
    <w:multiLevelType w:val="hybridMultilevel"/>
    <w:lvl w:ilvl="0">
      <w:lvlJc w:val="left"/>
      <w:lvlText w:val="%1."/>
      <w:numFmt w:val="decimal"/>
      <w:start w:val="13"/>
    </w:lvl>
  </w:abstractNum>
  <w:abstractNum w:abstractNumId="54">
    <w:nsid w:val="275AC794"/>
    <w:multiLevelType w:val="hybridMultilevel"/>
    <w:lvl w:ilvl="0">
      <w:lvlJc w:val="left"/>
      <w:lvlText w:val="%1."/>
      <w:numFmt w:val="decimal"/>
      <w:start w:val="14"/>
    </w:lvl>
  </w:abstractNum>
  <w:abstractNum w:abstractNumId="55">
    <w:nsid w:val="39386575"/>
    <w:multiLevelType w:val="hybridMultilevel"/>
    <w:lvl w:ilvl="0">
      <w:lvlJc w:val="left"/>
      <w:lvlText w:val="%1."/>
      <w:numFmt w:val="decimal"/>
      <w:start w:val="15"/>
    </w:lvl>
  </w:abstractNum>
  <w:abstractNum w:abstractNumId="56">
    <w:nsid w:val="1CF10FD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2025-03-07T15:33:41Z</dcterms:created>
  <dcterms:modified xsi:type="dcterms:W3CDTF">2025-03-07T15:33:41Z</dcterms:modified>
</cp:coreProperties>
</file>