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-199390</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6" w:lineRule="exact"/>
        <w:rPr>
          <w:sz w:val="24"/>
          <w:szCs w:val="24"/>
          <w:color w:val="auto"/>
        </w:rPr>
      </w:pPr>
    </w:p>
    <w:p>
      <w:pPr>
        <w:ind w:left="1700" w:hanging="1429"/>
        <w:spacing w:after="0"/>
        <w:tabs>
          <w:tab w:leader="none" w:pos="170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1" w:lineRule="exact"/>
        <w:rPr>
          <w:sz w:val="24"/>
          <w:szCs w:val="24"/>
          <w:color w:val="auto"/>
        </w:rPr>
      </w:pPr>
    </w:p>
    <w:p>
      <w:pPr>
        <w:ind w:left="4500" w:right="1000" w:hanging="4229"/>
        <w:spacing w:after="0" w:line="511" w:lineRule="auto"/>
        <w:tabs>
          <w:tab w:leader="none" w:pos="1702"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Commission file number 001-34057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-41275</wp:posOffset>
            </wp:positionV>
            <wp:extent cx="224663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AGNC INVESTMENT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499" w:right="239" w:bottom="1440" w:gutter="0" w:footer="0" w:header="0"/>
        </w:sectPr>
      </w:pPr>
    </w:p>
    <w:p>
      <w:pPr>
        <w:spacing w:after="0" w:line="156"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26-1701984</w:t>
      </w:r>
    </w:p>
    <w:p>
      <w:pPr>
        <w:spacing w:after="0" w:line="86" w:lineRule="exact"/>
        <w:rPr>
          <w:sz w:val="24"/>
          <w:szCs w:val="24"/>
          <w:color w:val="auto"/>
        </w:rPr>
      </w:pPr>
    </w:p>
    <w:p>
      <w:pPr>
        <w:sectPr>
          <w:pgSz w:w="11900" w:h="16838" w:orient="portrait"/>
          <w:cols w:equalWidth="0" w:num="2">
            <w:col w:w="7680" w:space="720"/>
            <w:col w:w="3020"/>
          </w:cols>
          <w:pgMar w:left="240" w:top="499"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6" w:lineRule="exact"/>
        <w:rPr>
          <w:sz w:val="24"/>
          <w:szCs w:val="24"/>
          <w:color w:val="auto"/>
        </w:rPr>
      </w:pPr>
    </w:p>
    <w:p>
      <w:pPr>
        <w:sectPr>
          <w:pgSz w:w="11900" w:h="16838" w:orient="portrait"/>
          <w:cols w:equalWidth="0" w:num="2">
            <w:col w:w="7520" w:space="720"/>
            <w:col w:w="3180"/>
          </w:cols>
          <w:pgMar w:left="240" w:top="49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 Bethesda Metro Center, 12th Floor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Bethesda, Maryland 20814</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w:t>
      </w:r>
    </w:p>
    <w:p>
      <w:pPr>
        <w:jc w:val="center"/>
        <w:ind w:right="-19"/>
        <w:spacing w:after="0"/>
        <w:rPr>
          <w:sz w:val="20"/>
          <w:szCs w:val="20"/>
          <w:color w:val="auto"/>
        </w:rPr>
      </w:pPr>
      <w:r>
        <w:rPr>
          <w:rFonts w:ascii="Arial" w:cs="Arial" w:eastAsia="Arial" w:hAnsi="Arial"/>
          <w:sz w:val="16"/>
          <w:szCs w:val="16"/>
          <w:b w:val="1"/>
          <w:bCs w:val="1"/>
          <w:color w:val="auto"/>
        </w:rPr>
        <w:t>(301) 968-9315</w:t>
      </w: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499" w:right="239" w:bottom="1440" w:gutter="0" w:footer="0" w:header="0"/>
          <w:type w:val="continuous"/>
        </w:sectPr>
      </w:pPr>
    </w:p>
    <w:p>
      <w:pPr>
        <w:spacing w:after="0" w:line="222" w:lineRule="exact"/>
        <w:rPr>
          <w:sz w:val="24"/>
          <w:szCs w:val="24"/>
          <w:color w:val="auto"/>
        </w:rPr>
      </w:pPr>
    </w:p>
    <w:p>
      <w:pPr>
        <w:ind w:right="280" w:firstLine="324"/>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9"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9" w:lineRule="exact"/>
        <w:rPr>
          <w:sz w:val="24"/>
          <w:szCs w:val="24"/>
          <w:color w:val="auto"/>
        </w:rPr>
      </w:pPr>
    </w:p>
    <w:tbl>
      <w:tblPr>
        <w:tblLayout w:type="fixed"/>
        <w:tblInd w:w="40" w:type="dxa"/>
        <w:tblCellMar>
          <w:top w:w="0" w:type="dxa"/>
          <w:left w:w="0" w:type="dxa"/>
          <w:bottom w:w="0" w:type="dxa"/>
          <w:right w:w="0" w:type="dxa"/>
        </w:tblCellMar>
      </w:tblPr>
      <w:tr>
        <w:trPr>
          <w:trHeight w:val="168"/>
        </w:trPr>
        <w:tc>
          <w:tcPr>
            <w:tcW w:w="2160" w:type="dxa"/>
            <w:vAlign w:val="bottom"/>
            <w:vMerge w:val="restart"/>
          </w:tcPr>
          <w:p>
            <w:pPr>
              <w:spacing w:after="0"/>
              <w:rPr>
                <w:sz w:val="20"/>
                <w:szCs w:val="20"/>
                <w:color w:val="auto"/>
              </w:rPr>
            </w:pPr>
            <w:r>
              <w:rPr>
                <w:rFonts w:ascii="Arial" w:cs="Arial" w:eastAsia="Arial" w:hAnsi="Arial"/>
                <w:sz w:val="14"/>
                <w:szCs w:val="14"/>
                <w:color w:val="auto"/>
              </w:rPr>
              <w:t>Large accelerated filer</w:t>
            </w:r>
          </w:p>
        </w:tc>
        <w:tc>
          <w:tcPr>
            <w:tcW w:w="4500" w:type="dxa"/>
            <w:vAlign w:val="bottom"/>
            <w:vMerge w:val="restart"/>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vMerge w:val="restart"/>
          </w:tcPr>
          <w:p>
            <w:pPr>
              <w:ind w:left="9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9"/>
        </w:trPr>
        <w:tc>
          <w:tcPr>
            <w:tcW w:w="2160" w:type="dxa"/>
            <w:vAlign w:val="bottom"/>
            <w:vMerge w:val="continue"/>
          </w:tcPr>
          <w:p>
            <w:pPr>
              <w:spacing w:after="0"/>
              <w:rPr>
                <w:sz w:val="12"/>
                <w:szCs w:val="12"/>
                <w:color w:val="auto"/>
              </w:rPr>
            </w:pPr>
          </w:p>
        </w:tc>
        <w:tc>
          <w:tcPr>
            <w:tcW w:w="4500" w:type="dxa"/>
            <w:vAlign w:val="bottom"/>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450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4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389"/>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00" w:type="dxa"/>
            <w:vAlign w:val="bottom"/>
          </w:tcPr>
          <w:p>
            <w:pPr>
              <w:spacing w:after="0"/>
              <w:rPr>
                <w:sz w:val="16"/>
                <w:szCs w:val="16"/>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17"/>
        </w:trPr>
        <w:tc>
          <w:tcPr>
            <w:tcW w:w="58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Common Stock, par value $0.01 per share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AGNC</w:t>
            </w:r>
          </w:p>
        </w:tc>
        <w:tc>
          <w:tcPr>
            <w:tcW w:w="38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378"/>
        </w:trPr>
        <w:tc>
          <w:tcPr>
            <w:tcW w:w="58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Depositary shares of 7.750% Series B Cumulative Redeemable Preferred Stock</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AGNCB</w:t>
            </w:r>
          </w:p>
        </w:tc>
        <w:tc>
          <w:tcPr>
            <w:tcW w:w="38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331"/>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7.000% Series C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AGNCN</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58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Depositary shares of 6.875% Series D Fixed-to-Floating Rate Cumulative Redeemable Preferred</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AGNCM</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01"/>
        </w:trPr>
        <w:tc>
          <w:tcPr>
            <w:tcW w:w="5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Stock</w:t>
            </w:r>
          </w:p>
        </w:tc>
        <w:tc>
          <w:tcPr>
            <w:tcW w:w="1700" w:type="dxa"/>
            <w:vAlign w:val="bottom"/>
            <w:gridSpan w:val="2"/>
            <w:vMerge w:val="continue"/>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July 31, 2019 was 547,817,953.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184150</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98425</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type w:val="continuous"/>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1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00" w:type="dxa"/>
            <w:vAlign w:val="bottom"/>
            <w:tcBorders>
              <w:top w:val="single" w:sz="8" w:color="0000EE"/>
            </w:tcBorders>
          </w:tcPr>
          <w:p>
            <w:pPr>
              <w:spacing w:after="0"/>
              <w:rPr>
                <w:sz w:val="22"/>
                <w:szCs w:val="22"/>
                <w:color w:val="auto"/>
              </w:rPr>
            </w:pPr>
          </w:p>
        </w:tc>
        <w:tc>
          <w:tcPr>
            <w:tcW w:w="480" w:type="dxa"/>
            <w:vAlign w:val="bottom"/>
            <w:gridSpan w:val="3"/>
          </w:tcPr>
          <w:p>
            <w:pPr>
              <w:spacing w:after="0"/>
              <w:rPr>
                <w:sz w:val="22"/>
                <w:szCs w:val="22"/>
                <w:color w:val="auto"/>
              </w:rPr>
            </w:pPr>
          </w:p>
        </w:tc>
        <w:tc>
          <w:tcPr>
            <w:tcW w:w="2140" w:type="dxa"/>
            <w:vAlign w:val="bottom"/>
            <w:tcBorders>
              <w:top w:val="single" w:sz="8" w:color="0000EE"/>
            </w:tcBorders>
            <w:gridSpan w:val="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2"/>
                <w:szCs w:val="22"/>
                <w:color w:val="auto"/>
              </w:rPr>
            </w:pPr>
          </w:p>
        </w:tc>
        <w:tc>
          <w:tcPr>
            <w:tcW w:w="1980" w:type="dxa"/>
            <w:vAlign w:val="bottom"/>
            <w:gridSpan w:val="2"/>
          </w:tcPr>
          <w:p>
            <w:pPr>
              <w:jc w:val="center"/>
              <w:ind w:left="1814"/>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26">
              <w:r>
                <w:rPr>
                  <w:rFonts w:ascii="Arial" w:cs="Arial" w:eastAsia="Arial" w:hAnsi="Arial"/>
                  <w:sz w:val="16"/>
                  <w:szCs w:val="16"/>
                  <w:color w:val="0000EE"/>
                  <w:w w:val="85"/>
                </w:rPr>
                <w:t>Item 2.</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6">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4">
              <w:r>
                <w:rPr>
                  <w:rFonts w:ascii="Arial" w:cs="Arial" w:eastAsia="Arial" w:hAnsi="Arial"/>
                  <w:sz w:val="16"/>
                  <w:szCs w:val="16"/>
                  <w:color w:val="0000EE"/>
                  <w:w w:val="85"/>
                </w:rPr>
                <w:t>Item 3.</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Quantitative and Qualitative Disclosures About Market Risk</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4.</w:t>
              </w:r>
            </w:hyperlink>
          </w:p>
        </w:tc>
        <w:tc>
          <w:tcPr>
            <w:tcW w:w="580" w:type="dxa"/>
            <w:vAlign w:val="bottom"/>
            <w:gridSpan w:val="4"/>
          </w:tcPr>
          <w:p>
            <w:pPr>
              <w:spacing w:after="0"/>
              <w:rPr>
                <w:sz w:val="21"/>
                <w:szCs w:val="21"/>
                <w:color w:val="auto"/>
              </w:rPr>
            </w:pPr>
          </w:p>
        </w:tc>
        <w:tc>
          <w:tcPr>
            <w:tcW w:w="3920" w:type="dxa"/>
            <w:vAlign w:val="bottom"/>
            <w:gridSpan w:val="10"/>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Controls and Procedures</w:t>
              </w:r>
            </w:hyperlink>
          </w:p>
        </w:tc>
        <w:tc>
          <w:tcPr>
            <w:tcW w:w="3740" w:type="dxa"/>
            <w:vAlign w:val="bottom"/>
            <w:gridSpan w:val="2"/>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534"/>
        </w:trPr>
        <w:tc>
          <w:tcPr>
            <w:tcW w:w="1040" w:type="dxa"/>
            <w:vAlign w:val="bottom"/>
            <w:gridSpan w:val="5"/>
          </w:tcPr>
          <w:p>
            <w:pPr>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PART II.</w:t>
              </w:r>
            </w:hyperlink>
          </w:p>
        </w:tc>
        <w:tc>
          <w:tcPr>
            <w:tcW w:w="7660" w:type="dxa"/>
            <w:vAlign w:val="bottom"/>
            <w:gridSpan w:val="12"/>
          </w:tcPr>
          <w:p>
            <w:pPr>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1.</w:t>
              </w:r>
            </w:hyperlink>
          </w:p>
        </w:tc>
        <w:tc>
          <w:tcPr>
            <w:tcW w:w="220" w:type="dxa"/>
            <w:vAlign w:val="bottom"/>
            <w:tcBorders>
              <w:top w:val="single" w:sz="8" w:color="0000EE"/>
            </w:tcBorders>
            <w:gridSpan w:val="3"/>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Borders>
              <w:top w:val="single" w:sz="8" w:color="0000EE"/>
            </w:tcBorders>
            <w:gridSpan w:val="4"/>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Legal Proceedings</w:t>
              </w:r>
            </w:hyperlink>
          </w:p>
        </w:tc>
        <w:tc>
          <w:tcPr>
            <w:tcW w:w="640" w:type="dxa"/>
            <w:vAlign w:val="bottom"/>
            <w:tcBorders>
              <w:top w:val="single" w:sz="8" w:color="0000EE"/>
            </w:tcBorders>
            <w:gridSpan w:val="3"/>
          </w:tcPr>
          <w:p>
            <w:pPr>
              <w:spacing w:after="0"/>
              <w:rPr>
                <w:sz w:val="22"/>
                <w:szCs w:val="22"/>
                <w:color w:val="auto"/>
              </w:rPr>
            </w:pPr>
          </w:p>
        </w:tc>
        <w:tc>
          <w:tcPr>
            <w:tcW w:w="5840" w:type="dxa"/>
            <w:vAlign w:val="bottom"/>
            <w:gridSpan w:val="5"/>
          </w:tcPr>
          <w:p>
            <w:pPr>
              <w:spacing w:after="0"/>
              <w:rPr>
                <w:sz w:val="22"/>
                <w:szCs w:val="22"/>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6"/>
                <w:szCs w:val="16"/>
                <w:color w:val="0000EE"/>
                <w:w w:val="93"/>
              </w:rPr>
            </w:pPr>
            <w:hyperlink w:anchor="page48">
              <w:r>
                <w:rPr>
                  <w:rFonts w:ascii="Arial" w:cs="Arial" w:eastAsia="Arial" w:hAnsi="Arial"/>
                  <w:sz w:val="16"/>
                  <w:szCs w:val="16"/>
                  <w:color w:val="0000EE"/>
                  <w:w w:val="93"/>
                </w:rPr>
                <w:t>Item 1A.</w:t>
              </w:r>
            </w:hyperlink>
          </w:p>
        </w:tc>
        <w:tc>
          <w:tcPr>
            <w:tcW w:w="460" w:type="dxa"/>
            <w:vAlign w:val="bottom"/>
            <w:gridSpan w:val="2"/>
          </w:tcPr>
          <w:p>
            <w:pPr>
              <w:spacing w:after="0"/>
              <w:rPr>
                <w:sz w:val="21"/>
                <w:szCs w:val="21"/>
                <w:color w:val="auto"/>
              </w:rPr>
            </w:pPr>
          </w:p>
        </w:tc>
        <w:tc>
          <w:tcPr>
            <w:tcW w:w="7660" w:type="dxa"/>
            <w:vAlign w:val="bottom"/>
            <w:gridSpan w:val="12"/>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Risk Factors</w:t>
              </w:r>
            </w:hyperlink>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2.</w:t>
              </w:r>
            </w:hyperlink>
          </w:p>
        </w:tc>
        <w:tc>
          <w:tcPr>
            <w:tcW w:w="120" w:type="dxa"/>
            <w:vAlign w:val="bottom"/>
            <w:tcBorders>
              <w:top w:val="single" w:sz="8" w:color="0000EE"/>
            </w:tcBorders>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660" w:type="dxa"/>
            <w:vAlign w:val="bottom"/>
            <w:tcBorders>
              <w:top w:val="single" w:sz="8" w:color="0000EE"/>
            </w:tcBorders>
            <w:gridSpan w:val="2"/>
          </w:tcPr>
          <w:p>
            <w:pPr>
              <w:spacing w:after="0"/>
              <w:rPr>
                <w:rFonts w:ascii="Arial" w:cs="Arial" w:eastAsia="Arial" w:hAnsi="Arial"/>
                <w:sz w:val="16"/>
                <w:szCs w:val="16"/>
                <w:color w:val="0000EE"/>
                <w:w w:val="87"/>
              </w:rPr>
            </w:pPr>
            <w:hyperlink w:anchor="page48">
              <w:r>
                <w:rPr>
                  <w:rFonts w:ascii="Arial" w:cs="Arial" w:eastAsia="Arial" w:hAnsi="Arial"/>
                  <w:sz w:val="16"/>
                  <w:szCs w:val="16"/>
                  <w:color w:val="0000EE"/>
                  <w:w w:val="87"/>
                </w:rPr>
                <w:t>Properties</w:t>
              </w:r>
            </w:hyperlink>
          </w:p>
        </w:tc>
        <w:tc>
          <w:tcPr>
            <w:tcW w:w="140" w:type="dxa"/>
            <w:vAlign w:val="bottom"/>
            <w:tcBorders>
              <w:top w:val="single" w:sz="8" w:color="0000EE"/>
            </w:tcBorders>
          </w:tcPr>
          <w:p>
            <w:pPr>
              <w:spacing w:after="0"/>
              <w:rPr>
                <w:sz w:val="20"/>
                <w:szCs w:val="20"/>
                <w:color w:val="auto"/>
              </w:rPr>
            </w:pPr>
          </w:p>
        </w:tc>
        <w:tc>
          <w:tcPr>
            <w:tcW w:w="6860" w:type="dxa"/>
            <w:vAlign w:val="bottom"/>
            <w:gridSpan w:val="9"/>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top w:val="single" w:sz="8" w:color="0000EE"/>
            </w:tcBorders>
            <w:gridSpan w:val="2"/>
          </w:tcPr>
          <w:p>
            <w:pPr>
              <w:jc w:val="center"/>
              <w:ind w:right="20"/>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47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3.</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w w:val="91"/>
              </w:rPr>
            </w:pPr>
            <w:hyperlink w:anchor="page48">
              <w:r>
                <w:rPr>
                  <w:rFonts w:ascii="Arial" w:cs="Arial" w:eastAsia="Arial" w:hAnsi="Arial"/>
                  <w:sz w:val="16"/>
                  <w:szCs w:val="16"/>
                  <w:color w:val="0000EE"/>
                  <w:w w:val="91"/>
                </w:rPr>
                <w:t>Defaults upon Senior Securities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47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4.</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Mine Safety Disclosures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47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5.</w:t>
              </w:r>
            </w:hyperlink>
          </w:p>
        </w:tc>
        <w:tc>
          <w:tcPr>
            <w:tcW w:w="580" w:type="dxa"/>
            <w:vAlign w:val="bottom"/>
            <w:gridSpan w:val="4"/>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48">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6080" w:type="dxa"/>
            <w:vAlign w:val="bottom"/>
            <w:gridSpan w:val="6"/>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47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6.</w:t>
              </w:r>
            </w:hyperlink>
          </w:p>
        </w:tc>
        <w:tc>
          <w:tcPr>
            <w:tcW w:w="580" w:type="dxa"/>
            <w:vAlign w:val="bottom"/>
            <w:gridSpan w:val="4"/>
          </w:tcPr>
          <w:p>
            <w:pPr>
              <w:spacing w:after="0"/>
              <w:rPr>
                <w:sz w:val="20"/>
                <w:szCs w:val="20"/>
                <w:color w:val="auto"/>
              </w:rPr>
            </w:pPr>
          </w:p>
        </w:tc>
        <w:tc>
          <w:tcPr>
            <w:tcW w:w="540" w:type="dxa"/>
            <w:vAlign w:val="bottom"/>
          </w:tcPr>
          <w:p>
            <w:pPr>
              <w:spacing w:after="0"/>
              <w:rPr>
                <w:rFonts w:ascii="Arial" w:cs="Arial" w:eastAsia="Arial" w:hAnsi="Arial"/>
                <w:sz w:val="16"/>
                <w:szCs w:val="16"/>
                <w:color w:val="0000EE"/>
                <w:w w:val="92"/>
              </w:rPr>
            </w:pPr>
            <w:hyperlink w:anchor="page49">
              <w:r>
                <w:rPr>
                  <w:rFonts w:ascii="Arial" w:cs="Arial" w:eastAsia="Arial" w:hAnsi="Arial"/>
                  <w:sz w:val="16"/>
                  <w:szCs w:val="16"/>
                  <w:color w:val="0000EE"/>
                  <w:w w:val="92"/>
                </w:rPr>
                <w:t>Exhibits</w:t>
              </w:r>
            </w:hyperlink>
          </w:p>
        </w:tc>
        <w:tc>
          <w:tcPr>
            <w:tcW w:w="640" w:type="dxa"/>
            <w:vAlign w:val="bottom"/>
            <w:gridSpan w:val="3"/>
          </w:tcPr>
          <w:p>
            <w:pPr>
              <w:spacing w:after="0"/>
              <w:rPr>
                <w:sz w:val="20"/>
                <w:szCs w:val="20"/>
                <w:color w:val="auto"/>
              </w:rPr>
            </w:pPr>
          </w:p>
        </w:tc>
        <w:tc>
          <w:tcPr>
            <w:tcW w:w="6480" w:type="dxa"/>
            <w:vAlign w:val="bottom"/>
            <w:gridSpan w:val="8"/>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34"/>
        </w:trPr>
        <w:tc>
          <w:tcPr>
            <w:tcW w:w="680" w:type="dxa"/>
            <w:vAlign w:val="bottom"/>
            <w:gridSpan w:val="4"/>
          </w:tcPr>
          <w:p>
            <w:pPr>
              <w:spacing w:after="0"/>
              <w:rPr>
                <w:sz w:val="20"/>
                <w:szCs w:val="20"/>
                <w:color w:val="auto"/>
              </w:rPr>
            </w:pPr>
            <w:r>
              <w:rPr>
                <w:rFonts w:ascii="Arial" w:cs="Arial" w:eastAsia="Arial" w:hAnsi="Arial"/>
                <w:sz w:val="16"/>
                <w:szCs w:val="16"/>
                <w:color w:val="0000EE"/>
                <w:w w:val="83"/>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80" w:top="580"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2018</w:t>
            </w: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$87,582 and $78,619, respectively)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91,140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82,291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 (including pledged securities of $269 and $141, respectively)</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1,012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 (including pledged securities of $0 and $45,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U.S. Treasury securities, at fair value (including pledged securities of $1,152 and $0, respectively)</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599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assets,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Receivable for investment securities sold (including pledged securities of $673 and $489, respectively)</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21,813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84"/>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106,576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109,241</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Repurchase agreements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86,266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75,717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99,335</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 aggregate liquidation preference of $735 and $500,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w w:val="93"/>
              </w:rPr>
              <w:t>Common stock - $0.01 par value; 900 shares authorized; 547.8 and 536.3 shares issued and outstanding, respectively</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(3,433)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9,906</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109,241</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060" w:type="dxa"/>
            <w:vAlign w:val="bottom"/>
            <w:gridSpan w:val="7"/>
          </w:tcPr>
          <w:p>
            <w:pPr>
              <w:ind w:left="60"/>
              <w:spacing w:after="0"/>
              <w:rPr>
                <w:sz w:val="20"/>
                <w:szCs w:val="20"/>
                <w:color w:val="auto"/>
              </w:rPr>
            </w:pPr>
            <w:r>
              <w:rPr>
                <w:rFonts w:ascii="Arial" w:cs="Arial" w:eastAsia="Arial" w:hAnsi="Arial"/>
                <w:sz w:val="16"/>
                <w:szCs w:val="16"/>
                <w:b w:val="1"/>
                <w:bCs w:val="1"/>
                <w:color w:val="auto"/>
                <w:w w:val="98"/>
              </w:rPr>
              <w:t>Three Months Ended June</w:t>
            </w:r>
          </w:p>
        </w:tc>
        <w:tc>
          <w:tcPr>
            <w:tcW w:w="140" w:type="dxa"/>
            <w:vAlign w:val="bottom"/>
          </w:tcPr>
          <w:p>
            <w:pPr>
              <w:spacing w:after="0"/>
              <w:rPr>
                <w:sz w:val="17"/>
                <w:szCs w:val="17"/>
                <w:color w:val="auto"/>
              </w:rPr>
            </w:pPr>
          </w:p>
        </w:tc>
        <w:tc>
          <w:tcPr>
            <w:tcW w:w="1780" w:type="dxa"/>
            <w:vAlign w:val="bottom"/>
            <w:gridSpan w:val="5"/>
          </w:tcPr>
          <w:p>
            <w:pPr>
              <w:jc w:val="right"/>
              <w:ind w:right="30"/>
              <w:spacing w:after="0"/>
              <w:rPr>
                <w:sz w:val="20"/>
                <w:szCs w:val="20"/>
                <w:color w:val="auto"/>
              </w:rPr>
            </w:pPr>
            <w:r>
              <w:rPr>
                <w:rFonts w:ascii="Arial" w:cs="Arial" w:eastAsia="Arial" w:hAnsi="Arial"/>
                <w:sz w:val="16"/>
                <w:szCs w:val="16"/>
                <w:b w:val="1"/>
                <w:bCs w:val="1"/>
                <w:color w:val="auto"/>
                <w:w w:val="90"/>
              </w:rPr>
              <w:t>Six Months Ended June</w:t>
            </w: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w w:val="80"/>
              </w:rPr>
              <w:t>30,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w w:val="89"/>
              </w:rPr>
              <w:t>30,</w:t>
            </w:r>
          </w:p>
        </w:tc>
        <w:tc>
          <w:tcPr>
            <w:tcW w:w="7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693</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Unrealized gain (loss) on investment securities measured at fair value through net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1,036</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29"/>
        </w:trPr>
        <w:tc>
          <w:tcPr>
            <w:tcW w:w="7440" w:type="dxa"/>
            <w:vAlign w:val="bottom"/>
          </w:tcPr>
          <w:p>
            <w:pPr>
              <w:ind w:left="380"/>
              <w:spacing w:after="0"/>
              <w:rPr>
                <w:sz w:val="20"/>
                <w:szCs w:val="20"/>
                <w:color w:val="auto"/>
              </w:rPr>
            </w:pPr>
            <w:r>
              <w:rPr>
                <w:rFonts w:ascii="Arial" w:cs="Arial" w:eastAsia="Arial" w:hAnsi="Arial"/>
                <w:sz w:val="18"/>
                <w:szCs w:val="18"/>
                <w:color w:val="auto"/>
              </w:rPr>
              <w:t>Unrealized gain (loss) on investment securities measured at fair value through other</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comprehensive income (loss), net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398.2</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398.4</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 -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per common share -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Preferred</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11,174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8,338</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loss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9,042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Issuance of preferred stock, net of offering cost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83"/>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547.8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13,988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10,346</w:t>
            </w: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391.3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11,173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loss on available-for-sale securities, net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83"/>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434.1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11,964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9,042</w:t>
            </w: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536.3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13,793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9,906</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gain on available-for-sale securities, net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Issuance of common stock, net of offering cost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Issuance of preferred stock, net of offering cost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Preferred dividends declared</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4"/>
                <w:szCs w:val="14"/>
                <w:color w:val="auto"/>
              </w:rPr>
              <w:t>Common dividends declared</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10,346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may not total due to rounding.</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364" w:right="2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79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717</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sale of investment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617</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derivative instruments and other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Increase in other assets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accounts payable and other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Purchases of Agency mortgage-backed securities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(7,946)</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Proceeds from sale of Agency mortgage-backed securities</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12,186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4,326</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Principal collections on Agency mortgage-backed securities</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3,421</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Payments on U.S. Treasury securities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(4,734)</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7,318</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13,219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(2,251)</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Net payments on other investing activity</w:t>
            </w:r>
          </w:p>
        </w:tc>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r>
      <w:tr>
        <w:trPr>
          <w:trHeight w:val="231"/>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1,904,071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702,295</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(1,893,522)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(703,752)</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3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231"/>
        </w:trPr>
        <w:tc>
          <w:tcPr>
            <w:tcW w:w="79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12700</wp:posOffset>
            </wp:positionV>
            <wp:extent cx="15005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-130175</wp:posOffset>
            </wp:positionV>
            <wp:extent cx="15005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40"/>
          </w:cols>
          <w:pgMar w:left="780" w:top="580" w:right="7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our wholly-owned subsidiaries and variable interest entities for which we are the primary beneficiary. Significant intercompany accounts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internally-managed, and 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in other investments in, or related to, the housing, mortgage or real estate markets. We fund our investments primarily through borrowings structured as repurchase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All of our securities are reported at fair value on our consolidated balance sheet. Accounting Standards Codification ("ASC") Topic 320,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Debt and Equity Securities</w:t>
      </w:r>
      <w:r>
        <w:rPr>
          <w:rFonts w:ascii="Arial" w:cs="Arial" w:eastAsia="Arial" w:hAnsi="Arial"/>
          <w:sz w:val="17"/>
          <w:szCs w:val="17"/>
          <w:color w:val="auto"/>
        </w:rPr>
        <w:t>, requires that at the time of purchase, we designate a security as held-to-maturity, available-for-sale or trading, depending on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ability and intent to hold such security to maturity. Alternatively, we may elect the fair value option of accounting for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Prior to fiscal year 2017, we primarily designated our investment securities as available-for-sale. On January 1, 2017, we began</w:t>
      </w:r>
      <w:r>
        <w:rPr>
          <w:rFonts w:ascii="Arial" w:cs="Arial" w:eastAsia="Arial" w:hAnsi="Arial"/>
          <w:sz w:val="17"/>
          <w:szCs w:val="17"/>
          <w:i w:val="1"/>
          <w:iCs w:val="1"/>
          <w:color w:val="auto"/>
        </w:rPr>
        <w:t xml:space="preserve"> </w:t>
      </w:r>
      <w:r>
        <w:rPr>
          <w:rFonts w:ascii="Arial" w:cs="Arial" w:eastAsia="Arial" w:hAnsi="Arial"/>
          <w:sz w:val="17"/>
          <w:szCs w:val="17"/>
          <w:color w:val="auto"/>
        </w:rPr>
        <w:t>electing the fair value option of accounting for all investment securities newly acquired after such date. Unrealized gains and losses on securities classified as available-for-sale are reported in accumulated other comprehensive income ("OCI"). Unrealized gains and losses on securities for which we elected the fair value option or are classified as trading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as the fair value changes for these assets are presented in a manner consistent with the presentation and timing of the fair value changes of our derivative instruments.</w:t>
      </w:r>
    </w:p>
    <w:p>
      <w:pPr>
        <w:spacing w:after="0" w:line="1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8 for further discussion of fair value measurements.</w:t>
      </w:r>
    </w:p>
    <w:p>
      <w:pPr>
        <w:spacing w:after="0" w:line="11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short-term benchmark rates plus or minus a fixed spread. The fair value of our repurchase agreements is assumed to equal cost as the interest rates are considered to be at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borrow securities to cover short sales of U.S. Treasury securities through reverse repurchase transactions under our master repurchase agreements (see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are considered to be at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registered central clearing exchanges and major financial institutions with acceptable credit ratings, monitoring positions with individual counterparties and adjusting posted collateral as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use interest rate swaps to economically hedge the variable cash flows associated with our borrowings made under repurchase agreements. Under our interest rate swap agreements, we typically pay a fixed rate and receive a floating rate ("payer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swaps") based on three-month LIBOR or the overnight index swap rate ("OIS"). Our interest rate swaps typically have terms from one to 10 years but may extend up to 20 years or more. 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current benchmark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We estimate the fair value of TBA securities based on similar methods used to value our Agency RMBS securities.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ASU 2016-13 changes the impairment model for most financial assets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instruments. Rather than a direct reduction of the amortized cost of available-for-sale investments for an other-than-temporary-impairment, an allowance for the portion attributed to expected credit loss is recorded; the remaining loss unrelated to credit, such as due to changes in interest rates, continues to be recorded through OCI.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June 30, 2019 and December 31, 2018, our investment portfolio consisted of $93.3 billion and $84.3 billion of investment securities, at fair value, respectively, and $11.2 billion and $7.3 billion of TBA securities, at fair value, respectively. Our TBA position is reported at its net carrying value of $84 million and $70 million as of June 30, 2019 and December 31, 2018,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2019 and December 31, 2018, our investment securities had a net unamortized premium balance of $3.0 billion and $2.9 billion,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summarize our investment securities as of June 30, 2019 and December 31, 2018, excluding TBA securities, (dollars in millions).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TBA securities as of each of the respective dates are included in Note 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3"/>
                <w:szCs w:val="13"/>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89,384</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90,627</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83,047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81,753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4"/>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Multifamily</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RMBS</w:t>
            </w: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90,276</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91,551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84,019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82,727</w:t>
            </w: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Non-Agency RMBS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CRT securities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91,953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84,287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Ginnie</w:t>
            </w:r>
          </w:p>
        </w:tc>
        <w:tc>
          <w:tcPr>
            <w:tcW w:w="180" w:type="dxa"/>
            <w:vAlign w:val="bottom"/>
          </w:tcPr>
          <w:p>
            <w:pPr>
              <w:spacing w:after="0"/>
              <w:rPr>
                <w:sz w:val="13"/>
                <w:szCs w:val="13"/>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CRT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15,743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5,221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20,986</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782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1,086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16,514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22,059</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16,414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21,895</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37,474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28,772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67,894</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2,083</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38,489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29,728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69,894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1,517</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39,345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30,311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71,376</w:t>
            </w:r>
          </w:p>
        </w:tc>
        <w:tc>
          <w:tcPr>
            <w:tcW w:w="0" w:type="dxa"/>
            <w:vAlign w:val="bottom"/>
          </w:tcPr>
          <w:p>
            <w:pPr>
              <w:spacing w:after="0"/>
              <w:rPr>
                <w:sz w:val="1"/>
                <w:szCs w:val="1"/>
                <w:color w:val="auto"/>
              </w:rPr>
            </w:pPr>
          </w:p>
        </w:tc>
      </w:tr>
      <w:tr>
        <w:trPr>
          <w:trHeight w:val="282"/>
        </w:trPr>
        <w:tc>
          <w:tcPr>
            <w:tcW w:w="42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55,759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35,769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262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341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1,117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93,271</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June 30, 2019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June 30, 2019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12.4% based on forward rates as of June 30, 2019.</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17,591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23,295</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1,255</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18,493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24,538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17,811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23,595</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39,453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18,428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59,398</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40,430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19,057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1,006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61,031</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264"/>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40,267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18,871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260</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60,692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58,078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24,623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26</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1,012</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84,287</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2018</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2018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7.9% based on forward rates as of December 31, 2018.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87" w:right="25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As of June 30, 2019 and December 31, 2018, our investments in CRT and non-Agency securities had the following credit ratings: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June 30, 2019, our CRT securities had floating and fixed rate coupons ranging from 3.0% to 8.8%, referenced to loans originated between 2011 and 2018 with weighted average coupons ranging from 3.7% to 4.9%. As of December 31, 2018, our CRT securities had floating rate coupons ranging from 3.9% to 9.5%, referenced to loans originated between 2011 and 2018 with weighted average coupons ranging from 3.8% to 4.8%.</w:t>
      </w:r>
    </w:p>
    <w:p>
      <w:pPr>
        <w:spacing w:after="0" w:line="10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2019 and December 31, 2018, the weighted average expected constant prepayment rate ("CPR") over the remaining life of our Agency and high credit quality non-Agency RMBS investment portfolio was 12.4% and 7.9%, respectively. Our estimates can differ materially for different securities and thus our individual holdings have a wide range of projected CPRs. The following table summarizes our investments as of June 30, 2019 and December 31, 2018 according to their estimated weighted average life classification (dollars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June 30, 2019</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3,371</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2.64%</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18,878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18,545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3.80%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69,839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3.37%</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3.64%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3.37%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3.30%</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91,953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85,569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June 30,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2019</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15,354</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18,231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23,014</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did not recognize OTTI charges on our investment securities during the periods presented on our consolidated statements of operations. As of the end of each respective reporting period, a decision had not been made to sell securities in an unrealized loss position and we did not believe it was more likely than not that we would be required to sell such securities before recovery of their amortized cost basis. The unrealized losses on our securities were not due to credit losses given the GSE or U.S. Government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from the sale of investment securities for the three and six months ended June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by investment classification of accounting (in millions):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43"/>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Sale</w:t>
            </w: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Available-for-Sale</w:t>
            </w:r>
          </w:p>
        </w:tc>
        <w:tc>
          <w:tcPr>
            <w:tcW w:w="11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 xml:space="preserve">Securities </w:t>
            </w:r>
            <w:r>
              <w:rPr>
                <w:rFonts w:ascii="Arial" w:cs="Arial" w:eastAsia="Arial" w:hAnsi="Arial"/>
                <w:sz w:val="8"/>
                <w:szCs w:val="8"/>
                <w:b w:val="1"/>
                <w:bCs w:val="1"/>
                <w:color w:val="auto"/>
                <w:w w:val="88"/>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1"/>
              </w:rPr>
              <w:t xml:space="preserve">Securities </w:t>
            </w:r>
            <w:r>
              <w:rPr>
                <w:rFonts w:ascii="Arial" w:cs="Arial" w:eastAsia="Arial" w:hAnsi="Arial"/>
                <w:sz w:val="8"/>
                <w:szCs w:val="8"/>
                <w:b w:val="1"/>
                <w:bCs w:val="1"/>
                <w:color w:val="auto"/>
                <w:w w:val="91"/>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Total</w:t>
            </w:r>
          </w:p>
        </w:tc>
      </w:tr>
      <w:tr>
        <w:trPr>
          <w:trHeight w:val="251"/>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(8,135)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(1,449)</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(3,424)</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8,267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3,350</w:t>
            </w:r>
          </w:p>
        </w:tc>
      </w:tr>
      <w:tr>
        <w:trPr>
          <w:trHeight w:val="283"/>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64"/>
        </w:trPr>
        <w:tc>
          <w:tcPr>
            <w:tcW w:w="3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5</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0"/>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64"/>
        </w:trPr>
        <w:tc>
          <w:tcPr>
            <w:tcW w:w="3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43"/>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Available-for-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Sale</w:t>
            </w: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Available-for-Sale</w:t>
            </w:r>
          </w:p>
        </w:tc>
        <w:tc>
          <w:tcPr>
            <w:tcW w:w="11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Fair Value Option</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8"/>
              </w:rPr>
              <w:t xml:space="preserve">Securities </w:t>
            </w:r>
            <w:r>
              <w:rPr>
                <w:rFonts w:ascii="Arial" w:cs="Arial" w:eastAsia="Arial" w:hAnsi="Arial"/>
                <w:sz w:val="8"/>
                <w:szCs w:val="8"/>
                <w:b w:val="1"/>
                <w:bCs w:val="1"/>
                <w:color w:val="auto"/>
                <w:w w:val="88"/>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1"/>
              </w:rPr>
              <w:t xml:space="preserve">Securities </w:t>
            </w:r>
            <w:r>
              <w:rPr>
                <w:rFonts w:ascii="Arial" w:cs="Arial" w:eastAsia="Arial" w:hAnsi="Arial"/>
                <w:sz w:val="8"/>
                <w:szCs w:val="8"/>
                <w:b w:val="1"/>
                <w:bCs w:val="1"/>
                <w:color w:val="auto"/>
                <w:w w:val="91"/>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Total</w:t>
            </w:r>
          </w:p>
        </w:tc>
      </w:tr>
      <w:tr>
        <w:trPr>
          <w:trHeight w:val="251"/>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Investment securities sold, at cost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(12,331)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(13,036)</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(1,836)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(4,814)</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12,532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13,228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4,738</w:t>
            </w:r>
          </w:p>
        </w:tc>
      </w:tr>
      <w:tr>
        <w:trPr>
          <w:trHeight w:val="283"/>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3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Gross gain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15</w:t>
            </w:r>
          </w:p>
        </w:tc>
      </w:tr>
      <w:tr>
        <w:trPr>
          <w:trHeight w:val="27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on sale of investment securities</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44"/>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Net gain (loss) on sale of investment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0</wp:posOffset>
            </wp:positionV>
            <wp:extent cx="416814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68140" cy="2603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30, 2019 and December 31, 2018, our consolidated financial statements reflect the consolidation of certain variable interest entities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2019, we had met all margin call requirements. For additional information regarding our pledged assets, please refer to Note 7.</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2019 and December 31, 2018, we had $86.3 billion and $75.7 billion, respectively, of repurchase agreements outstanding used to fund our investment portfolio and temporary holdings of U.S. Treasury securities. The terms and conditions</w:t>
      </w:r>
    </w:p>
    <w:p>
      <w:pPr>
        <w:sectPr>
          <w:pgSz w:w="11900" w:h="16838" w:orient="portrait"/>
          <w:cols w:equalWidth="0" w:num="1">
            <w:col w:w="11420"/>
          </w:cols>
          <w:pgMar w:left="240" w:top="74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6" w:right="239" w:bottom="1440" w:gutter="0" w:footer="0" w:header="0"/>
          <w:type w:val="continuous"/>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June 30, 2019 and December 31, 2018 (dollars in millions):</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47,110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48,533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3,891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9,102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4,116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6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992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86,266</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79</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75,717</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As of June 30, 2019 and December 31, 2018, $14.0 billion and $19.5 billion, respectively, of our repurchase agreements had a remaining maturity of one business day and none of our repurchase agreements were due on demand. As of June 30, 2019, we had $4.8 billion of forward commitments to enter into repurchase agreements, with a weighted average forward start date of 122 days and a weighted average interest rate of 2.56%. As of December 31, 2018 we had $10.7 billion of forward commitments to enter into repurchase agreements, with a weighted average forward start date of 9 days and a weighted average interest rate of 2.90%. As of June 30, 2019 and December 31, 2018, 42% and 35%,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41% and 33% of our repurchase agreement funding outstanding as of June 30, 2019 and December 31, 2018,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2019 and December 31, 2018, we had $8.8 billion and $21.8 billion, respectively, of reverse repurchase agreements outstanding used primarily to borrow securities to cover short sales of U.S. Treasury securities, for which we had associated obligations to return borrowed securities at fair value of $7.8 billion and $21.4 billion, respectively. As of June 30, 2019 and December 31, 2018, $4.4 billion and $4.5 billion, respectively, of our reverse repurchase agreements were with the FICC sourced through BES.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2019 and December 31, 2018, we had debt of consolidated VIEs, at fair value, of $251 million and $275 million, respectively, which had a weighted average interest rate of LIBOR plus 51 and 40 basis points, respectively, and an estimated weighted average life of 5.6 years and 6.1 years,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June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8"/>
              </w:rPr>
              <w:t>June 30, 2019</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(21,431)</w:t>
            </w:r>
          </w:p>
        </w:tc>
      </w:tr>
      <w:tr>
        <w:trPr>
          <w:trHeight w:val="244"/>
        </w:trPr>
        <w:tc>
          <w:tcPr>
            <w:tcW w:w="4480" w:type="dxa"/>
            <w:vAlign w:val="bottom"/>
            <w:gridSpan w:val="2"/>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(6,602)</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(21,385)</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June 30, 2019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2018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June 30, 2019</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 Fixed / Receive Variable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49,725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11,000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1.71%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2.46%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8,425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2.06%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8,800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2.10%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2.51%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2.64%</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4,875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w:t>
            </w:r>
          </w:p>
        </w:tc>
        <w:tc>
          <w:tcPr>
            <w:tcW w:w="0" w:type="dxa"/>
            <w:vAlign w:val="bottom"/>
          </w:tcPr>
          <w:p>
            <w:pPr>
              <w:spacing w:after="0"/>
              <w:rPr>
                <w:sz w:val="1"/>
                <w:szCs w:val="1"/>
                <w:color w:val="auto"/>
              </w:rPr>
            </w:pPr>
          </w:p>
        </w:tc>
      </w:tr>
      <w:tr>
        <w:trPr>
          <w:trHeight w:val="244"/>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74,950</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2.46%</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3.3</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51,625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2.11%</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2.63%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2019, the receive rates on 42% and 58% of our interest rate swaps were linked to three-month LIBOR and the overnight index swap rate, respectively. As of December 31, 2018, all of our interest rate swaps were linked to three-month LIBOR.</w:t>
      </w: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2018, notional amount includes forward starting swaps of $5.7 billion with an average forward start date of 0.5 years.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Average fixed pay rate as of December 31, 2018 includes forward starting swaps. Excluding forward starting swaps, the average fixed pay rate was 1.98% as of December 31, 2018.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3.03%</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4,400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2.93%</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284"/>
        </w:trPr>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2.93%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June 30, 2019 and December 31, 2018, ≤ 1 year notional amount includes $700 million of Bermudan swaptions where the options may be exercised on predetermined dates up to their final exercise date, which is six months prior to the underlying swaps' maturity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Face Amount</w:t>
            </w:r>
          </w:p>
        </w:tc>
        <w:tc>
          <w:tcPr>
            <w:tcW w:w="160" w:type="dxa"/>
            <w:vAlign w:val="bottom"/>
          </w:tcPr>
          <w:p>
            <w:pPr>
              <w:spacing w:after="0"/>
              <w:rPr>
                <w:sz w:val="13"/>
                <w:szCs w:val="13"/>
                <w:color w:val="auto"/>
              </w:rPr>
            </w:pPr>
          </w:p>
        </w:tc>
        <w:tc>
          <w:tcPr>
            <w:tcW w:w="11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 xml:space="preserve">Cost Basis </w:t>
            </w:r>
            <w:r>
              <w:rPr>
                <w:rFonts w:ascii="Arial" w:cs="Arial" w:eastAsia="Arial" w:hAnsi="Arial"/>
                <w:sz w:val="8"/>
                <w:szCs w:val="8"/>
                <w:b w:val="1"/>
                <w:bCs w:val="1"/>
                <w:color w:val="auto"/>
              </w:rPr>
              <w:t>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1</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Long/(Short)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9"/>
              </w:rPr>
              <w:t>Long/(Short)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(14,410)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(7,155)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(6,111)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June 30, 2019 and December 31, 2018, our short U.S. Treasury securities had a weighted average yield of 2.71% and 2.66%, respectively. As of June 30, 2019, our long U.S. Treasury securities had a weighted average yield of 1.88%.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w w:val="94"/>
              </w:rPr>
              <w:t>June 30, 2019</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1"/>
                <w:szCs w:val="11"/>
                <w:color w:val="auto"/>
              </w:rPr>
            </w:pPr>
          </w:p>
        </w:tc>
        <w:tc>
          <w:tcPr>
            <w:tcW w:w="7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34"/>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(2,111)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9"/>
              <w:spacing w:after="0" w:line="135" w:lineRule="exact"/>
              <w:rPr>
                <w:sz w:val="20"/>
                <w:szCs w:val="20"/>
                <w:color w:val="auto"/>
              </w:rPr>
            </w:pPr>
            <w:r>
              <w:rPr>
                <w:rFonts w:ascii="Arial" w:cs="Arial" w:eastAsia="Arial" w:hAnsi="Arial"/>
                <w:sz w:val="13"/>
                <w:szCs w:val="13"/>
                <w:b w:val="1"/>
                <w:bCs w:val="1"/>
                <w:color w:val="auto"/>
              </w:rPr>
              <w:t>Net Carrying</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9"/>
              </w:rPr>
              <w:t>Long (Short)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7"/>
              </w:rPr>
              <w:t>Long (Short)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w:t>
            </w:r>
          </w:p>
        </w:tc>
      </w:tr>
      <w:tr>
        <w:trPr>
          <w:trHeight w:val="264"/>
        </w:trPr>
        <w:tc>
          <w:tcPr>
            <w:tcW w:w="2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4.0%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 securities</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3,112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3,181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3,202</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3,623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3,635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3,673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r>
      <w:tr>
        <w:trPr>
          <w:trHeight w:val="25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r>
      <w:tr>
        <w:trPr>
          <w:trHeight w:val="264"/>
        </w:trPr>
        <w:tc>
          <w:tcPr>
            <w:tcW w:w="2740" w:type="dxa"/>
            <w:vAlign w:val="bottom"/>
          </w:tcPr>
          <w:p>
            <w:pPr>
              <w:ind w:left="20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4,064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4,154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r>
      <w:tr>
        <w:trPr>
          <w:trHeight w:val="264"/>
        </w:trPr>
        <w:tc>
          <w:tcPr>
            <w:tcW w:w="2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 4.5%</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562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587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w:t>
            </w:r>
          </w:p>
        </w:tc>
      </w:tr>
      <w:tr>
        <w:trPr>
          <w:trHeight w:val="25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 securities, net</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7,931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7,905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7,968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3,649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Total TBA securities,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11,043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11,086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11,170</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7,152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7,252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left="60" w:firstLine="648"/>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six months ended June 30, 2019 and 2018 (in millions):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6,822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27,859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(23,638)</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11,043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4,400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1,134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13,636</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64,406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(58,237)</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19,805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6,750</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8" w:right="2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7,152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46,301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(42,410)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11,043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4,400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1,134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15,474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108,075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(103,744)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19,805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43,700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June 30, 2019, our maximum amount at risk with any counterparty related to our repurchase agreements, excluding the Fixed Income Clearing Corporation, was less than 4% of our tangible stockholders' equity (measured as the excess of the value of collateral pledged over the amount of our repurchase liabilities). As of June 30, 2019, approximately 9% of our tangible stockholder's equity was at risk with the Fixed Income Clearing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2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brokerage and clearing agreements by type, including securities pledged related to securities sold but not yet settled, as of June 30, 2019 and December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Brokerage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Debt of Consolidated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Clearing</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1"/>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VIEs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88,061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88,827</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1,423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90,167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91,581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Brokerage and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Counterparties </w:t>
            </w:r>
            <w:r>
              <w:rPr>
                <w:rFonts w:ascii="Arial" w:cs="Arial" w:eastAsia="Arial" w:hAnsi="Arial"/>
                <w:sz w:val="8"/>
                <w:szCs w:val="8"/>
                <w:b w:val="1"/>
                <w:bCs w:val="1"/>
                <w:color w:val="auto"/>
              </w:rPr>
              <w:t>1</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Debt of Consolidated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Clearing</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1"/>
              <w:spacing w:after="0"/>
              <w:rPr>
                <w:sz w:val="20"/>
                <w:szCs w:val="20"/>
                <w:color w:val="auto"/>
              </w:rPr>
            </w:pPr>
            <w:r>
              <w:rPr>
                <w:rFonts w:ascii="Arial" w:cs="Arial" w:eastAsia="Arial" w:hAnsi="Arial"/>
                <w:sz w:val="9"/>
                <w:szCs w:val="9"/>
                <w:b w:val="1"/>
                <w:bCs w:val="1"/>
                <w:color w:val="auto"/>
                <w:w w:val="78"/>
              </w:rPr>
              <w:t>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VIEs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 xml:space="preserve">Agreements </w:t>
            </w:r>
            <w:r>
              <w:rPr>
                <w:rFonts w:ascii="Arial" w:cs="Arial" w:eastAsia="Arial" w:hAnsi="Arial"/>
                <w:sz w:val="8"/>
                <w:szCs w:val="8"/>
                <w:b w:val="1"/>
                <w:bCs w:val="1"/>
                <w:color w:val="auto"/>
                <w:w w:val="91"/>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78,997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79,740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 fair value</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79,943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81,210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repledged assets received as collateral from counterparties.</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$161 million and $163 million of retained interests in our consolidated VIEs pledged as collateral under repurchase agreements as of June 30, 2019 and December 31, 2018, respectively.</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transferred to our consolidated VIEs can only be used to settle the obligations of each respective VIE. However, we may pledge our retained interests in our consolidated VIEs as collateral under our repurchase agreements and derivative contracts. Please refer to Note 4 for additional information regarding our consolidated VIEs.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June 30, 2019 and December 31, 2018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1,2</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Pledged 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30 days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49,944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&gt; 30 and ≤ 60 days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10,881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10,735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14,586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60 and ≤ 90 days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7,770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&gt; 90 days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88,213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79,182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80,386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ind w:left="660" w:right="320" w:hanging="328"/>
        <w:spacing w:after="0" w:line="25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$161 million and $163 million of retained interests in our consolidated VIEs pledged as collateral under repurchase agreements as of June 30, 2019 and December 31, 2018, respectively.</w:t>
      </w: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$271 million and $437 million of repledged U.S. Treasury securities received as collateral from counterparties as of June 30, 2019 and December 31,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June 30, 2019 and December 31, 2018, we had assets pledged to us from counterparties as collateral under our reverse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Reverse</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Repurchase</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Assets Pledged to AGNC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Agreements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21,948</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24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22,077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$271 million and $437 million of repledged U.S. Treasury securities received as collateral from counterparties as of June 30, 2019 and December 31, 2018, respectively.</w:t>
      </w:r>
    </w:p>
    <w:p>
      <w:pPr>
        <w:spacing w:after="0" w:line="1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for which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2019 and December 31, 2018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 xml:space="preserve">Received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8,848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9"/>
          </w:tcPr>
          <w:p>
            <w:pPr>
              <w:ind w:left="920"/>
              <w:spacing w:after="0"/>
              <w:rPr>
                <w:sz w:val="20"/>
                <w:szCs w:val="20"/>
                <w:color w:val="auto"/>
              </w:rPr>
            </w:pPr>
            <w:r>
              <w:rPr>
                <w:rFonts w:ascii="Arial" w:cs="Arial" w:eastAsia="Arial" w:hAnsi="Arial"/>
                <w:sz w:val="14"/>
                <w:szCs w:val="14"/>
                <w:b w:val="1"/>
                <w:bCs w:val="1"/>
                <w:color w:val="auto"/>
                <w:w w:val="95"/>
              </w:rPr>
              <w:t>Offsetting of Financial and Derivative Liabilities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left="768"/>
              <w:spacing w:after="0" w:line="149" w:lineRule="exact"/>
              <w:rPr>
                <w:sz w:val="20"/>
                <w:szCs w:val="20"/>
                <w:color w:val="auto"/>
              </w:rPr>
            </w:pPr>
            <w:r>
              <w:rPr>
                <w:rFonts w:ascii="Arial" w:cs="Arial" w:eastAsia="Arial" w:hAnsi="Arial"/>
                <w:sz w:val="14"/>
                <w:szCs w:val="14"/>
                <w:b w:val="1"/>
                <w:bCs w:val="1"/>
                <w:color w:val="auto"/>
                <w:w w:val="90"/>
              </w:rPr>
              <w:t>in the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 xml:space="preserve">Pledged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86,266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(77,947)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16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3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59" w:lineRule="auto"/>
        <w:rPr>
          <w:sz w:val="20"/>
          <w:szCs w:val="20"/>
          <w:color w:val="auto"/>
        </w:rPr>
      </w:pPr>
      <w:r>
        <w:rPr>
          <w:rFonts w:ascii="Arial" w:cs="Arial" w:eastAsia="Arial" w:hAnsi="Arial"/>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categorization. The following table provides a summary of our assets and liabilities that are measured at fair value on a recurring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87"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basis as of June 30, 2019 and December 31, 2018 based on their categorization within the valuation hierarchy (in millions). There were no transfers between valuation hierarchy levels during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91,140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82,291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93,387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84,560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corresponding on an index plus or minus a fixed spread which is consistent with fixed spreads demanded in the market. We estimate the fair value of these instruments using "Level 1" or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(Loss) Per Common Share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Basic net income (loss) per common share is computed by dividing net income (loss) available (attributable) to common stockholders by the weighted-average number of common shares outstanding and the weighted-average number of vested but not yet issued restricted stock units and performance share units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based restricted stock units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251" w:lineRule="exact"/>
        <w:rPr>
          <w:sz w:val="20"/>
          <w:szCs w:val="20"/>
          <w:color w:val="auto"/>
        </w:rPr>
      </w:pPr>
    </w:p>
    <w:tbl>
      <w:tblPr>
        <w:tblLayout w:type="fixed"/>
        <w:tblInd w:w="5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0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6"/>
                <w:szCs w:val="16"/>
                <w:color w:val="auto"/>
              </w:rPr>
            </w:pPr>
          </w:p>
        </w:tc>
        <w:tc>
          <w:tcPr>
            <w:tcW w:w="18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6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issued and outstanding</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398.1</w:t>
            </w:r>
          </w:p>
        </w:tc>
      </w:tr>
      <w:tr>
        <w:trPr>
          <w:trHeight w:val="157"/>
        </w:trPr>
        <w:tc>
          <w:tcPr>
            <w:tcW w:w="6320" w:type="dxa"/>
            <w:vAlign w:val="bottom"/>
          </w:tcPr>
          <w:p>
            <w:pPr>
              <w:ind w:left="20"/>
              <w:spacing w:after="0" w:line="157" w:lineRule="exact"/>
              <w:rPr>
                <w:sz w:val="20"/>
                <w:szCs w:val="20"/>
                <w:color w:val="auto"/>
              </w:rPr>
            </w:pPr>
            <w:r>
              <w:rPr>
                <w:rFonts w:ascii="Arial" w:cs="Arial" w:eastAsia="Arial" w:hAnsi="Arial"/>
                <w:sz w:val="14"/>
                <w:szCs w:val="14"/>
                <w:color w:val="auto"/>
                <w:w w:val="98"/>
              </w:rPr>
              <w:t>Weighted average number of fully vested restricted stock units and performance based restricted stock</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units outstanding</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398.2</w:t>
            </w:r>
          </w:p>
        </w:tc>
      </w:tr>
      <w:tr>
        <w:trPr>
          <w:trHeight w:val="157"/>
        </w:trPr>
        <w:tc>
          <w:tcPr>
            <w:tcW w:w="6320" w:type="dxa"/>
            <w:vAlign w:val="bottom"/>
          </w:tcPr>
          <w:p>
            <w:pPr>
              <w:ind w:left="20"/>
              <w:spacing w:after="0" w:line="157" w:lineRule="exact"/>
              <w:rPr>
                <w:sz w:val="20"/>
                <w:szCs w:val="20"/>
                <w:color w:val="auto"/>
              </w:rPr>
            </w:pPr>
            <w:r>
              <w:rPr>
                <w:rFonts w:ascii="Arial" w:cs="Arial" w:eastAsia="Arial" w:hAnsi="Arial"/>
                <w:sz w:val="14"/>
                <w:szCs w:val="14"/>
                <w:color w:val="auto"/>
                <w:w w:val="99"/>
              </w:rPr>
              <w:t>Weighted average number of dilutive unvested restricted stock units and performance based restricted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6320" w:type="dxa"/>
            <w:vAlign w:val="bottom"/>
          </w:tcPr>
          <w:p>
            <w:pPr>
              <w:ind w:left="20"/>
              <w:spacing w:after="0"/>
              <w:rPr>
                <w:sz w:val="20"/>
                <w:szCs w:val="20"/>
                <w:color w:val="auto"/>
              </w:rPr>
            </w:pPr>
            <w:r>
              <w:rPr>
                <w:rFonts w:ascii="Arial" w:cs="Arial" w:eastAsia="Arial" w:hAnsi="Arial"/>
                <w:sz w:val="14"/>
                <w:szCs w:val="14"/>
                <w:color w:val="auto"/>
              </w:rPr>
              <w:t>stock units outstanding</w:t>
            </w:r>
          </w:p>
        </w:tc>
        <w:tc>
          <w:tcPr>
            <w:tcW w:w="2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43"/>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398.4</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699</w:t>
            </w:r>
          </w:p>
        </w:tc>
      </w:tr>
      <w:tr>
        <w:trPr>
          <w:trHeight w:val="21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common share - 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4"/>
                <w:szCs w:val="14"/>
                <w:color w:val="auto"/>
              </w:rPr>
              <w:t>Net income (loss) per common share -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6" w:right="239" w:bottom="1440" w:gutter="0" w:footer="0" w:header="0"/>
          <w:type w:val="continuous"/>
        </w:sectPr>
      </w:pPr>
    </w:p>
    <w:bookmarkStart w:id="23" w:name="page24"/>
    <w:bookmarkEnd w:id="23"/>
    <w:p>
      <w:pPr>
        <w:jc w:val="both"/>
        <w:ind w:right="20" w:firstLine="405"/>
        <w:spacing w:after="0" w:line="264" w:lineRule="auto"/>
        <w:rPr>
          <w:sz w:val="20"/>
          <w:szCs w:val="20"/>
          <w:color w:val="auto"/>
        </w:rPr>
      </w:pPr>
      <w:r>
        <w:rPr>
          <w:rFonts w:ascii="Arial" w:cs="Arial" w:eastAsia="Arial" w:hAnsi="Arial"/>
          <w:sz w:val="18"/>
          <w:szCs w:val="18"/>
          <w:color w:val="auto"/>
        </w:rPr>
        <w:t>For the three and six months ended June 30, 2019, 0.6 million of potentially dilutive unvested restricted stock units and performance based restricted stock units outstanding were excluded from the computation of diluted net income (loss) per common share because to do so would have been anti-dilutive for such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are authorized to designate and issue up to 10.0 million shares of preferred stock in one or more classes or series. As of June 30, 2019 and December 31, 2018, 8,050 shares were designated as 7.750% Series B Cumulative Redeemable Preferred Stock ("Series B Preferred Stock") and 13,800 shares were designated as 7.00% Series C Fixed-to-Floating Rate Cumulative Redeemable Preferred Stock ("Series C Preferred Stock"). During March 2019, we designated an additional 9,400 shares as 6.875% Series D Fixed-to-Floating Rate Cumulative Redeemable Preferred Stock ("Series D Preferred Stock"). Each share of Series B, C, and D Preferred Stock is represented by 1,000 depositary shares.</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such shares will be redeemable at $25.00 per depositary share, plus accumulated and unpaid dividends (whether or not declared), exclusively at our option.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preferred stock issued and outstanding as of June 30, 2019 (dollars and shares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Depositary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Fixed-to-Floating</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Issued</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90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Liquidation</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Fixed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Redemption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Conversion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Floating</w:t>
            </w:r>
          </w:p>
        </w:tc>
        <w:tc>
          <w:tcPr>
            <w:tcW w:w="0" w:type="dxa"/>
            <w:vAlign w:val="bottom"/>
          </w:tcPr>
          <w:p>
            <w:pPr>
              <w:spacing w:after="0"/>
              <w:rPr>
                <w:sz w:val="1"/>
                <w:szCs w:val="1"/>
                <w:color w:val="auto"/>
              </w:rPr>
            </w:pPr>
          </w:p>
        </w:tc>
      </w:tr>
      <w:tr>
        <w:trPr>
          <w:trHeight w:val="188"/>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8"/>
              </w:rPr>
              <w:t>Preference</w:t>
            </w: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Date </w:t>
            </w:r>
            <w:r>
              <w:rPr>
                <w:rFonts w:ascii="Arial" w:cs="Arial" w:eastAsia="Arial" w:hAnsi="Arial"/>
                <w:sz w:val="11"/>
                <w:szCs w:val="11"/>
                <w:b w:val="1"/>
                <w:bCs w:val="1"/>
                <w:color w:val="auto"/>
                <w:w w:val="89"/>
              </w:rPr>
              <w:t>2</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Annual Rate</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960" w:type="dxa"/>
            <w:vAlign w:val="bottom"/>
            <w:gridSpan w:val="2"/>
          </w:tcPr>
          <w:p>
            <w:pPr>
              <w:ind w:left="180"/>
              <w:spacing w:after="0"/>
              <w:rPr>
                <w:sz w:val="20"/>
                <w:szCs w:val="20"/>
                <w:color w:val="auto"/>
              </w:rPr>
            </w:pPr>
            <w:r>
              <w:rPr>
                <w:rFonts w:ascii="Arial" w:cs="Arial" w:eastAsia="Arial" w:hAnsi="Arial"/>
                <w:sz w:val="14"/>
                <w:szCs w:val="14"/>
                <w:color w:val="auto"/>
              </w:rPr>
              <w:t>Series B</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May 8, 2014</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175</w:t>
            </w:r>
          </w:p>
        </w:tc>
        <w:tc>
          <w:tcPr>
            <w:tcW w:w="1000" w:type="dxa"/>
            <w:vAlign w:val="bottom"/>
          </w:tcPr>
          <w:p>
            <w:pPr>
              <w:jc w:val="center"/>
              <w:ind w:left="30"/>
              <w:spacing w:after="0"/>
              <w:rPr>
                <w:sz w:val="20"/>
                <w:szCs w:val="20"/>
                <w:color w:val="auto"/>
              </w:rPr>
            </w:pPr>
            <w:r>
              <w:rPr>
                <w:rFonts w:ascii="Arial" w:cs="Arial" w:eastAsia="Arial" w:hAnsi="Arial"/>
                <w:sz w:val="14"/>
                <w:szCs w:val="14"/>
                <w:color w:val="auto"/>
                <w:w w:val="88"/>
              </w:rPr>
              <w:t>7.750%</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May 8, 2019</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Fixed-to-Floating Rate </w:t>
            </w:r>
            <w:r>
              <w:rPr>
                <w:rFonts w:ascii="Arial" w:cs="Arial" w:eastAsia="Arial" w:hAnsi="Arial"/>
                <w:sz w:val="11"/>
                <w:szCs w:val="11"/>
                <w:b w:val="1"/>
                <w:bCs w:val="1"/>
                <w:color w:val="auto"/>
              </w:rPr>
              <w:t>1</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960" w:type="dxa"/>
            <w:vAlign w:val="bottom"/>
            <w:gridSpan w:val="2"/>
            <w:vMerge w:val="restart"/>
          </w:tcPr>
          <w:p>
            <w:pPr>
              <w:ind w:left="180"/>
              <w:spacing w:after="0"/>
              <w:rPr>
                <w:sz w:val="20"/>
                <w:szCs w:val="20"/>
                <w:color w:val="auto"/>
              </w:rPr>
            </w:pPr>
            <w:r>
              <w:rPr>
                <w:rFonts w:ascii="Arial" w:cs="Arial" w:eastAsia="Arial" w:hAnsi="Arial"/>
                <w:sz w:val="14"/>
                <w:szCs w:val="14"/>
                <w:color w:val="auto"/>
              </w:rPr>
              <w:t>Series C</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August 22, 2017</w:t>
            </w:r>
          </w:p>
        </w:tc>
        <w:tc>
          <w:tcPr>
            <w:tcW w:w="1040" w:type="dxa"/>
            <w:vAlign w:val="bottom"/>
            <w:vMerge w:val="restart"/>
          </w:tcPr>
          <w:p>
            <w:pPr>
              <w:jc w:val="right"/>
              <w:ind w:right="5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325</w:t>
            </w:r>
          </w:p>
        </w:tc>
        <w:tc>
          <w:tcPr>
            <w:tcW w:w="1000" w:type="dxa"/>
            <w:vAlign w:val="bottom"/>
            <w:vMerge w:val="restart"/>
          </w:tcPr>
          <w:p>
            <w:pPr>
              <w:jc w:val="center"/>
              <w:ind w:left="30"/>
              <w:spacing w:after="0"/>
              <w:rPr>
                <w:sz w:val="20"/>
                <w:szCs w:val="20"/>
                <w:color w:val="auto"/>
              </w:rPr>
            </w:pPr>
            <w:r>
              <w:rPr>
                <w:rFonts w:ascii="Arial" w:cs="Arial" w:eastAsia="Arial" w:hAnsi="Arial"/>
                <w:sz w:val="14"/>
                <w:szCs w:val="14"/>
                <w:color w:val="auto"/>
                <w:w w:val="88"/>
              </w:rPr>
              <w:t>7.000%</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8"/>
              </w:rPr>
              <w:t>October 15, 2022</w:t>
            </w: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88"/>
              </w:rPr>
              <w:t>5.111%</w:t>
            </w:r>
          </w:p>
        </w:tc>
        <w:tc>
          <w:tcPr>
            <w:tcW w:w="0" w:type="dxa"/>
            <w:vAlign w:val="bottom"/>
          </w:tcPr>
          <w:p>
            <w:pPr>
              <w:spacing w:after="0"/>
              <w:rPr>
                <w:sz w:val="1"/>
                <w:szCs w:val="1"/>
                <w:color w:val="auto"/>
              </w:rPr>
            </w:pPr>
          </w:p>
        </w:tc>
      </w:tr>
      <w:tr>
        <w:trPr>
          <w:trHeight w:val="87"/>
        </w:trPr>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6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12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9"/>
              </w:rPr>
              <w:t>March 6, 2019</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235</w:t>
            </w:r>
          </w:p>
        </w:tc>
        <w:tc>
          <w:tcPr>
            <w:tcW w:w="1000" w:type="dxa"/>
            <w:vAlign w:val="bottom"/>
            <w:vMerge w:val="restart"/>
            <w:shd w:val="clear" w:color="auto" w:fill="CCEEFF"/>
          </w:tcPr>
          <w:p>
            <w:pPr>
              <w:jc w:val="center"/>
              <w:ind w:left="30"/>
              <w:spacing w:after="0"/>
              <w:rPr>
                <w:sz w:val="20"/>
                <w:szCs w:val="20"/>
                <w:color w:val="auto"/>
              </w:rPr>
            </w:pPr>
            <w:r>
              <w:rPr>
                <w:rFonts w:ascii="Arial" w:cs="Arial" w:eastAsia="Arial" w:hAnsi="Arial"/>
                <w:sz w:val="14"/>
                <w:szCs w:val="14"/>
                <w:color w:val="auto"/>
                <w:w w:val="88"/>
              </w:rPr>
              <w:t>6.875%</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2"/>
              </w:rPr>
              <w:t>April 15, 2024</w:t>
            </w: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April 15, 2024</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3M LIBOR +</w:t>
            </w:r>
          </w:p>
        </w:tc>
        <w:tc>
          <w:tcPr>
            <w:tcW w:w="0" w:type="dxa"/>
            <w:vAlign w:val="bottom"/>
          </w:tcPr>
          <w:p>
            <w:pPr>
              <w:spacing w:after="0"/>
              <w:rPr>
                <w:sz w:val="1"/>
                <w:szCs w:val="1"/>
                <w:color w:val="auto"/>
              </w:rPr>
            </w:pPr>
          </w:p>
        </w:tc>
      </w:tr>
      <w:tr>
        <w:trPr>
          <w:trHeight w:val="97"/>
        </w:trPr>
        <w:tc>
          <w:tcPr>
            <w:tcW w:w="196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4.332%</w:t>
            </w:r>
          </w:p>
        </w:tc>
        <w:tc>
          <w:tcPr>
            <w:tcW w:w="0" w:type="dxa"/>
            <w:vAlign w:val="bottom"/>
          </w:tcPr>
          <w:p>
            <w:pPr>
              <w:spacing w:after="0"/>
              <w:rPr>
                <w:sz w:val="1"/>
                <w:szCs w:val="1"/>
                <w:color w:val="auto"/>
              </w:rPr>
            </w:pPr>
          </w:p>
        </w:tc>
      </w:tr>
      <w:tr>
        <w:trPr>
          <w:trHeight w:val="87"/>
        </w:trPr>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96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735</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24765</wp:posOffset>
            </wp:positionV>
            <wp:extent cx="211836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60" w:hanging="328"/>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May 2018, we completed a public offering in which 34.5 million shares of our common stock were sold to the underwriters for proceeds of $633 million, or $18.35 per common share, net of offering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through June 14, 2021. During the three and six months ended June 30, 2019, we sold 11.4 million shares of our common stock under the sales agreements for proceeds of $190 million, or $16.67 per common share, net of offering costs. During the three and six months ended June 30, 2018, we sold 8.3 million shares of our common stock under the sales agreements for proceeds of $155 million, or $18.73 per common share, net of offering costs. As of June 30, 2019, shares of our common stock with an aggregate offering price of $466 million remained authorized for issuance under this program.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and six months ended June 30, 2019 and 2018 (in millions):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80" w:type="dxa"/>
            <w:vAlign w:val="bottom"/>
          </w:tcPr>
          <w:p>
            <w:pPr>
              <w:spacing w:after="0"/>
              <w:rPr>
                <w:sz w:val="14"/>
                <w:szCs w:val="14"/>
                <w:color w:val="auto"/>
              </w:rPr>
            </w:pPr>
          </w:p>
        </w:tc>
        <w:tc>
          <w:tcPr>
            <w:tcW w:w="178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1"/>
              </w:rPr>
              <w:t>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84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(543)</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57"/>
        </w:trPr>
        <w:tc>
          <w:tcPr>
            <w:tcW w:w="584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(Gain) loss amounts for available-for-sale securities reclassified from accumulated OCI to</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realized gain (loss) on sale of investment securities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43"/>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 Declaration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July 11, 2019, our Board of Directors declared a monthly dividend of $0.16 per common share payable on August 9, 2019 to common stockholders of record as of July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July 2019, our Board of Directors authorized the repurchase of up to $1 billion of the outstanding shares of our common stock through December 31, 2020. We may repurchase shares in the open market or through privately negotiated transactions or pursuant to a trading plan that may be adopted in accordance with Rule 10b5-1 of the Securities and Exchange Act of 1934, as amended. We intend to repurchase shares under the stock repurchase program only when the repurchase price is less than our then-current estimate of our tangible net book value per common share.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2019.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an internally-managed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a REIT, we are required to distribute annually 90% of our taxable income.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9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also invest in other types of mortgage and mortgage-related residential and commercial mortgage-backed securities where repayment of principal and interest is not guaranteed by a GSE or U.S. Government agency and in other investments in, or related to, the housing, mortgage or real estate markets.</w:t>
      </w:r>
    </w:p>
    <w:p>
      <w:pPr>
        <w:spacing w:after="0" w:line="11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first half of 2019, weaker global economic growth, ongoing trade uncertainty, and benign inflation indicators led to a sharp decline in U.S. Treasury and swap rates as many major central banks signaled the possibility of short-term rate cuts and other forms of monetary policy accommodation. Consistent with this global theme, the U.S. Federal Reserve (the "Fed") pivoted sharply from its campaign of raising short-term interest rates, most recently in December 2018, and indicated the potential for rate cuts in 2019. On July 31, 2019, the Fed affirmed market expectations and cut its benchmark short-term interest rate by a quarter-percentage point, the first reduction since 2008. The Fed also announced that it would suspend the runoff of its U.S. Treasury portfolio and redeploy paydowns from its Agency RMBS portfolio into treasury securities beginning in August 2019, thus maintaining a larger balance sheet than the market previously expected.</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 equities and other risk assets performed well during the first half of the year as the expectations of greater central bank accommodation outweighed concerns over global economic weakness. The performance of Agency RMBS, however, was mixed during the first half of the year. They outperformed U.S. Treasury and interest rate swap hedges in the first quarter but underperformed in the second quarter due to elevated prepayment concerns and an inversion of the front end of the yield curve.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The performance of Agency RMBS relative to our hedges drove the changes in our tangible net book value per common share of +4.0% and -3.8% for the first and second quarters, respectively. Combined with the dividends declared per common share, our economic return on tangible common equity was +7.3% and -0.9% for the first and second quarters, respectively.</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net spread and dollar roll income was $0.52 and $0.49 per common share for the first and second quarters of 2019, respectively, excluding "catch-up" premium amortization cost associated with changes in projected CPR estimates. The sequential quarterly declines of $0.01 and $0.03 per common share in our net spread and dollar roll income were due in large part to greater premium amortization expense stemming from lower rates and correspondingly faster prepayment expectations, as well as elevated funding costs, particularly relative to our swap hedges. Our net interest spread, which represents the difference in yield on our assets (excluding “catch-up” amortization and including TBA securities) and our cost of funds, was 1.06% and 1.00%, for the first and second quarters, respectively. Our tangible net book value "at risk" leverage increased to 9.4x and 9.8x as of March 31 and June 30, 2019, respectively, from 9.0x as of December 31, 2018.</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Forecasted lifetime CPRs increased during the first half of the year, to 12.4% as of June 30, 2019 from 7.9% as of December 31, 2018, primarily resulting from the decline in interest rates. Our actual CPRs increased by a lesser degree, to an average of 10.0% for the second quarter, which, due to the favorable prepayment characteristics of the majority of our holdings, was well below prepayment speeds observed on generic, higher coupon Agency RMBS. In the current faster prepayment environment, we believe asset selection will be an important driver of overall performance. Consequently, for investments in coupons most exposed to prepayment risk, our holdings, as of June 30, 2019, reflect a larger concentration of specified pools, which we believe have a lower likelihood of prepayment than more generic Agency pools, and our TBA holdings primarily consist of lower coupon pools less susceptible to prepayment risk.</w:t>
      </w:r>
    </w:p>
    <w:p>
      <w:pPr>
        <w:spacing w:after="0" w:line="1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funding costs associated with our repurchase agreements were largely unchanged over the first half of 2019, averaging 2.64% and 2.62% for the first and second quarters, respectively, despite significant declines in 3-month LIBOR and other short-term benchmark rates over the same period, which repriced to reflect the shift in the Fed’s stance toward greater monetary policy accommodation. Our total cost of funds, which includes the cost of repurchase agreements, the implied funding costs of TBA securities and periodic interest settlements associated with our interest rate swap hedges, was 2.27% and 2.24% for the first and second quarters, respectively.</w:t>
      </w:r>
    </w:p>
    <w:p>
      <w:pPr>
        <w:spacing w:after="0" w:line="13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During the first quarter, we reduced our interest rate hedge portfolio to 77% of our funding liabilities as of March 31, 2019, from 94% as December 31, 2018 in response to the sharp decline in interest rates. Following a material repricing in the swap market late in the second quarter, we significantly altered the size and composition of our hedge portfolio to effectively lock-in more attractive funding levels. During the second quarter, we increased our swap portfolio by $26.8 billion through the addition of shorter-term swaps and reduced our U.S. Treasury hedges by $12.5 billion. The aggregate duration of our assets declined to less than three years as of June 30, 2019, and, as a result, we also added incremental option protection against extension risk in the form of payer swaptions. In aggregate, our interest rate hedge portfolio was 91% of our funding liabilities as of June 30, 2019. Given the changes that we made to our hedge portfolio, our duration gap, which is a measure of risk from mismatches between the interest sensitivity of our assets and liabilities, remained relatively stable at 0.2 years and -0.1 years for the first and second quarters of 2019, respectively, despite the significant rally in interest rates and corresponding reduction in our asset duration. For additional information regarding our interest rate and spread sensitivity please refer to Item 3.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of this Form 10-Q.</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 30,</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 31,</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 31,</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June 30, 2019</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 31, 2019</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 31, 2018</w:t>
            </w:r>
          </w:p>
        </w:tc>
        <w:tc>
          <w:tcPr>
            <w:tcW w:w="0" w:type="dxa"/>
            <w:vAlign w:val="bottom"/>
          </w:tcPr>
          <w:p>
            <w:pPr>
              <w:spacing w:after="0"/>
              <w:rPr>
                <w:sz w:val="1"/>
                <w:szCs w:val="1"/>
                <w:color w:val="auto"/>
              </w:rPr>
            </w:pPr>
          </w:p>
        </w:tc>
      </w:tr>
      <w:tr>
        <w:trPr>
          <w:trHeight w:val="27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2.09%</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2.26%</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2.50%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2.49%</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2.40%</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-0.09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-0.10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2.32%</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-0.28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-0.49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-0.51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-0.74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2.74%</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2.95%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2.51%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2.23%</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-0.46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-0.74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-0.40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-0.67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2.99%</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3.21%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3.01%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2.81%</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-0.28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-0.48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2.79%</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2.99%</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2.66%</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2.38%</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1.81%</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-0.57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-0.85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-0.51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-0.80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640" w:type="dxa"/>
            <w:vAlign w:val="bottom"/>
          </w:tcPr>
          <w:p>
            <w:pPr>
              <w:jc w:val="center"/>
              <w:spacing w:after="0"/>
              <w:rPr>
                <w:sz w:val="20"/>
                <w:szCs w:val="20"/>
                <w:color w:val="auto"/>
              </w:rPr>
            </w:pPr>
            <w:r>
              <w:rPr>
                <w:rFonts w:ascii="Arial" w:cs="Arial" w:eastAsia="Arial" w:hAnsi="Arial"/>
                <w:sz w:val="14"/>
                <w:szCs w:val="14"/>
                <w:color w:val="auto"/>
                <w:w w:val="95"/>
              </w:rPr>
              <w:t>2.93%</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2.71%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2.41%</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1.96%</w:t>
            </w: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-0.45 bps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-0.75 bps</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-0.37 bps</w:t>
            </w: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-0.63 bps</w:t>
            </w:r>
          </w:p>
        </w:tc>
        <w:tc>
          <w:tcPr>
            <w:tcW w:w="0" w:type="dxa"/>
            <w:vAlign w:val="bottom"/>
          </w:tcPr>
          <w:p>
            <w:pPr>
              <w:spacing w:after="0"/>
              <w:rPr>
                <w:sz w:val="1"/>
                <w:szCs w:val="1"/>
                <w:color w:val="auto"/>
              </w:rPr>
            </w:pPr>
          </w:p>
        </w:tc>
      </w:tr>
      <w:tr>
        <w:trPr>
          <w:trHeight w:val="264"/>
        </w:trPr>
        <w:tc>
          <w:tcPr>
            <w:tcW w:w="314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$96.86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$95.67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$97.54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$99.55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$100.84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$99.52</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$98.41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$99.95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$101.35</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$102.24</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$101.94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$103.36</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$104.13</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$103.16</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$103.53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$104.20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$104.49</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276"/>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$97.22</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$96.47</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$97.70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$99.39</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$100.67</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$99.41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$98.77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$100.89</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$101.95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3040" w:type="dxa"/>
            <w:vAlign w:val="bottom"/>
          </w:tcPr>
          <w:p>
            <w:pPr>
              <w:ind w:left="2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$101.16</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$100.51</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$101.23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$102.28</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$103.20</w:t>
            </w:r>
          </w:p>
        </w:tc>
        <w:tc>
          <w:tcPr>
            <w:tcW w:w="100" w:type="dxa"/>
            <w:vAlign w:val="bottom"/>
          </w:tcPr>
          <w:p>
            <w:pPr>
              <w:spacing w:after="0"/>
              <w:rPr>
                <w:sz w:val="22"/>
                <w:szCs w:val="22"/>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+$0.92</w:t>
            </w:r>
          </w:p>
        </w:tc>
        <w:tc>
          <w:tcPr>
            <w:tcW w:w="120" w:type="dxa"/>
            <w:vAlign w:val="bottom"/>
          </w:tcPr>
          <w:p>
            <w:pPr>
              <w:spacing w:after="0"/>
              <w:rPr>
                <w:sz w:val="22"/>
                <w:szCs w:val="22"/>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6"/>
        </w:trPr>
        <w:tc>
          <w:tcPr>
            <w:tcW w:w="3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$102.34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$103.84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+$0.84</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6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June 30, 2019 and December 31, 2018, our investment portfolio consisted of $93.3 billion and $84.3 billion of investment securities, at fair value, respectively, and $11.2 billion and $7.3 billion of TBA securities, at fair value, respectively. The following table is a summary of our investment portfolio as of June 30, 2019 and December 31, 2018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2"/>
              </w:rPr>
              <w:t>June 30, 2019</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Investment Portfolio (Includes TBAs) </w:t>
            </w:r>
            <w:r>
              <w:rPr>
                <w:rFonts w:ascii="Arial" w:cs="Arial" w:eastAsia="Arial" w:hAnsi="Arial"/>
                <w:sz w:val="8"/>
                <w:szCs w:val="8"/>
                <w:b w:val="1"/>
                <w:bCs w:val="1"/>
                <w:color w:val="auto"/>
              </w:rPr>
              <w:t>1</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8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81,566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82,714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74,883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73,685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7,905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7,968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3,649</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89,471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90,682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78,500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77,334</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100,470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101,797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90,299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89,075</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Multifamily</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CMO</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101,362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102,721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91,271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90,049</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91,609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For further details of our TBA securities refer to Note 6 of the accompanying consolidated financial statements.</w:t>
      </w:r>
    </w:p>
    <w:p>
      <w:pPr>
        <w:spacing w:after="0" w:line="1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June 30, 2019 and December 31, 2018, our TBA positions had a net carrying value of $84 million and $70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2019 and December 31, 2018, the weighted average yield on our investment securities (excluding TBA securities) was 3.21% and 3.31%,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June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2019</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ind w:left="180"/>
              <w:spacing w:after="0" w:line="139" w:lineRule="exact"/>
              <w:rPr>
                <w:sz w:val="20"/>
                <w:szCs w:val="20"/>
                <w:color w:val="auto"/>
              </w:rPr>
            </w:pPr>
            <w:r>
              <w:rPr>
                <w:rFonts w:ascii="Arial" w:cs="Arial" w:eastAsia="Arial" w:hAnsi="Arial"/>
                <w:sz w:val="14"/>
                <w:szCs w:val="14"/>
                <w:b w:val="1"/>
                <w:bCs w:val="1"/>
                <w:color w:val="auto"/>
              </w:rPr>
              <w:t>Specified</w:t>
            </w:r>
          </w:p>
        </w:tc>
        <w:tc>
          <w:tcPr>
            <w:tcW w:w="220" w:type="dxa"/>
            <w:vAlign w:val="bottom"/>
          </w:tcPr>
          <w:p>
            <w:pPr>
              <w:spacing w:after="0"/>
              <w:rPr>
                <w:sz w:val="4"/>
                <w:szCs w:val="4"/>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2,851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1,578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4.60%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89%</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5.95%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9,493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31,848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32,673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32,901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32,797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14,811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15,175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50%</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109.7%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6.17%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152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86,672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89,471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90,682</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62%</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4.44%</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97,438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100,470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101,797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4.39%</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Specified pools include pools backed by lower balance loans with original loan balances of up to $200K, HARP pools (defined as pools backed by 100% refinance loans with original LTVs ≥ 80% issued between May 2009 and September 2017), and pools backed by loans 100% originated in New York and Puerto Rico. As of June 30, 2019, lower balance specified pools have a weighted average original loan balance of $113,000 and $118,000 for 15-year and 30-year securities, respectively, and HARP specified pools have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June 30, 2019.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ind w:left="180"/>
              <w:spacing w:after="0" w:line="139" w:lineRule="exact"/>
              <w:rPr>
                <w:sz w:val="20"/>
                <w:szCs w:val="20"/>
                <w:color w:val="auto"/>
              </w:rPr>
            </w:pPr>
            <w:r>
              <w:rPr>
                <w:rFonts w:ascii="Arial" w:cs="Arial" w:eastAsia="Arial" w:hAnsi="Arial"/>
                <w:sz w:val="14"/>
                <w:szCs w:val="14"/>
                <w:b w:val="1"/>
                <w:bCs w:val="1"/>
                <w:color w:val="auto"/>
                <w:w w:val="99"/>
              </w:rPr>
              <w:t>Specified</w:t>
            </w: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2</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xml:space="preserve">Pool % </w:t>
            </w:r>
            <w:r>
              <w:rPr>
                <w:rFonts w:ascii="Arial" w:cs="Arial" w:eastAsia="Arial" w:hAnsi="Arial"/>
                <w:sz w:val="8"/>
                <w:szCs w:val="8"/>
                <w:b w:val="1"/>
                <w:bCs w:val="1"/>
                <w:color w:val="auto"/>
              </w:rPr>
              <w:t>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75%</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101.7%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43%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40%</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99%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54%</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91%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100%</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8"/>
              </w:rPr>
              <w:t>—%</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5.94%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89%</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100.1%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23,258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22,496</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71%</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38,147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61%</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13,361</w:t>
            </w:r>
          </w:p>
        </w:tc>
        <w:tc>
          <w:tcPr>
            <w:tcW w:w="100" w:type="dxa"/>
            <w:vAlign w:val="bottom"/>
          </w:tcPr>
          <w:p>
            <w:pPr>
              <w:spacing w:after="0"/>
              <w:rPr>
                <w:sz w:val="22"/>
                <w:szCs w:val="22"/>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69%</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104.7%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117%</w:t>
            </w:r>
          </w:p>
        </w:tc>
        <w:tc>
          <w:tcPr>
            <w:tcW w:w="132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2"/>
              </w:rPr>
              <w:t>49%</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110.5%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6.17%</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78,500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77,334</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2"/>
              </w:rPr>
              <w:t>63%</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4.41%</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87,418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90,299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89,075</w:t>
            </w:r>
          </w:p>
        </w:tc>
        <w:tc>
          <w:tcPr>
            <w:tcW w:w="100" w:type="dxa"/>
            <w:vAlign w:val="bottom"/>
          </w:tcPr>
          <w:p>
            <w:pPr>
              <w:spacing w:after="0"/>
              <w:rPr>
                <w:sz w:val="21"/>
                <w:szCs w:val="21"/>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2"/>
              </w:rPr>
              <w:t>62%</w:t>
            </w:r>
          </w:p>
        </w:tc>
        <w:tc>
          <w:tcPr>
            <w:tcW w:w="1320" w:type="dxa"/>
            <w:vAlign w:val="bottom"/>
            <w:gridSpan w:val="3"/>
          </w:tcPr>
          <w:p>
            <w:pPr>
              <w:jc w:val="center"/>
              <w:ind w:left="22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4.36%</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right="20" w:hanging="648"/>
        <w:spacing w:after="0" w:line="247"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 1 of preceding table for specified pool composition. As of December 31, 2018, lower balance specified pools have a weighted average original loan balance of $102,000 and $113,000 for 15-year and 30-year securities, respectively, and HARP specified pools have a weighted average original LTV of 119% and 136% for 15-year and 30-year securities, respectively.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based on forward rate assumptions as of December 31, 2018.</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and December 31, 2018,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2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 As of June 30, 2019, our CRT securities had floating and fixed rate coupons ranging from 3.0% to 8.8%, referenced to loans originated between 2011 and 2018 with weighted average coupons ranging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68"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3.7% to 4.9%. As of December 31, 2018, our CRT securities had floating rate coupons ranging from 3.9% to 9.5%, referenced to loans originated between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 and 2018 with weighted average coupons ranging from 3.8% to 4.8%.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 net of management fee income (GAAP measure), adjusted, as applicable, to exclude one-time expenses and non-recurring termination fee income recognized in connection with the sale of MTGE Investment Corp. and corresponding termination of the Company's management agreement with MTGE.</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June 30, 2019 and December 31, 2018 and our condensed consolidated statements of comprehensive income and key statistics for the three and six months ended June 30, 2019 and 2018 (in millions, except per share amounts):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7000" w:type="dxa"/>
            <w:vAlign w:val="bottom"/>
            <w:gridSpan w:val="3"/>
          </w:tcPr>
          <w:p>
            <w:pPr>
              <w:ind w:left="40"/>
              <w:spacing w:after="0"/>
              <w:rPr>
                <w:sz w:val="20"/>
                <w:szCs w:val="20"/>
                <w:color w:val="auto"/>
              </w:rPr>
            </w:pPr>
            <w:r>
              <w:rPr>
                <w:rFonts w:ascii="Arial" w:cs="Arial" w:eastAsia="Arial" w:hAnsi="Arial"/>
                <w:sz w:val="14"/>
                <w:szCs w:val="14"/>
                <w:b w:val="1"/>
                <w:bCs w:val="1"/>
                <w:color w:val="auto"/>
              </w:rPr>
              <w:t>($ in Millions, Except Per Share Amounts)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6"/>
        </w:trPr>
        <w:tc>
          <w:tcPr>
            <w:tcW w:w="7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December 31, 2018</w:t>
            </w:r>
          </w:p>
        </w:tc>
      </w:tr>
      <w:tr>
        <w:trPr>
          <w:trHeight w:val="223"/>
        </w:trPr>
        <w:tc>
          <w:tcPr>
            <w:tcW w:w="7000" w:type="dxa"/>
            <w:vAlign w:val="bottom"/>
            <w:gridSpan w:val="3"/>
          </w:tcPr>
          <w:p>
            <w:pPr>
              <w:ind w:left="40"/>
              <w:spacing w:after="0"/>
              <w:rPr>
                <w:sz w:val="20"/>
                <w:szCs w:val="20"/>
                <w:color w:val="auto"/>
              </w:rPr>
            </w:pPr>
            <w:r>
              <w:rPr>
                <w:rFonts w:ascii="Arial" w:cs="Arial" w:eastAsia="Arial" w:hAnsi="Arial"/>
                <w:sz w:val="16"/>
                <w:szCs w:val="16"/>
                <w:color w:val="auto"/>
              </w:rPr>
              <w:t>Investment securities, at fair value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93,271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84,287</w:t>
            </w:r>
          </w:p>
        </w:tc>
      </w:tr>
      <w:tr>
        <w:trPr>
          <w:trHeight w:val="33"/>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106,576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109,241</w:t>
            </w:r>
          </w:p>
        </w:tc>
      </w:tr>
      <w:tr>
        <w:trPr>
          <w:trHeight w:val="237"/>
        </w:trPr>
        <w:tc>
          <w:tcPr>
            <w:tcW w:w="7000" w:type="dxa"/>
            <w:vAlign w:val="bottom"/>
            <w:gridSpan w:val="3"/>
          </w:tcPr>
          <w:p>
            <w:pPr>
              <w:ind w:left="40"/>
              <w:spacing w:after="0"/>
              <w:rPr>
                <w:sz w:val="20"/>
                <w:szCs w:val="20"/>
                <w:color w:val="auto"/>
              </w:rPr>
            </w:pPr>
            <w:r>
              <w:rPr>
                <w:rFonts w:ascii="Arial" w:cs="Arial" w:eastAsia="Arial" w:hAnsi="Arial"/>
                <w:sz w:val="16"/>
                <w:szCs w:val="16"/>
                <w:color w:val="auto"/>
              </w:rPr>
              <w:t>Repurchase agreements and other debt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86,517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75,992</w:t>
            </w:r>
          </w:p>
        </w:tc>
      </w:tr>
      <w:tr>
        <w:trPr>
          <w:trHeight w:val="33"/>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96,230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99,335</w:t>
            </w:r>
          </w:p>
        </w:tc>
      </w:tr>
      <w:tr>
        <w:trPr>
          <w:trHeight w:val="237"/>
        </w:trPr>
        <w:tc>
          <w:tcPr>
            <w:tcW w:w="7000" w:type="dxa"/>
            <w:vAlign w:val="bottom"/>
            <w:gridSpan w:val="3"/>
          </w:tcPr>
          <w:p>
            <w:pPr>
              <w:ind w:left="40"/>
              <w:spacing w:after="0"/>
              <w:rPr>
                <w:sz w:val="20"/>
                <w:szCs w:val="20"/>
                <w:color w:val="auto"/>
              </w:rPr>
            </w:pPr>
            <w:r>
              <w:rPr>
                <w:rFonts w:ascii="Arial" w:cs="Arial" w:eastAsia="Arial" w:hAnsi="Arial"/>
                <w:sz w:val="16"/>
                <w:szCs w:val="16"/>
                <w:color w:val="auto"/>
              </w:rPr>
              <w:t>Total stockholders' equity</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9,906</w:t>
            </w:r>
          </w:p>
        </w:tc>
      </w:tr>
      <w:tr>
        <w:trPr>
          <w:trHeight w:val="33"/>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17.54</w:t>
            </w:r>
          </w:p>
        </w:tc>
      </w:tr>
      <w:tr>
        <w:trPr>
          <w:trHeight w:val="311"/>
        </w:trPr>
        <w:tc>
          <w:tcPr>
            <w:tcW w:w="7000" w:type="dxa"/>
            <w:vAlign w:val="bottom"/>
            <w:gridSpan w:val="3"/>
          </w:tcPr>
          <w:p>
            <w:pPr>
              <w:ind w:left="4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16.56</w:t>
            </w:r>
          </w:p>
        </w:tc>
      </w:tr>
      <w:tr>
        <w:trPr>
          <w:trHeight w:val="358"/>
        </w:trPr>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4"/>
              </w:rPr>
              <w:t>Three Months Ended June 30,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Statement of Comprehensive Income Data</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r>
      <w:tr>
        <w:trPr>
          <w:trHeight w:val="256"/>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845</w:t>
            </w:r>
          </w:p>
        </w:tc>
      </w:tr>
      <w:tr>
        <w:trPr>
          <w:trHeight w:val="264"/>
        </w:trPr>
        <w:tc>
          <w:tcPr>
            <w:tcW w:w="70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237</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443</w:t>
            </w:r>
          </w:p>
        </w:tc>
      </w:tr>
      <w:tr>
        <w:trPr>
          <w:trHeight w:val="25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r>
      <w:tr>
        <w:trPr>
          <w:trHeight w:val="250"/>
        </w:trPr>
        <w:tc>
          <w:tcPr>
            <w:tcW w:w="7000" w:type="dxa"/>
            <w:vAlign w:val="bottom"/>
            <w:gridSpan w:val="3"/>
          </w:tcPr>
          <w:p>
            <w:pPr>
              <w:ind w:left="40"/>
              <w:spacing w:after="0"/>
              <w:rPr>
                <w:sz w:val="20"/>
                <w:szCs w:val="20"/>
                <w:color w:val="auto"/>
              </w:rPr>
            </w:pPr>
            <w:r>
              <w:rPr>
                <w:rFonts w:ascii="Arial" w:cs="Arial" w:eastAsia="Arial" w:hAnsi="Arial"/>
                <w:sz w:val="14"/>
                <w:szCs w:val="14"/>
                <w:color w:val="auto"/>
              </w:rPr>
              <w:t>Other gain (loss), net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134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351</w:t>
            </w:r>
          </w:p>
        </w:tc>
      </w:tr>
      <w:tr>
        <w:trPr>
          <w:trHeight w:val="27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50"/>
        </w:trPr>
        <w:tc>
          <w:tcPr>
            <w:tcW w:w="7000" w:type="dxa"/>
            <w:vAlign w:val="bottom"/>
            <w:gridSpan w:val="3"/>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293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717</w:t>
            </w:r>
          </w:p>
        </w:tc>
      </w:tr>
      <w:tr>
        <w:trPr>
          <w:trHeight w:val="27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 on preferred stock</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96"/>
        </w:trPr>
        <w:tc>
          <w:tcPr>
            <w:tcW w:w="7000" w:type="dxa"/>
            <w:vAlign w:val="bottom"/>
            <w:gridSpan w:val="3"/>
          </w:tcPr>
          <w:p>
            <w:pPr>
              <w:ind w:left="40"/>
              <w:spacing w:after="0"/>
              <w:rPr>
                <w:sz w:val="20"/>
                <w:szCs w:val="20"/>
                <w:color w:val="auto"/>
              </w:rPr>
            </w:pPr>
            <w:r>
              <w:rPr>
                <w:rFonts w:ascii="Arial" w:cs="Arial" w:eastAsia="Arial" w:hAnsi="Arial"/>
                <w:sz w:val="14"/>
                <w:szCs w:val="14"/>
                <w:color w:val="auto"/>
              </w:rPr>
              <w:t>Net income (loss) available (attributable) to common stockholders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284</w:t>
            </w:r>
          </w:p>
        </w:tc>
        <w:tc>
          <w:tcPr>
            <w:tcW w:w="3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699</w:t>
            </w:r>
          </w:p>
        </w:tc>
      </w:tr>
      <w:tr>
        <w:trPr>
          <w:trHeight w:val="278"/>
        </w:trPr>
        <w:tc>
          <w:tcPr>
            <w:tcW w:w="67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r>
      <w:tr>
        <w:trPr>
          <w:trHeight w:val="264"/>
        </w:trPr>
        <w:tc>
          <w:tcPr>
            <w:tcW w:w="7000" w:type="dxa"/>
            <w:vAlign w:val="bottom"/>
            <w:gridSpan w:val="3"/>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293</w:t>
            </w:r>
          </w:p>
        </w:tc>
        <w:tc>
          <w:tcPr>
            <w:tcW w:w="3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717</w:t>
            </w:r>
          </w:p>
        </w:tc>
      </w:tr>
      <w:tr>
        <w:trPr>
          <w:trHeight w:val="27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50"/>
        </w:trPr>
        <w:tc>
          <w:tcPr>
            <w:tcW w:w="7000" w:type="dxa"/>
            <w:vAlign w:val="bottom"/>
            <w:gridSpan w:val="3"/>
          </w:tcPr>
          <w:p>
            <w:pPr>
              <w:ind w:left="4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 on preferred stock</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96"/>
        </w:trPr>
        <w:tc>
          <w:tcPr>
            <w:tcW w:w="7000" w:type="dxa"/>
            <w:vAlign w:val="bottom"/>
            <w:gridSpan w:val="3"/>
          </w:tcPr>
          <w:p>
            <w:pPr>
              <w:ind w:left="4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139</w:t>
            </w:r>
          </w:p>
        </w:tc>
        <w:tc>
          <w:tcPr>
            <w:tcW w:w="3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8"/>
        </w:trPr>
        <w:tc>
          <w:tcPr>
            <w:tcW w:w="67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r>
      <w:tr>
        <w:trPr>
          <w:trHeight w:val="297"/>
        </w:trPr>
        <w:tc>
          <w:tcPr>
            <w:tcW w:w="70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537.8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404.9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537.2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398.2</w:t>
            </w:r>
          </w:p>
        </w:tc>
      </w:tr>
      <w:tr>
        <w:trPr>
          <w:trHeight w:val="237"/>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398.4</w:t>
            </w:r>
          </w:p>
        </w:tc>
      </w:tr>
      <w:tr>
        <w:trPr>
          <w:trHeight w:val="20"/>
        </w:trPr>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Net income (loss) per common share - basic</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1.76</w:t>
            </w:r>
          </w:p>
        </w:tc>
      </w:tr>
      <w:tr>
        <w:trPr>
          <w:trHeight w:val="237"/>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income (loss) per common share - diluted</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r>
      <w:tr>
        <w:trPr>
          <w:trHeight w:val="20"/>
        </w:trPr>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Comprehensive income (loss) per common share - basic and diluted</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237"/>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Dividends declared per common share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r>
      <w:tr>
        <w:trPr>
          <w:trHeight w:val="20"/>
        </w:trPr>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r>
      <w:tr>
        <w:trPr>
          <w:trHeight w:val="380"/>
        </w:trPr>
        <w:tc>
          <w:tcPr>
            <w:tcW w:w="6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Three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58"/>
        </w:trPr>
        <w:tc>
          <w:tcPr>
            <w:tcW w:w="700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Pr>
          <w:p>
            <w:pPr>
              <w:spacing w:after="0"/>
              <w:rPr>
                <w:sz w:val="22"/>
                <w:szCs w:val="22"/>
                <w:color w:val="auto"/>
              </w:rPr>
            </w:pPr>
          </w:p>
        </w:tc>
        <w:tc>
          <w:tcPr>
            <w:tcW w:w="920" w:type="dxa"/>
            <w:vAlign w:val="bottom"/>
          </w:tcPr>
          <w:p>
            <w:pPr>
              <w:jc w:val="right"/>
              <w:ind w:right="54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40"/>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340" w:type="dxa"/>
            <w:vAlign w:val="bottom"/>
          </w:tcPr>
          <w:p>
            <w:pPr>
              <w:spacing w:after="0"/>
              <w:rPr>
                <w:sz w:val="20"/>
                <w:szCs w:val="20"/>
                <w:color w:val="auto"/>
              </w:rPr>
            </w:pPr>
            <w:r>
              <w:rPr>
                <w:rFonts w:ascii="Arial" w:cs="Arial" w:eastAsia="Arial" w:hAnsi="Arial"/>
                <w:sz w:val="14"/>
                <w:szCs w:val="14"/>
                <w:color w:val="auto"/>
              </w:rPr>
              <w:t>Average investment securities - at par</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Average investment securities - at cost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Average net TBA portfolio - at cost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Average total assets - at fair value</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 xml:space="preserve">Average Agency repurchase agreements and other debt outstanding </w:t>
            </w:r>
            <w:r>
              <w:rPr>
                <w:rFonts w:ascii="Arial" w:cs="Arial" w:eastAsia="Arial" w:hAnsi="Arial"/>
                <w:sz w:val="8"/>
                <w:szCs w:val="8"/>
                <w:color w:val="auto"/>
              </w:rPr>
              <w:t>3</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5</w:t>
            </w:r>
          </w:p>
        </w:tc>
        <w:tc>
          <w:tcPr>
            <w:tcW w:w="1440" w:type="dxa"/>
            <w:vAlign w:val="bottom"/>
          </w:tcPr>
          <w:p>
            <w:pPr>
              <w:spacing w:after="0"/>
              <w:rPr>
                <w:sz w:val="23"/>
                <w:szCs w:val="23"/>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6</w:t>
            </w:r>
          </w:p>
        </w:tc>
        <w:tc>
          <w:tcPr>
            <w:tcW w:w="1440" w:type="dxa"/>
            <w:vAlign w:val="bottom"/>
          </w:tcPr>
          <w:p>
            <w:pPr>
              <w:spacing w:after="0"/>
              <w:rPr>
                <w:sz w:val="23"/>
                <w:szCs w:val="23"/>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 xml:space="preserve">Economic return on tangible common equity </w:t>
            </w:r>
            <w:r>
              <w:rPr>
                <w:rFonts w:ascii="Arial" w:cs="Arial" w:eastAsia="Arial" w:hAnsi="Arial"/>
                <w:sz w:val="8"/>
                <w:szCs w:val="8"/>
                <w:color w:val="auto"/>
              </w:rPr>
              <w:t>7</w:t>
            </w:r>
          </w:p>
        </w:tc>
        <w:tc>
          <w:tcPr>
            <w:tcW w:w="1440" w:type="dxa"/>
            <w:vAlign w:val="bottom"/>
          </w:tcPr>
          <w:p>
            <w:pPr>
              <w:spacing w:after="0"/>
              <w:rPr>
                <w:sz w:val="23"/>
                <w:szCs w:val="23"/>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Expenses % of average total assets</w:t>
            </w:r>
          </w:p>
        </w:tc>
        <w:tc>
          <w:tcPr>
            <w:tcW w:w="1440" w:type="dxa"/>
            <w:vAlign w:val="bottom"/>
          </w:tcPr>
          <w:p>
            <w:pPr>
              <w:spacing w:after="0"/>
              <w:rPr>
                <w:sz w:val="23"/>
                <w:szCs w:val="23"/>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Expenses % of average assets, including average net TBA position</w:t>
            </w:r>
          </w:p>
        </w:tc>
        <w:tc>
          <w:tcPr>
            <w:tcW w:w="14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-1535430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-1192530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-849630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Expenses % of average stockholders' equity</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2"/>
          <w:szCs w:val="12"/>
          <w:color w:val="auto"/>
        </w:rPr>
        <w:t>* Except as noted below, average numbers for each period are weighted based on days on our books and records.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jc w:val="right"/>
              <w:ind w:right="199"/>
              <w:spacing w:after="0"/>
              <w:rPr>
                <w:sz w:val="20"/>
                <w:szCs w:val="20"/>
                <w:color w:val="auto"/>
              </w:rPr>
            </w:pPr>
            <w:r>
              <w:rPr>
                <w:rFonts w:ascii="Arial" w:cs="Arial" w:eastAsia="Arial" w:hAnsi="Arial"/>
                <w:sz w:val="16"/>
                <w:szCs w:val="16"/>
                <w:color w:val="auto"/>
              </w:rPr>
              <w:t>89,586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52,856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88,304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53,421</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rPr>
              <w:t>92,610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55,329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91,264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55,927</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rPr>
              <w:t>11,864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16,912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9,944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16,252</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w w:val="86"/>
              </w:rPr>
              <w:t>113,625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68,830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114,281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68,785</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rPr>
              <w:t>86,147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47,823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84,120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48,690</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rPr>
              <w:t>10,371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8,652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10,247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8,630</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rPr>
              <w:t>10.0:1</w:t>
            </w:r>
          </w:p>
        </w:tc>
        <w:tc>
          <w:tcPr>
            <w:tcW w:w="340" w:type="dxa"/>
            <w:vAlign w:val="bottom"/>
          </w:tcPr>
          <w:p>
            <w:pPr>
              <w:spacing w:after="0"/>
              <w:rPr>
                <w:sz w:val="23"/>
                <w:szCs w:val="23"/>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8.0:1</w:t>
            </w:r>
          </w:p>
        </w:tc>
        <w:tc>
          <w:tcPr>
            <w:tcW w:w="30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9.7:1</w:t>
            </w:r>
          </w:p>
        </w:tc>
        <w:tc>
          <w:tcPr>
            <w:tcW w:w="340" w:type="dxa"/>
            <w:vAlign w:val="bottom"/>
          </w:tcPr>
          <w:p>
            <w:pPr>
              <w:spacing w:after="0"/>
              <w:rPr>
                <w:sz w:val="23"/>
                <w:szCs w:val="23"/>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8.1:1</w:t>
            </w:r>
          </w:p>
        </w:tc>
      </w:tr>
      <w:tr>
        <w:trPr>
          <w:trHeight w:val="270"/>
        </w:trPr>
        <w:tc>
          <w:tcPr>
            <w:tcW w:w="800" w:type="dxa"/>
            <w:vAlign w:val="bottom"/>
          </w:tcPr>
          <w:p>
            <w:pPr>
              <w:jc w:val="right"/>
              <w:ind w:right="199"/>
              <w:spacing w:after="0"/>
              <w:rPr>
                <w:sz w:val="20"/>
                <w:szCs w:val="20"/>
                <w:color w:val="auto"/>
              </w:rPr>
            </w:pPr>
            <w:r>
              <w:rPr>
                <w:rFonts w:ascii="Arial" w:cs="Arial" w:eastAsia="Arial" w:hAnsi="Arial"/>
                <w:sz w:val="16"/>
                <w:szCs w:val="16"/>
                <w:color w:val="auto"/>
              </w:rPr>
              <w:t>9.8:1</w:t>
            </w:r>
          </w:p>
        </w:tc>
        <w:tc>
          <w:tcPr>
            <w:tcW w:w="340" w:type="dxa"/>
            <w:vAlign w:val="bottom"/>
          </w:tcPr>
          <w:p>
            <w:pPr>
              <w:spacing w:after="0"/>
              <w:rPr>
                <w:sz w:val="23"/>
                <w:szCs w:val="23"/>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8.3:1</w:t>
            </w:r>
          </w:p>
        </w:tc>
        <w:tc>
          <w:tcPr>
            <w:tcW w:w="30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9.8:1</w:t>
            </w:r>
          </w:p>
        </w:tc>
        <w:tc>
          <w:tcPr>
            <w:tcW w:w="340" w:type="dxa"/>
            <w:vAlign w:val="bottom"/>
          </w:tcPr>
          <w:p>
            <w:pPr>
              <w:spacing w:after="0"/>
              <w:rPr>
                <w:sz w:val="23"/>
                <w:szCs w:val="23"/>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8.3:1</w:t>
            </w:r>
          </w:p>
        </w:tc>
      </w:tr>
      <w:tr>
        <w:trPr>
          <w:trHeight w:val="270"/>
        </w:trPr>
        <w:tc>
          <w:tcPr>
            <w:tcW w:w="800" w:type="dxa"/>
            <w:vAlign w:val="bottom"/>
          </w:tcPr>
          <w:p>
            <w:pPr>
              <w:jc w:val="right"/>
              <w:spacing w:after="0"/>
              <w:rPr>
                <w:sz w:val="20"/>
                <w:szCs w:val="20"/>
                <w:color w:val="auto"/>
              </w:rPr>
            </w:pPr>
            <w:r>
              <w:rPr>
                <w:rFonts w:ascii="Arial" w:cs="Arial" w:eastAsia="Arial" w:hAnsi="Arial"/>
                <w:sz w:val="16"/>
                <w:szCs w:val="16"/>
                <w:color w:val="auto"/>
              </w:rPr>
              <w:t>(0.9)%</w:t>
            </w:r>
          </w:p>
        </w:tc>
        <w:tc>
          <w:tcPr>
            <w:tcW w:w="3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800" w:type="dxa"/>
            <w:vAlign w:val="bottom"/>
          </w:tcPr>
          <w:p>
            <w:pPr>
              <w:jc w:val="right"/>
              <w:ind w:right="19"/>
              <w:spacing w:after="0"/>
              <w:rPr>
                <w:sz w:val="20"/>
                <w:szCs w:val="20"/>
                <w:color w:val="auto"/>
              </w:rPr>
            </w:pPr>
            <w:r>
              <w:rPr>
                <w:rFonts w:ascii="Arial" w:cs="Arial" w:eastAsia="Arial" w:hAnsi="Arial"/>
                <w:sz w:val="16"/>
                <w:szCs w:val="16"/>
                <w:color w:val="auto"/>
              </w:rPr>
              <w:t>0.07 %</w:t>
            </w:r>
          </w:p>
        </w:tc>
        <w:tc>
          <w:tcPr>
            <w:tcW w:w="3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0.07%</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0.10 %</w:t>
            </w:r>
          </w:p>
        </w:tc>
      </w:tr>
      <w:tr>
        <w:trPr>
          <w:trHeight w:val="270"/>
        </w:trPr>
        <w:tc>
          <w:tcPr>
            <w:tcW w:w="800" w:type="dxa"/>
            <w:vAlign w:val="bottom"/>
          </w:tcPr>
          <w:p>
            <w:pPr>
              <w:jc w:val="right"/>
              <w:ind w:right="19"/>
              <w:spacing w:after="0"/>
              <w:rPr>
                <w:sz w:val="20"/>
                <w:szCs w:val="20"/>
                <w:color w:val="auto"/>
              </w:rPr>
            </w:pPr>
            <w:r>
              <w:rPr>
                <w:rFonts w:ascii="Arial" w:cs="Arial" w:eastAsia="Arial" w:hAnsi="Arial"/>
                <w:sz w:val="16"/>
                <w:szCs w:val="16"/>
                <w:color w:val="auto"/>
              </w:rPr>
              <w:t>0.06 %</w:t>
            </w:r>
          </w:p>
        </w:tc>
        <w:tc>
          <w:tcPr>
            <w:tcW w:w="3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0.06%</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0.08 %</w:t>
            </w:r>
          </w:p>
        </w:tc>
      </w:tr>
      <w:tr>
        <w:trPr>
          <w:trHeight w:val="270"/>
        </w:trPr>
        <w:tc>
          <w:tcPr>
            <w:tcW w:w="800" w:type="dxa"/>
            <w:vAlign w:val="bottom"/>
          </w:tcPr>
          <w:p>
            <w:pPr>
              <w:jc w:val="right"/>
              <w:ind w:right="19"/>
              <w:spacing w:after="0"/>
              <w:rPr>
                <w:sz w:val="20"/>
                <w:szCs w:val="20"/>
                <w:color w:val="auto"/>
              </w:rPr>
            </w:pPr>
            <w:r>
              <w:rPr>
                <w:rFonts w:ascii="Arial" w:cs="Arial" w:eastAsia="Arial" w:hAnsi="Arial"/>
                <w:sz w:val="16"/>
                <w:szCs w:val="16"/>
                <w:color w:val="auto"/>
              </w:rPr>
              <w:t>0.77 %</w:t>
            </w:r>
          </w:p>
        </w:tc>
        <w:tc>
          <w:tcPr>
            <w:tcW w:w="3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0.83%</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0.76%</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0.83 %</w:t>
            </w:r>
          </w:p>
        </w:tc>
      </w:tr>
    </w:tbl>
    <w:p>
      <w:pPr>
        <w:spacing w:after="0" w:line="485" w:lineRule="exact"/>
        <w:rPr>
          <w:sz w:val="20"/>
          <w:szCs w:val="20"/>
          <w:color w:val="auto"/>
        </w:rPr>
      </w:pPr>
    </w:p>
    <w:p>
      <w:pPr>
        <w:sectPr>
          <w:pgSz w:w="11900" w:h="16838" w:orient="portrait"/>
          <w:cols w:equalWidth="0" w:num="2">
            <w:col w:w="6840" w:space="260"/>
            <w:col w:w="4320"/>
          </w:cols>
          <w:pgMar w:left="240" w:top="806" w:right="239" w:bottom="1440" w:gutter="0" w:footer="0" w:header="0"/>
          <w:type w:val="continuous"/>
        </w:sectPr>
      </w:pPr>
    </w:p>
    <w:p>
      <w:pPr>
        <w:spacing w:after="0" w:line="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806" w:right="239" w:bottom="1440" w:gutter="0" w:footer="0" w:header="0"/>
          <w:type w:val="continuous"/>
        </w:sectPr>
      </w:pPr>
    </w:p>
    <w:bookmarkStart w:id="33" w:name="page34"/>
    <w:bookmarkEnd w:id="33"/>
    <w:p>
      <w:pPr>
        <w:ind w:left="980" w:hanging="648"/>
        <w:spacing w:after="0" w:line="250"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 includes repurchase agreements for non-Agency securities. Amount excludes U.S. Treasury repurchase agreements and TBA contracts. Other debt includes debt of consolidated VIEs.</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ind w:left="980" w:right="20" w:hanging="648"/>
        <w:spacing w:after="0" w:line="260" w:lineRule="auto"/>
        <w:tabs>
          <w:tab w:leader="none" w:pos="656" w:val="left"/>
        </w:tabs>
        <w:numPr>
          <w:ilvl w:val="0"/>
          <w:numId w:val="26"/>
        </w:numPr>
        <w:rPr>
          <w:rFonts w:ascii="Arial" w:cs="Arial" w:eastAsia="Arial" w:hAnsi="Arial"/>
          <w:sz w:val="13"/>
          <w:szCs w:val="13"/>
          <w:color w:val="auto"/>
        </w:rPr>
      </w:pPr>
      <w:r>
        <w:rPr>
          <w:rFonts w:ascii="Arial" w:cs="Arial" w:eastAsia="Arial" w:hAnsi="Arial"/>
          <w:sz w:val="13"/>
          <w:szCs w:val="13"/>
          <w:color w:val="auto"/>
        </w:rPr>
        <w:t>Average tangible net book value "at risk" leverage is calculated by dividing the sum of daily weighted average mortgage borrowings outstanding (Agency repo, other debt and TBA securities (at cost)) for the period by the sum of average stockholders' equity adjusted to exclude goodwill for the period. Leverage excludes U.S. Treasury repurchase agreements.</w:t>
      </w:r>
    </w:p>
    <w:p>
      <w:pPr>
        <w:ind w:left="980" w:right="2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980" w:right="20" w:hanging="648"/>
        <w:spacing w:after="0" w:line="255"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on common stock during the period over beginning tangible net book value per common share.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six months ended June 30, 2019 and 2018,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97"/>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5"/>
              </w:rPr>
              <w:t>Six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0" w:type="dxa"/>
            <w:vAlign w:val="bottom"/>
          </w:tcPr>
          <w:p>
            <w:pPr>
              <w:spacing w:after="0"/>
              <w:rPr>
                <w:sz w:val="1"/>
                <w:szCs w:val="1"/>
                <w:color w:val="auto"/>
              </w:rPr>
            </w:pPr>
          </w:p>
        </w:tc>
      </w:tr>
      <w:tr>
        <w:trPr>
          <w:trHeight w:val="157"/>
        </w:trPr>
        <w:tc>
          <w:tcPr>
            <w:tcW w:w="3920" w:type="dxa"/>
            <w:vAlign w:val="bottom"/>
          </w:tcPr>
          <w:p>
            <w:pPr>
              <w:ind w:left="100"/>
              <w:spacing w:after="0" w:line="157" w:lineRule="exact"/>
              <w:rPr>
                <w:sz w:val="20"/>
                <w:szCs w:val="20"/>
                <w:color w:val="auto"/>
              </w:rPr>
            </w:pPr>
            <w:r>
              <w:rPr>
                <w:rFonts w:ascii="Arial" w:cs="Arial" w:eastAsia="Arial" w:hAnsi="Arial"/>
                <w:sz w:val="14"/>
                <w:szCs w:val="14"/>
                <w:color w:val="auto"/>
                <w:w w:val="95"/>
              </w:rPr>
              <w:t>Estimated "catch-up" premium amortization cost (benefit) due to</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change in CPR forecast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3.25 %</w:t>
            </w:r>
          </w:p>
        </w:tc>
        <w:tc>
          <w:tcPr>
            <w:tcW w:w="0" w:type="dxa"/>
            <w:vAlign w:val="bottom"/>
          </w:tcPr>
          <w:p>
            <w:pPr>
              <w:spacing w:after="0"/>
              <w:rPr>
                <w:sz w:val="1"/>
                <w:szCs w:val="1"/>
                <w:color w:val="auto"/>
              </w:rPr>
            </w:pPr>
          </w:p>
        </w:tc>
      </w:tr>
      <w:tr>
        <w:trPr>
          <w:trHeight w:val="143"/>
        </w:trPr>
        <w:tc>
          <w:tcPr>
            <w:tcW w:w="39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Economic interest income, excluding "catch-up" amortization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1,662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0" w:type="dxa"/>
            <w:vAlign w:val="bottom"/>
          </w:tcPr>
          <w:p>
            <w:pPr>
              <w:spacing w:after="0"/>
              <w:rPr>
                <w:sz w:val="1"/>
                <w:szCs w:val="1"/>
                <w:color w:val="auto"/>
              </w:rPr>
            </w:pPr>
          </w:p>
        </w:tc>
      </w:tr>
      <w:tr>
        <w:trPr>
          <w:trHeight w:val="181"/>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(non-GAAP measure) </w:t>
            </w:r>
            <w:r>
              <w:rPr>
                <w:rFonts w:ascii="Arial" w:cs="Arial" w:eastAsia="Arial" w:hAnsi="Arial"/>
                <w:sz w:val="8"/>
                <w:szCs w:val="8"/>
                <w:color w:val="auto"/>
              </w:rPr>
              <w:t>3</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Weighted average actual portfolio CPR for investment securities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 during the period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line="157" w:lineRule="exact"/>
              <w:rPr>
                <w:sz w:val="20"/>
                <w:szCs w:val="20"/>
                <w:color w:val="auto"/>
              </w:rPr>
            </w:pPr>
            <w:r>
              <w:rPr>
                <w:rFonts w:ascii="Arial" w:cs="Arial" w:eastAsia="Arial" w:hAnsi="Arial"/>
                <w:sz w:val="14"/>
                <w:szCs w:val="14"/>
                <w:color w:val="auto"/>
              </w:rPr>
              <w:t>Weighted average projected CPR for the remaining life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Arial" w:cs="Arial" w:eastAsia="Arial" w:hAnsi="Arial"/>
                <w:sz w:val="14"/>
                <w:szCs w:val="14"/>
                <w:color w:val="auto"/>
              </w:rPr>
              <w:t>investment securities held as of period end</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2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3920" w:type="dxa"/>
            <w:vAlign w:val="bottom"/>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and six months ended June 30, 2019, compared to the prior year period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2019 vs.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28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Portfolio</w:t>
            </w:r>
          </w:p>
        </w:tc>
        <w:tc>
          <w:tcPr>
            <w:tcW w:w="340" w:type="dxa"/>
            <w:vAlign w:val="bottom"/>
          </w:tcPr>
          <w:p>
            <w:pPr>
              <w:spacing w:after="0"/>
              <w:rPr>
                <w:sz w:val="13"/>
                <w:szCs w:val="13"/>
                <w:color w:val="auto"/>
              </w:rPr>
            </w:pPr>
          </w:p>
        </w:tc>
        <w:tc>
          <w:tcPr>
            <w:tcW w:w="112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Size</w:t>
            </w:r>
          </w:p>
        </w:tc>
        <w:tc>
          <w:tcPr>
            <w:tcW w:w="34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6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Interest Income (GAAP measure)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683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43"/>
        </w:trPr>
        <w:tc>
          <w:tcPr>
            <w:tcW w:w="6760" w:type="dxa"/>
            <w:vAlign w:val="bottom"/>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investment portfolio, inclusive of TBAs, increased 45% and 40% (at cost) for the three and six months ended June 30, 2019, compared to the corresponding prior year period, in line with the deployment of new equity capital and an increase in our tangible equity "at risk" leverage ratio. The increase in our average asset yields, excluding "catch-up" amortization, over the prior year period was largely due to changes in asset composition, partly offset by an increase in premium amortization expense resulting from faster CPR projections.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leverage varies depending on market conditions and our assessment of risks and returns, but we generally would expect our leverage to be within six to twelve times the amount of our tangible net book value. As of June 30, 2019, our tangible net book value "at risk" leverage was 9.8x, compared to 9.0x as of December 31, 2018. The table below presents a summary of our leverage ratios for the periods listed (dollars in millions):</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gridSpan w:val="6"/>
          </w:tcPr>
          <w:p>
            <w:pPr>
              <w:jc w:val="center"/>
              <w:spacing w:after="0"/>
              <w:rPr>
                <w:sz w:val="20"/>
                <w:szCs w:val="20"/>
                <w:color w:val="auto"/>
              </w:rPr>
            </w:pPr>
            <w:r>
              <w:rPr>
                <w:rFonts w:ascii="Arial" w:cs="Arial" w:eastAsia="Arial" w:hAnsi="Arial"/>
                <w:sz w:val="13"/>
                <w:szCs w:val="13"/>
                <w:b w:val="1"/>
                <w:bCs w:val="1"/>
                <w:color w:val="auto"/>
                <w:w w:val="84"/>
              </w:rPr>
              <w:t>Repurchase Agreements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5"/>
              </w:rPr>
              <w:t>Tangible Net Book</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 xml:space="preserve">and Other Debt </w:t>
            </w:r>
            <w:r>
              <w:rPr>
                <w:rFonts w:ascii="Arial" w:cs="Arial" w:eastAsia="Arial" w:hAnsi="Arial"/>
                <w:sz w:val="8"/>
                <w:szCs w:val="8"/>
                <w:b w:val="1"/>
                <w:bCs w:val="1"/>
                <w:color w:val="auto"/>
                <w:w w:val="90"/>
              </w:rPr>
              <w:t>1</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4"/>
          </w:tcPr>
          <w:p>
            <w:pPr>
              <w:jc w:val="right"/>
              <w:ind w:right="590"/>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Average Tangible Net</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"At Risk"</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Book Value</w:t>
            </w:r>
          </w:p>
        </w:tc>
        <w:tc>
          <w:tcPr>
            <w:tcW w:w="134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43"/>
        </w:trPr>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Average Daily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6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Average Daily</w:t>
            </w:r>
          </w:p>
        </w:tc>
        <w:tc>
          <w:tcPr>
            <w:tcW w:w="200" w:type="dxa"/>
            <w:vAlign w:val="bottom"/>
          </w:tcPr>
          <w:p>
            <w:pPr>
              <w:spacing w:after="0"/>
              <w:rPr>
                <w:sz w:val="11"/>
                <w:szCs w:val="11"/>
                <w:color w:val="auto"/>
              </w:rPr>
            </w:pPr>
          </w:p>
        </w:tc>
        <w:tc>
          <w:tcPr>
            <w:tcW w:w="800" w:type="dxa"/>
            <w:vAlign w:val="bottom"/>
          </w:tcPr>
          <w:p>
            <w:pPr>
              <w:jc w:val="right"/>
              <w:ind w:right="23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"At Risk" Leverage</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during the Period </w:t>
            </w:r>
            <w:r>
              <w:rPr>
                <w:rFonts w:ascii="Arial" w:cs="Arial" w:eastAsia="Arial" w:hAnsi="Arial"/>
                <w:sz w:val="8"/>
                <w:szCs w:val="8"/>
                <w:b w:val="1"/>
                <w:bCs w:val="1"/>
                <w:color w:val="auto"/>
                <w:w w:val="88"/>
              </w:rPr>
              <w:t>3</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4</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86,147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86,969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85,367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11,864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11,086</w:t>
            </w:r>
          </w:p>
        </w:tc>
        <w:tc>
          <w:tcPr>
            <w:tcW w:w="14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2"/>
              </w:rPr>
              <w:t>10.0:1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9.8:1</w:t>
            </w:r>
          </w:p>
        </w:tc>
        <w:tc>
          <w:tcPr>
            <w:tcW w:w="0" w:type="dxa"/>
            <w:vAlign w:val="bottom"/>
          </w:tcPr>
          <w:p>
            <w:pPr>
              <w:spacing w:after="0"/>
              <w:rPr>
                <w:sz w:val="1"/>
                <w:szCs w:val="1"/>
                <w:color w:val="auto"/>
              </w:rPr>
            </w:pPr>
          </w:p>
        </w:tc>
      </w:tr>
      <w:tr>
        <w:trPr>
          <w:trHeight w:val="264"/>
        </w:trPr>
        <w:tc>
          <w:tcPr>
            <w:tcW w:w="2840" w:type="dxa"/>
            <w:vAlign w:val="bottom"/>
            <w:gridSpan w:val="2"/>
          </w:tcPr>
          <w:p>
            <w:pPr>
              <w:ind w:left="40"/>
              <w:spacing w:after="0"/>
              <w:rPr>
                <w:sz w:val="20"/>
                <w:szCs w:val="20"/>
                <w:color w:val="auto"/>
              </w:rPr>
            </w:pPr>
            <w:r>
              <w:rPr>
                <w:rFonts w:ascii="Arial" w:cs="Arial" w:eastAsia="Arial" w:hAnsi="Arial"/>
                <w:sz w:val="14"/>
                <w:szCs w:val="14"/>
                <w:color w:val="auto"/>
              </w:rPr>
              <w:t>March 31, 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82,070</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87,877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86,590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6,885</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9.3:1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9.4:1</w:t>
            </w:r>
          </w:p>
        </w:tc>
        <w:tc>
          <w:tcPr>
            <w:tcW w:w="0" w:type="dxa"/>
            <w:vAlign w:val="bottom"/>
          </w:tcPr>
          <w:p>
            <w:pPr>
              <w:spacing w:after="0"/>
              <w:rPr>
                <w:sz w:val="1"/>
                <w:szCs w:val="1"/>
                <w:color w:val="auto"/>
              </w:rPr>
            </w:pPr>
          </w:p>
        </w:tc>
      </w:tr>
      <w:tr>
        <w:trPr>
          <w:trHeight w:val="27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77,442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75,992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7,252</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8.4:1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9.0:1</w:t>
            </w:r>
          </w:p>
        </w:tc>
        <w:tc>
          <w:tcPr>
            <w:tcW w:w="0" w:type="dxa"/>
            <w:vAlign w:val="bottom"/>
          </w:tcPr>
          <w:p>
            <w:pPr>
              <w:spacing w:after="0"/>
              <w:rPr>
                <w:sz w:val="1"/>
                <w:szCs w:val="1"/>
                <w:color w:val="auto"/>
              </w:rPr>
            </w:pPr>
          </w:p>
        </w:tc>
      </w:tr>
      <w:tr>
        <w:trPr>
          <w:trHeight w:val="264"/>
        </w:trPr>
        <w:tc>
          <w:tcPr>
            <w:tcW w:w="2840" w:type="dxa"/>
            <w:vAlign w:val="bottom"/>
            <w:gridSpan w:val="2"/>
          </w:tcPr>
          <w:p>
            <w:pPr>
              <w:ind w:left="40"/>
              <w:spacing w:after="0"/>
              <w:rPr>
                <w:sz w:val="20"/>
                <w:szCs w:val="20"/>
                <w:color w:val="auto"/>
              </w:rPr>
            </w:pPr>
            <w:r>
              <w:rPr>
                <w:rFonts w:ascii="Arial" w:cs="Arial" w:eastAsia="Arial" w:hAnsi="Arial"/>
                <w:sz w:val="14"/>
                <w:szCs w:val="14"/>
                <w:color w:val="auto"/>
              </w:rPr>
              <w:t>September 30, 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56,265</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66,969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65,975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18,270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9,436</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8.5:1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8.2:1</w:t>
            </w:r>
          </w:p>
        </w:tc>
        <w:tc>
          <w:tcPr>
            <w:tcW w:w="0" w:type="dxa"/>
            <w:vAlign w:val="bottom"/>
          </w:tcPr>
          <w:p>
            <w:pPr>
              <w:spacing w:after="0"/>
              <w:rPr>
                <w:sz w:val="1"/>
                <w:szCs w:val="1"/>
                <w:color w:val="auto"/>
              </w:rPr>
            </w:pPr>
          </w:p>
        </w:tc>
      </w:tr>
      <w:tr>
        <w:trPr>
          <w:trHeight w:val="276"/>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47,823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49,892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16,912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19,898</w:t>
            </w:r>
          </w:p>
        </w:tc>
        <w:tc>
          <w:tcPr>
            <w:tcW w:w="14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8.3:1</w:t>
            </w:r>
          </w:p>
        </w:tc>
        <w:tc>
          <w:tcPr>
            <w:tcW w:w="0" w:type="dxa"/>
            <w:vAlign w:val="bottom"/>
          </w:tcPr>
          <w:p>
            <w:pPr>
              <w:spacing w:after="0"/>
              <w:rPr>
                <w:sz w:val="1"/>
                <w:szCs w:val="1"/>
                <w:color w:val="auto"/>
              </w:rPr>
            </w:pPr>
          </w:p>
        </w:tc>
      </w:tr>
      <w:tr>
        <w:trPr>
          <w:trHeight w:val="258"/>
        </w:trPr>
        <w:tc>
          <w:tcPr>
            <w:tcW w:w="2840" w:type="dxa"/>
            <w:vAlign w:val="bottom"/>
            <w:gridSpan w:val="2"/>
          </w:tcPr>
          <w:p>
            <w:pPr>
              <w:ind w:left="40"/>
              <w:spacing w:after="0"/>
              <w:rPr>
                <w:sz w:val="20"/>
                <w:szCs w:val="20"/>
                <w:color w:val="auto"/>
              </w:rPr>
            </w:pPr>
            <w:r>
              <w:rPr>
                <w:rFonts w:ascii="Arial" w:cs="Arial" w:eastAsia="Arial" w:hAnsi="Arial"/>
                <w:sz w:val="14"/>
                <w:szCs w:val="14"/>
                <w:color w:val="auto"/>
              </w:rPr>
              <w:t>March 31, 2018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49,567</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50,645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49,292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13,529</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8.2:1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8.2:1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00" w:right="239" w:bottom="1440" w:gutter="0" w:footer="0" w:header="0"/>
        </w:sectPr>
      </w:pPr>
    </w:p>
    <w:bookmarkStart w:id="35" w:name="page36"/>
    <w:bookmarkEnd w:id="35"/>
    <w:p>
      <w:pPr>
        <w:jc w:val="both"/>
        <w:ind w:left="660" w:hanging="328"/>
        <w:spacing w:after="0" w:line="247"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Tangible "at risk" leverage during the period represents the sum of our daily weighted average repurchase agreements and other debt used to fund acquisitions of investment securities and net TBA position outstanding divided by the sum of our average month-ended stockholders' equity, adjusted to exclude goodwill, other intangible asset and investment in REIT equity securities for the period.</w:t>
      </w:r>
    </w:p>
    <w:p>
      <w:pPr>
        <w:spacing w:after="0" w:line="1" w:lineRule="exact"/>
        <w:rPr>
          <w:rFonts w:ascii="Arial" w:cs="Arial" w:eastAsia="Arial" w:hAnsi="Arial"/>
          <w:sz w:val="14"/>
          <w:szCs w:val="14"/>
          <w:color w:val="auto"/>
        </w:rPr>
      </w:pPr>
    </w:p>
    <w:p>
      <w:pPr>
        <w:jc w:val="both"/>
        <w:ind w:left="660" w:hanging="328"/>
        <w:spacing w:after="0" w:line="248"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Tangible net book value "at risk" leverage as of period end represents the sum of our repurchase agreements and other debt used to fund acquisitions of investments securities, net TBA position (at cost) and net receivable/payable for unsettled investment securities outstanding as of period end divided by total stockholders' equity, adjusted to exclude goodwill, other intangible asset and investment in REIT equity securities as of period end.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and six months ended June 30, 2019 and 2018 (dollars in millions), which includes the combination of interest expense on Agency repurchase agreements and other debt (GAAP measure), implied interest expense on our TBA securities and interest rate swap periodic interest (income) cost:</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w w:val="93"/>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1"/>
              </w:rPr>
              <w:t>Six Months Ended June 30,</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9"/>
              </w:rPr>
              <w:t>Economic Interest Expense and Aggregate</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7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Cost of</w:t>
            </w:r>
          </w:p>
        </w:tc>
        <w:tc>
          <w:tcPr>
            <w:tcW w:w="80" w:type="dxa"/>
            <w:vAlign w:val="bottom"/>
          </w:tcPr>
          <w:p>
            <w:pPr>
              <w:spacing w:after="0"/>
              <w:rPr>
                <w:sz w:val="13"/>
                <w:szCs w:val="13"/>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5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Cost of Funds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Funds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Funds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Funds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Funds</w:t>
            </w: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w w:val="95"/>
              </w:rPr>
              <w:t>Repurchase agreement and other debt - interest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 (GAAP measure)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0" w:type="dxa"/>
            <w:vAlign w:val="bottom"/>
          </w:tcPr>
          <w:p>
            <w:pPr>
              <w:spacing w:after="0"/>
              <w:rPr>
                <w:sz w:val="1"/>
                <w:szCs w:val="1"/>
                <w:color w:val="auto"/>
              </w:rPr>
            </w:pPr>
          </w:p>
        </w:tc>
      </w:tr>
      <w:tr>
        <w:trPr>
          <w:trHeight w:val="157"/>
        </w:trPr>
        <w:tc>
          <w:tcPr>
            <w:tcW w:w="28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TBA dollar roll income - implied interest</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gridSpan w:val="2"/>
          </w:tcPr>
          <w:p>
            <w:pPr>
              <w:ind w:left="200"/>
              <w:spacing w:after="0"/>
              <w:rPr>
                <w:sz w:val="20"/>
                <w:szCs w:val="20"/>
                <w:color w:val="auto"/>
              </w:rPr>
            </w:pPr>
            <w:r>
              <w:rPr>
                <w:rFonts w:ascii="Arial" w:cs="Arial" w:eastAsia="Arial" w:hAnsi="Arial"/>
                <w:sz w:val="14"/>
                <w:szCs w:val="14"/>
                <w:color w:val="auto"/>
              </w:rPr>
              <w:t xml:space="preserve">expense </w:t>
            </w:r>
            <w:r>
              <w:rPr>
                <w:rFonts w:ascii="Arial" w:cs="Arial" w:eastAsia="Arial" w:hAnsi="Arial"/>
                <w:sz w:val="8"/>
                <w:szCs w:val="8"/>
                <w:color w:val="auto"/>
              </w:rPr>
              <w:t>2,3</w:t>
            </w: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2.51 %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1.63 %</w:t>
            </w:r>
          </w:p>
        </w:tc>
        <w:tc>
          <w:tcPr>
            <w:tcW w:w="0" w:type="dxa"/>
            <w:vAlign w:val="bottom"/>
          </w:tcPr>
          <w:p>
            <w:pPr>
              <w:spacing w:after="0"/>
              <w:rPr>
                <w:sz w:val="1"/>
                <w:szCs w:val="1"/>
                <w:color w:val="auto"/>
              </w:rPr>
            </w:pPr>
          </w:p>
        </w:tc>
      </w:tr>
      <w:tr>
        <w:trPr>
          <w:trHeight w:val="143"/>
        </w:trPr>
        <w:tc>
          <w:tcPr>
            <w:tcW w:w="2880" w:type="dxa"/>
            <w:vAlign w:val="bottom"/>
            <w:tcBorders>
              <w:top w:val="single" w:sz="8" w:color="CCEEFF"/>
            </w:tcBorders>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98"/>
              </w:rPr>
              <w:t>Economic interest expense - before interest</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rate swap periodic (income) costs, net </w:t>
            </w:r>
            <w:r>
              <w:rPr>
                <w:rFonts w:ascii="Arial" w:cs="Arial" w:eastAsia="Arial" w:hAnsi="Arial"/>
                <w:sz w:val="8"/>
                <w:szCs w:val="8"/>
                <w:color w:val="auto"/>
              </w:rPr>
              <w:t>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57"/>
        </w:trPr>
        <w:tc>
          <w:tcPr>
            <w:tcW w:w="28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Interest rate swap periodic interest (income)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cost, net </w:t>
            </w:r>
            <w:r>
              <w:rPr>
                <w:rFonts w:ascii="Arial" w:cs="Arial" w:eastAsia="Arial" w:hAnsi="Arial"/>
                <w:sz w:val="8"/>
                <w:szCs w:val="8"/>
                <w:color w:val="auto"/>
              </w:rPr>
              <w:t>2,5</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3"/>
        </w:trPr>
        <w:tc>
          <w:tcPr>
            <w:tcW w:w="288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Total economic interest expense (non-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1,066</w:t>
            </w:r>
          </w:p>
        </w:tc>
        <w:tc>
          <w:tcPr>
            <w:tcW w:w="120" w:type="dxa"/>
            <w:vAlign w:val="bottom"/>
            <w:vMerge w:val="restart"/>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81"/>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GAAP measure)</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8890</wp:posOffset>
            </wp:positionV>
            <wp:extent cx="40049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660" w:right="38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right="10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and six months ended June 30, 2019, compared to the prior year period (in millions):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835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2019 vs.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835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0" w:type="dxa"/>
            <w:vAlign w:val="bottom"/>
          </w:tcPr>
          <w:p>
            <w:pPr>
              <w:spacing w:after="0"/>
              <w:rPr>
                <w:sz w:val="13"/>
                <w:szCs w:val="13"/>
                <w:color w:val="auto"/>
              </w:rPr>
            </w:pPr>
          </w:p>
        </w:tc>
        <w:tc>
          <w:tcPr>
            <w:tcW w:w="12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Borrowing / Swap</w:t>
            </w:r>
          </w:p>
        </w:tc>
      </w:tr>
      <w:tr>
        <w:trPr>
          <w:trHeight w:val="192"/>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r>
      <w:tr>
        <w:trPr>
          <w:trHeight w:val="27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139</w:t>
            </w:r>
          </w:p>
        </w:tc>
      </w:tr>
      <w:tr>
        <w:trPr>
          <w:trHeight w:val="27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6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346</w:t>
            </w:r>
          </w:p>
        </w:tc>
      </w:tr>
      <w:tr>
        <w:trPr>
          <w:trHeight w:val="27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26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average mortgage borrowings, inclusive of TBAs, increased by 51% and 45% for the three and six months ended June 30, 2019, respectively, compared to the prior year period as a function of our higher asset base. The increase in the average interest</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0" w:right="239" w:bottom="1440" w:gutter="0" w:footer="0" w:header="0"/>
          <w:type w:val="continuous"/>
        </w:sectPr>
      </w:pPr>
    </w:p>
    <w:bookmarkStart w:id="36" w:name="page37"/>
    <w:bookmarkEnd w:id="36"/>
    <w:p>
      <w:pPr>
        <w:jc w:val="both"/>
        <w:ind w:right="20"/>
        <w:spacing w:after="0" w:line="342" w:lineRule="auto"/>
        <w:rPr>
          <w:sz w:val="20"/>
          <w:szCs w:val="20"/>
          <w:color w:val="auto"/>
        </w:rPr>
      </w:pPr>
      <w:r>
        <w:rPr>
          <w:rFonts w:ascii="Arial" w:cs="Arial" w:eastAsia="Arial" w:hAnsi="Arial"/>
          <w:sz w:val="16"/>
          <w:szCs w:val="16"/>
          <w:color w:val="auto"/>
        </w:rPr>
        <w:t>rate (actual and implied) on our mortgage borrowings was largely driven by increases in the Federal Funds rate during fiscal year 2018. The increase in our interest rate swap periodic interest income was largely due to the receive-floating rate leg of our interest rate swaps resetting to higher prevailing rates.</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the three and six months ended June 30, 2019 and 2018 (dollars in millions):</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9"/>
        </w:trPr>
        <w:tc>
          <w:tcPr>
            <w:tcW w:w="55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5"/>
              </w:rPr>
              <w:t>Average Ratio of Interest Rate Swaps (Excluding Forward Starting Swaps) to Mortgage</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 Outstanding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Agency repo and other debt outstanding</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86,147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47,823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84,120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48,690</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portfolio outstanding - at cost</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11,864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16,912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9,944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16,252</w:t>
            </w:r>
          </w:p>
        </w:tc>
        <w:tc>
          <w:tcPr>
            <w:tcW w:w="0" w:type="dxa"/>
            <w:vAlign w:val="bottom"/>
          </w:tcPr>
          <w:p>
            <w:pPr>
              <w:spacing w:after="0"/>
              <w:rPr>
                <w:sz w:val="1"/>
                <w:szCs w:val="1"/>
                <w:color w:val="auto"/>
              </w:rPr>
            </w:pPr>
          </w:p>
        </w:tc>
      </w:tr>
      <w:tr>
        <w:trPr>
          <w:trHeight w:val="25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 outstanding</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98,011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64,735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94,064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64,942</w:t>
            </w:r>
          </w:p>
        </w:tc>
        <w:tc>
          <w:tcPr>
            <w:tcW w:w="0" w:type="dxa"/>
            <w:vAlign w:val="bottom"/>
          </w:tcPr>
          <w:p>
            <w:pPr>
              <w:spacing w:after="0"/>
              <w:rPr>
                <w:sz w:val="1"/>
                <w:szCs w:val="1"/>
                <w:color w:val="auto"/>
              </w:rPr>
            </w:pPr>
          </w:p>
        </w:tc>
      </w:tr>
      <w:tr>
        <w:trPr>
          <w:trHeight w:val="157"/>
        </w:trPr>
        <w:tc>
          <w:tcPr>
            <w:tcW w:w="55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Average notional amount of interest rate swaps outstanding (excluding forward starting</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swaps)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52,035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42,804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48,616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41,918</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interest rate swap receive-floating rate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interest rate swap net pay/(receive) rate</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three and six months ended June 30, 2019, we had an average forward starting swap balance of $3.5 billion and $4.3 billion, respectively. For the three and six months ended June 30, 2018, we had an average forward starting swap balance of $3.9 billion and $3.6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six months ended June 30, 2019 was 57% and 56%, respectively, and 72% and 70%, respectively, for the prior year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six months ended June 30, 2019 and 2018:</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 June</w:t>
            </w:r>
          </w:p>
        </w:tc>
      </w:tr>
      <w:tr>
        <w:trPr>
          <w:trHeight w:val="192"/>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30,</w:t>
            </w:r>
          </w:p>
        </w:tc>
        <w:tc>
          <w:tcPr>
            <w:tcW w:w="640" w:type="dxa"/>
            <w:vAlign w:val="bottom"/>
            <w:tcBorders>
              <w:bottom w:val="single" w:sz="8" w:color="auto"/>
            </w:tcBorders>
          </w:tcPr>
          <w:p>
            <w:pPr>
              <w:spacing w:after="0"/>
              <w:rPr>
                <w:sz w:val="16"/>
                <w:szCs w:val="16"/>
                <w:color w:val="auto"/>
              </w:rPr>
            </w:pPr>
          </w:p>
        </w:tc>
      </w:tr>
      <w:tr>
        <w:trPr>
          <w:trHeight w:val="26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r>
      <w:tr>
        <w:trPr>
          <w:trHeight w:val="25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asset yield, excluding "catch-up" premium amortization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2.98 %</w:t>
            </w:r>
          </w:p>
        </w:tc>
      </w:tr>
      <w:tr>
        <w:trPr>
          <w:trHeight w:val="264"/>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aggregate cost of funds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(1.67)%</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r>
      <w:tr>
        <w:trPr>
          <w:trHeight w:val="243"/>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1.29 %</w:t>
            </w: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six months ended June 30, 2019 and 2018 (dollars in millions):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June</w:t>
            </w:r>
          </w:p>
        </w:tc>
        <w:tc>
          <w:tcPr>
            <w:tcW w:w="120" w:type="dxa"/>
            <w:vAlign w:val="bottom"/>
          </w:tcPr>
          <w:p>
            <w:pPr>
              <w:spacing w:after="0"/>
              <w:rPr>
                <w:sz w:val="14"/>
                <w:szCs w:val="14"/>
                <w:color w:val="auto"/>
              </w:rPr>
            </w:pPr>
          </w:p>
        </w:tc>
        <w:tc>
          <w:tcPr>
            <w:tcW w:w="158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1"/>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1"/>
              </w:rPr>
              <w:t>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1</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Other interest and dividend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64"/>
        </w:trPr>
        <w:tc>
          <w:tcPr>
            <w:tcW w:w="572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other operating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7"/>
        </w:trPr>
        <w:tc>
          <w:tcPr>
            <w:tcW w:w="5720" w:type="dxa"/>
            <w:vAlign w:val="bottom"/>
          </w:tcPr>
          <w:p>
            <w:pPr>
              <w:ind w:left="20"/>
              <w:spacing w:after="0" w:line="137"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262</w:t>
            </w:r>
          </w:p>
        </w:tc>
        <w:tc>
          <w:tcPr>
            <w:tcW w:w="3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30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21"/>
        </w:trPr>
        <w:tc>
          <w:tcPr>
            <w:tcW w:w="5720" w:type="dxa"/>
            <w:vAlign w:val="bottom"/>
          </w:tcPr>
          <w:p>
            <w:pPr>
              <w:ind w:left="20"/>
              <w:spacing w:after="0"/>
              <w:rPr>
                <w:sz w:val="20"/>
                <w:szCs w:val="20"/>
                <w:color w:val="auto"/>
              </w:rPr>
            </w:pPr>
            <w:r>
              <w:rPr>
                <w:rFonts w:ascii="Arial" w:cs="Arial" w:eastAsia="Arial" w:hAnsi="Arial"/>
                <w:sz w:val="14"/>
                <w:szCs w:val="14"/>
                <w:color w:val="auto"/>
              </w:rPr>
              <w:t>common stockholders (non-GAAP measure)</w:t>
            </w:r>
          </w:p>
        </w:tc>
        <w:tc>
          <w:tcPr>
            <w:tcW w:w="1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30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4"/>
                <w:szCs w:val="14"/>
                <w:color w:val="auto"/>
              </w:rPr>
              <w:t>Net spread and dollar roll income, excluding "catch-up" premium amortization, per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720" w:type="dxa"/>
            <w:vAlign w:val="bottom"/>
            <w:vMerge w:val="continue"/>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0.49</w:t>
            </w:r>
          </w:p>
        </w:tc>
        <w:tc>
          <w:tcPr>
            <w:tcW w:w="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 basic</w:t>
            </w:r>
          </w:p>
        </w:tc>
        <w:tc>
          <w:tcPr>
            <w:tcW w:w="18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2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4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 diluted</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2229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three and six months ended June 30, 2019, the fair value of our investment portfolio increased relative to its amortized cost due to both a decline in long-term interest rates and an increase in the premium, or pay-up values, for specified Agency RMBS, which have a lower likelihood of prepayment than generic Agency securities. Conversely, during the prior year periods, the average fair value of our investment portfolio declined due to the increase in long-term interest rates and lower pay-up values for specified Agency RMBS. The following table is a summary of our net gain (loss) on investment securities for the three and six months ended June 30, 2019 and 2018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60" w:type="dxa"/>
            <w:vAlign w:val="bottom"/>
          </w:tcPr>
          <w:p>
            <w:pPr>
              <w:spacing w:after="0"/>
              <w:rPr>
                <w:sz w:val="16"/>
                <w:szCs w:val="16"/>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Gain (loss) on sale of investment securities,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Total gain (loss) on investment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41"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Investment securities acquired after fiscal year 2016 are measured at fair value through net income (see Note 3 of our Consolidated Financial Statements in this Form 10-Q).</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and six months ended June 30, 2019 and 2018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9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69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 periodic interest income (cost),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dollar roll income,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14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14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1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r>
      <w:tr>
        <w:trPr>
          <w:trHeight w:val="264"/>
        </w:trPr>
        <w:tc>
          <w:tcPr>
            <w:tcW w:w="6980" w:type="dxa"/>
            <w:vAlign w:val="bottom"/>
            <w:tcBorders>
              <w:bottom w:val="single" w:sz="8" w:color="CCEEFF"/>
            </w:tcBorders>
          </w:tcPr>
          <w:p>
            <w:pPr>
              <w:ind w:left="120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Interest rate swaps</w:t>
            </w:r>
          </w:p>
        </w:tc>
        <w:tc>
          <w:tcPr>
            <w:tcW w:w="1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14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r>
      <w:tr>
        <w:trPr>
          <w:trHeight w:val="264"/>
        </w:trPr>
        <w:tc>
          <w:tcPr>
            <w:tcW w:w="698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1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0"/>
        </w:trPr>
        <w:tc>
          <w:tcPr>
            <w:tcW w:w="69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w:t>
            </w: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1,036</w:t>
            </w: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the three months ended June 30, 2019 and 2018, we had estimated taxable income available to common stockholders of $171 million and $104 million (or $0.32 and $0.26 per diluted common share), respectively. For the six months ended June 30, 2019 and 2018, we had estimated taxable income available to common stockholders of $367 million and $183 million (or $0.68 and $0.46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six months ended June 30, 2019 and 2018 (dollars in millions, except per share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64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25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r>
      <w:tr>
        <w:trPr>
          <w:trHeight w:val="264"/>
        </w:trPr>
        <w:tc>
          <w:tcPr>
            <w:tcW w:w="6460" w:type="dxa"/>
            <w:vAlign w:val="bottom"/>
          </w:tcPr>
          <w:p>
            <w:pPr>
              <w:ind w:left="40"/>
              <w:spacing w:after="0"/>
              <w:rPr>
                <w:sz w:val="20"/>
                <w:szCs w:val="20"/>
                <w:color w:val="auto"/>
              </w:rPr>
            </w:pPr>
            <w:r>
              <w:rPr>
                <w:rFonts w:ascii="Arial" w:cs="Arial" w:eastAsia="Arial" w:hAnsi="Arial"/>
                <w:sz w:val="14"/>
                <w:szCs w:val="14"/>
                <w:color w:val="auto"/>
              </w:rPr>
              <w:t>Estimated book to tax differences:</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(873)</w:t>
            </w: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62</w:t>
            </w:r>
          </w:p>
        </w:tc>
      </w:tr>
      <w:tr>
        <w:trPr>
          <w:trHeight w:val="270"/>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50"/>
        </w:trPr>
        <w:tc>
          <w:tcPr>
            <w:tcW w:w="64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1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w:t>
            </w:r>
          </w:p>
        </w:tc>
      </w:tr>
      <w:tr>
        <w:trPr>
          <w:trHeight w:val="25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r>
      <w:tr>
        <w:trPr>
          <w:trHeight w:val="264"/>
        </w:trPr>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r>
      <w:tr>
        <w:trPr>
          <w:trHeight w:val="243"/>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available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398.2</w:t>
            </w:r>
          </w:p>
        </w:tc>
      </w:tr>
      <w:tr>
        <w:trPr>
          <w:trHeight w:val="21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538.4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398.4</w:t>
            </w: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r>
      <w:tr>
        <w:trPr>
          <w:trHeight w:val="21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per common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0.46</w:t>
            </w: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6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cumulative non-deductible net capital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r>
      <w:tr>
        <w:trPr>
          <w:trHeight w:val="264"/>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Increase (decrease) in net capital loss carryforward</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r>
      <w:tr>
        <w:trPr>
          <w:trHeight w:val="250"/>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net capital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r>
      <w:tr>
        <w:trPr>
          <w:trHeight w:val="243"/>
        </w:trPr>
        <w:tc>
          <w:tcPr>
            <w:tcW w:w="6460" w:type="dxa"/>
            <w:vAlign w:val="bottom"/>
          </w:tcPr>
          <w:p>
            <w:pPr>
              <w:ind w:left="40"/>
              <w:spacing w:after="0"/>
              <w:rPr>
                <w:sz w:val="20"/>
                <w:szCs w:val="20"/>
                <w:color w:val="auto"/>
              </w:rPr>
            </w:pPr>
            <w:r>
              <w:rPr>
                <w:rFonts w:ascii="Arial" w:cs="Arial" w:eastAsia="Arial" w:hAnsi="Arial"/>
                <w:sz w:val="14"/>
                <w:szCs w:val="14"/>
                <w:color w:val="auto"/>
              </w:rPr>
              <w:t>Ending cumulative non-deductible net capital loss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w:t>
            </w: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660" w:top="887" w:right="6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and December 31, 2018, our mortgage borrowings consisted of the following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8"/>
              </w:rPr>
              <w:t>June 30, 2019</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2018</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85,116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75,717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85,367</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75,992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11,086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96,453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 excludes $1,150 million of repurchase agreements used to fund purchases of U.S. Treasury securities as of June 30, 2019.</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9.8x and 9.0x as of June 30, 2019 and December 31, 2018, respectively, measured as the sum of our total mortgage borrowings and net payable / (receivable) for unsettled investment securities, divided by the sum of our total stockholders' equity adjusted to exclude goodwill.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LIBOR plus or minus a fixed spread.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2019, we had $85.1 billion of repurchase agreements outstanding used to fund acquisitions of investment securities with a weighted average interest rate of 2.64% and a weighted average remaining days-to-maturity of 80 days, compared $75.7 billion, 2.79% and 49 days, respectively, as of December 31, 2018.</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June 30, 2019, we had master repurchase agreements with 47 financial institutions located throughout North America, Europe and Asia, including counterparties accessed through our wholly-owned captive broker-dealer subsidiary, Bethesda Securities, LLC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June 30, 2019, $36.0 billion of our repurchase agreement funding was sourced through BES.</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June 30, 2019. For further details regarding our borrowings under repurchase agreements as of June 30, 2019, please refer to Notes 5 and 7 to our Consolidated Financial Statements in this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1" w:name="page42"/>
    <w:bookmarkEnd w:id="41"/>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the six months ended June 30, 2019, haircuts on our pledged collateral remained stable and, as of June 30, 2019, our weighted average haircut was approximately 4.0% of the value of our collateral, inclusive of collateral funded through BES. As of June 30, 2019, our maximum amount at risk (or the excess of the value of collateral pledged over our repurchase liabilities) with any counterparty related to our repurchase agreements, excluding the FICC, was less than 4% of our tangible stockholders' equity, with our top five repo counterparties, excluding the FICC, representing less than 12% of our tangible stockholders' equity. As of June 30, 2019, approximately 9% of our tangible stockholder's equity was at risk with the FICC. We could be exposed to credit risk if the FICC or an FICC netting member defaults on its obligations. However, we believe that the risk is minimal due to the FICC's initial and daily mark-to-market margin requirements, guarantee funds and other resources that are available in the event of a default.</w:t>
      </w:r>
    </w:p>
    <w:p>
      <w:pPr>
        <w:spacing w:after="0" w:line="1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June 30, 2019, we had met all of our margin requirements and we had unrestricted cash and cash equivalents of $0.9 billion and unpledged securities of approximately $4.4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3 and 6 to our Consolidated Financial Statements in this Form 10-Q for further details regarding our use of derivative instruments.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87" w:right="239" w:bottom="1440" w:gutter="0" w:footer="0" w:header="0"/>
        </w:sectPr>
      </w:pPr>
    </w:p>
    <w:bookmarkStart w:id="42" w:name="page43"/>
    <w:bookmarkEnd w:id="42"/>
    <w:p>
      <w:pPr>
        <w:jc w:val="both"/>
        <w:ind w:firstLine="432"/>
        <w:spacing w:after="0" w:line="270" w:lineRule="auto"/>
        <w:rPr>
          <w:sz w:val="20"/>
          <w:szCs w:val="20"/>
          <w:color w:val="auto"/>
        </w:rPr>
      </w:pPr>
      <w:r>
        <w:rPr>
          <w:rFonts w:ascii="Arial" w:cs="Arial" w:eastAsia="Arial" w:hAnsi="Arial"/>
          <w:sz w:val="17"/>
          <w:szCs w:val="17"/>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registered central clearing exchanges and major financial institutions with acceptable credit ratings and by monitoring positions with individual counterparties. Excluding centrally cleared derivative instruments, as of June 30, 2019, our amount at risk with any counterparty related to our interest rate swap and swaption agreements was less than 1% of our stockholders' equity. In the case of centrally cleared derivative instruments, we could be exposed to credit risk if the exchange or a central clearing member defaults on its obligations. However, we believe that the risk is minimal due to initial and daily mark-to-market margin requirements, guarantee funds and other resources that are available in the event of a default.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TBA dollar roll transactions used to finance the purchase of Agency RMBS represent a form of off-balance sheet financing accounted for as derivative instruments. (See Notes 3 and 6 to our Consolidated Financial Statements in this Form 10-Q additional details on of our TBA transactions). 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June 30, 2019, we had a net long TBA position with a total market value of $11.2 billion and a net carrying value of $84 million recognized in derivative assets/(liabilities), at fair value, on our Consolidated Balance Sheets in this Form 10-Q.</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June 30, 2019, the minimum net capital required was $0.3 million and BES had excess net capital of $604.2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maintain a portfolio of highly liquid mortgage-backed securities. We may sell our Agency securities through the TBA market by delivering them into TBA contracts, subject to "good delivery" provisions promulgated by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June 30, 2019, approximately 94% of our fixed rate Agency RMBS portfolio was eligible for TBA delivery.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the extent we raise additional equity capital, we may use cash proceeds from such transactions to purchase additional investment securities, to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Notes 10 and 11 to our Consolidated Financial Statements in this Form 10-Q for further details regarding equity capital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2019,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2019,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This document contains forward-looking statements within the meaning of the Private Securities Litigation Reform Act of 1995. These forward-looking statements are based on estimates, projections, beliefs and assumptions of our management as of the date of this Quarterly Report on Form 10-Q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forward-looking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tangible net book value per common share as of June 30, 2019 and December 31, 2018 should interest rates go up or down by 50 and 100 basis points, assuming instantaneous parallel shifts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7" w:right="239" w:bottom="1440" w:gutter="0" w:footer="0" w:header="0"/>
        </w:sectPr>
      </w:pPr>
    </w:p>
    <w:bookmarkStart w:id="44" w:name="page45"/>
    <w:bookmarkEnd w:id="44"/>
    <w:p>
      <w:pPr>
        <w:jc w:val="both"/>
        <w:spacing w:after="0" w:line="308" w:lineRule="auto"/>
        <w:rPr>
          <w:sz w:val="20"/>
          <w:szCs w:val="20"/>
          <w:color w:val="auto"/>
        </w:rPr>
      </w:pPr>
      <w:r>
        <w:rPr>
          <w:rFonts w:ascii="Arial" w:cs="Arial" w:eastAsia="Arial" w:hAnsi="Arial"/>
          <w:sz w:val="17"/>
          <w:szCs w:val="17"/>
          <w:color w:val="auto"/>
        </w:rPr>
        <w:t>yield curve and including the impact of both duration and convexity. All values in the table below are measured as percentage changes from the base interest rate scenario. The base interest rate scenario assumes interest rates and prepayment projections as of June 30, 2019 and December 31, 2018.</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28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Estimated Change in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Per Common</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-11.7%</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-7.3%</w:t>
            </w:r>
          </w:p>
        </w:tc>
        <w:tc>
          <w:tcPr>
            <w:tcW w:w="0" w:type="dxa"/>
            <w:vAlign w:val="bottom"/>
          </w:tcPr>
          <w:p>
            <w:pPr>
              <w:spacing w:after="0"/>
              <w:rPr>
                <w:sz w:val="1"/>
                <w:szCs w:val="1"/>
                <w:color w:val="auto"/>
              </w:rPr>
            </w:pPr>
          </w:p>
        </w:tc>
      </w:tr>
      <w:tr>
        <w:trPr>
          <w:trHeight w:val="264"/>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-3.9%</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-1.4%</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-3.1%</w:t>
            </w:r>
          </w:p>
        </w:tc>
        <w:tc>
          <w:tcPr>
            <w:tcW w:w="0" w:type="dxa"/>
            <w:vAlign w:val="bottom"/>
          </w:tcPr>
          <w:p>
            <w:pPr>
              <w:spacing w:after="0"/>
              <w:rPr>
                <w:sz w:val="1"/>
                <w:szCs w:val="1"/>
                <w:color w:val="auto"/>
              </w:rPr>
            </w:pPr>
          </w:p>
        </w:tc>
      </w:tr>
      <w:tr>
        <w:trPr>
          <w:trHeight w:val="258"/>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-8.6%</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8"/>
              </w:rPr>
              <w:t>-9.3%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2019 and December 31, 2018, our investment securities (excluding TBAs) had a weighted average projected CPR of 12.4% and 7.9%, respectively, and a weighted average yield of 3.21% and 3.31%, respectively. The table below presents estimated weighted average projected CPRs and yields for our investment securities should interest rates go up or down by 50 and 100 basis points.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23495</wp:posOffset>
            </wp:positionV>
            <wp:extent cx="5617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03"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2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80" w:type="dxa"/>
            <w:vAlign w:val="bottom"/>
            <w:vMerge w:val="restart"/>
          </w:tcPr>
          <w:p>
            <w:pPr>
              <w:spacing w:after="0"/>
              <w:rPr>
                <w:sz w:val="13"/>
                <w:szCs w:val="13"/>
                <w:color w:val="auto"/>
              </w:rPr>
            </w:pP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Projected CPR</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Asset Yield </w:t>
            </w:r>
            <w:r>
              <w:rPr>
                <w:rFonts w:ascii="Arial" w:cs="Arial" w:eastAsia="Arial" w:hAnsi="Arial"/>
                <w:sz w:val="8"/>
                <w:szCs w:val="8"/>
                <w:b w:val="1"/>
                <w:bCs w:val="1"/>
                <w:color w:val="auto"/>
                <w:w w:val="90"/>
              </w:rPr>
              <w:t>2</w:t>
            </w:r>
          </w:p>
        </w:tc>
        <w:tc>
          <w:tcPr>
            <w:tcW w:w="0" w:type="dxa"/>
            <w:vAlign w:val="bottom"/>
          </w:tcPr>
          <w:p>
            <w:pPr>
              <w:spacing w:after="0"/>
              <w:rPr>
                <w:sz w:val="1"/>
                <w:szCs w:val="1"/>
                <w:color w:val="auto"/>
              </w:rPr>
            </w:pPr>
          </w:p>
        </w:tc>
      </w:tr>
      <w:tr>
        <w:trPr>
          <w:trHeight w:val="25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2.88%</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64"/>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17.0%</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3.03%</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10.3%</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3.25%</w:t>
            </w:r>
          </w:p>
        </w:tc>
        <w:tc>
          <w:tcPr>
            <w:tcW w:w="0" w:type="dxa"/>
            <w:vAlign w:val="bottom"/>
          </w:tcPr>
          <w:p>
            <w:pPr>
              <w:spacing w:after="0"/>
              <w:rPr>
                <w:sz w:val="1"/>
                <w:szCs w:val="1"/>
                <w:color w:val="auto"/>
              </w:rPr>
            </w:pPr>
          </w:p>
        </w:tc>
      </w:tr>
      <w:tr>
        <w:trPr>
          <w:trHeight w:val="276"/>
        </w:trPr>
        <w:tc>
          <w:tcPr>
            <w:tcW w:w="3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Actual as of Period End</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3.21%</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3.31%</w:t>
            </w:r>
          </w:p>
        </w:tc>
        <w:tc>
          <w:tcPr>
            <w:tcW w:w="0" w:type="dxa"/>
            <w:vAlign w:val="bottom"/>
          </w:tcPr>
          <w:p>
            <w:pPr>
              <w:spacing w:after="0"/>
              <w:rPr>
                <w:sz w:val="1"/>
                <w:szCs w:val="1"/>
                <w:color w:val="auto"/>
              </w:rPr>
            </w:pPr>
          </w:p>
        </w:tc>
      </w:tr>
      <w:tr>
        <w:trPr>
          <w:trHeight w:val="258"/>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8.9%</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3.29%</w:t>
            </w:r>
          </w:p>
        </w:tc>
        <w:tc>
          <w:tcPr>
            <w:tcW w:w="1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6.5%</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3.33%</w:t>
            </w:r>
          </w:p>
        </w:tc>
        <w:tc>
          <w:tcPr>
            <w:tcW w:w="0" w:type="dxa"/>
            <w:vAlign w:val="bottom"/>
          </w:tcPr>
          <w:p>
            <w:pPr>
              <w:spacing w:after="0"/>
              <w:rPr>
                <w:sz w:val="1"/>
                <w:szCs w:val="1"/>
                <w:color w:val="auto"/>
              </w:rPr>
            </w:pP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6.9%</w:t>
            </w:r>
          </w:p>
        </w:tc>
        <w:tc>
          <w:tcPr>
            <w:tcW w:w="1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3.35%</w:t>
            </w:r>
          </w:p>
        </w:tc>
        <w:tc>
          <w:tcPr>
            <w:tcW w:w="1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5.7%</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-163195</wp:posOffset>
            </wp:positionV>
            <wp:extent cx="561721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1721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Derived from models that are dependent on inputs and assumptions provided by third parties and assumes a static portfolio. Actual results could differ materially from these estimates. Table excludes TBA securities.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Asset yield based on historical cost basis and does not include the impact of retroactive "catch-up" premium amortization adjustments due to changes in projected CPR.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U.S. and foreign central banks, liquidity, or changes in required rates of return on different assets. Our strategies are generally not specifically designed to protect against spread risk, thus while we use interest rate swaps and other hedges to attempt to protect against moves in interest rates, our tangible net book value could decline if spreads widen.</w:t>
      </w:r>
    </w:p>
    <w:p>
      <w:pPr>
        <w:spacing w:after="0" w:line="12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table below quantifies the estimated changes in the fair value of our assets, net of hedges, and our tangible net book value per common share as of June 30, 2019 and December 31, 2018 should spreads widen or tighten by 10 and 25 basis points. The estimated impact of changes in spreads is in addition to our interest rate shock sensitivity included in the interest rate shock table above. The table below assumes a spread duration of 4.4 and 5.6 years as of June 30, 2019 and December 31, 2018, respectively, based on interest rates and prices as of such dates. However, our portfolio's sensitivity of mortgage spread changes will vary with changes in interest rates and in the size and composition of our portfolio. Therefore, actual results could differ materially from our estimates.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27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5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Estimated Change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Estimated Change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Estimated Change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14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 Tangible Net</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8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 Portfolio Market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Book Value Per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5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+14.3%</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+0.4%</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+5.0%</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+5.7%</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-5.7%</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-12.5%</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-1.4%</w:t>
            </w: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As of June 30, 2019, we had unrestricted cash and cash equivalents of $0.9 billion and unpledged securities of approximately $4.4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38"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can reduce our ability to leverage our portfolio or even force us to sell assets, especially if correlated with asset price declines or faster prepayment rates on our assets.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prudent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monitor and adjust the amount of collateral pledged based on changes in market value.</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amounts cleared through a central clearing exchange, as of June 30, 2019, our maximum amount at risk with any counterparty related to our repurchase agreements was less than 4% of our tangible stockholders' equity and less than 1% of tangible stockholders' equity related to our interest rate swap and swaption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June 30, 2019.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AGNC is a named party to three stockholder derivative lawsuits filed against certain of our current and former directors and officers, and ACAS, LLC (f/k/a American Capital, Ltd.) and certain of its affiliates as previously disclosed in our Annual Report on Form 10-K for the year ended December 31, 2018. To avoid the ongoing costs and burdens of litigation and without admitting liability or wrongdoing, on June 11, 2019, the named defendants reached an agreement with the plaintiff in the matter called </w:t>
      </w:r>
      <w:r>
        <w:rPr>
          <w:rFonts w:ascii="Arial" w:cs="Arial" w:eastAsia="Arial" w:hAnsi="Arial"/>
          <w:sz w:val="16"/>
          <w:szCs w:val="16"/>
          <w:i w:val="1"/>
          <w:iCs w:val="1"/>
          <w:color w:val="auto"/>
        </w:rPr>
        <w:t>H&amp;N Management Group &amp; Aff Cos. Frozen Money Pension Plan v. Couch, et al.,</w:t>
      </w:r>
      <w:r>
        <w:rPr>
          <w:rFonts w:ascii="Arial" w:cs="Arial" w:eastAsia="Arial" w:hAnsi="Arial"/>
          <w:sz w:val="16"/>
          <w:szCs w:val="16"/>
          <w:color w:val="auto"/>
        </w:rPr>
        <w:t xml:space="preserve"> pending in the Chancery Court for the State of Delaware (the “Delaware Court”), to settle the claims against them pursuant to the Stipulation and Agreement of Compromise, Settlement and Release filed with the Delaware Court (the “Stipulation”). The Stipulation provides for an aggregate payment of $35.5 million to the Company on behalf of all defendants, which will be reduced by, among other things, any amounts awarded by the Delaware Court for plaintiff attorneys fees. The Stipulation also provides for a release from liability of the Company and the defendants and certain of their respective affiliates. The settlement is subject to, among other things, final approval by the Delaware Court and dismissal with prejudice of the other stockholder derivative litigation pending in the United States District Court for the District of Maryland. The Delaware Court has set a final approval hearing for October 15, 2019. The above description of the Stipulation is qualified in its entirety by reference to the Stipulation and the Amended Notice of Pendency of Derivative Action, Proposed Settlement of Derivative Action, Settlement Hearing and Right to Appear, each of which is available on the investors page of our website at: ir.agnc.com.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8" w:name="page49"/>
    <w:bookmarkEnd w:id="48"/>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tab/>
        <w:t>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3">
        <w:r>
          <w:rPr>
            <w:rFonts w:ascii="Arial" w:cs="Arial" w:eastAsia="Arial" w:hAnsi="Arial"/>
            <w:sz w:val="18"/>
            <w:szCs w:val="18"/>
            <w:color w:val="auto"/>
          </w:rPr>
          <w:t>*3.1 AGNC Investment Corp. Amended and Restated Certificate of Incorporation, as amended, incorporated herein by reference</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to Exhibit 3.1 of Form 10-Q for the quarter ended March 31, 2018 (File No. 001-34057), filed May 7, 2018.</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34">
        <w:r>
          <w:rPr>
            <w:rFonts w:ascii="Arial" w:cs="Arial" w:eastAsia="Arial" w:hAnsi="Arial"/>
            <w:sz w:val="18"/>
            <w:szCs w:val="18"/>
            <w:color w:val="auto"/>
          </w:rPr>
          <w:t>*3.2 AGNC Investment Corp. Third Amended and Restated Bylaws, as amended, incorporated herein by reference to Exhibit 3.2</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of Form 10-Q for the quarter ended September 30, 2016 (File No. 001-34057), filed November 7, 2016.</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5">
        <w:r>
          <w:rPr>
            <w:rFonts w:ascii="Arial" w:cs="Arial" w:eastAsia="Arial" w:hAnsi="Arial"/>
            <w:sz w:val="18"/>
            <w:szCs w:val="18"/>
            <w:color w:val="auto"/>
          </w:rPr>
          <w:t>*3.3 Certificate of Designations of 7.750% Series B Cumulative Redeemable Preferred Stock, incorporated herein by reference</w:t>
        </w:r>
      </w:hyperlink>
      <w:r>
        <w:rPr>
          <w:rFonts w:ascii="Arial" w:cs="Arial" w:eastAsia="Arial" w:hAnsi="Arial"/>
          <w:sz w:val="18"/>
          <w:szCs w:val="18"/>
          <w:color w:val="auto"/>
        </w:rPr>
        <w:t xml:space="preserve"> </w:t>
      </w:r>
      <w:hyperlink r:id="rId35">
        <w:r>
          <w:rPr>
            <w:rFonts w:ascii="Arial" w:cs="Arial" w:eastAsia="Arial" w:hAnsi="Arial"/>
            <w:sz w:val="18"/>
            <w:szCs w:val="18"/>
            <w:color w:val="auto"/>
          </w:rPr>
          <w:t>to Exhibit 3.4 of Form 8-A (File No. 001-34057), filed May 7, 2014.</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6">
        <w:r>
          <w:rPr>
            <w:rFonts w:ascii="Arial" w:cs="Arial" w:eastAsia="Arial" w:hAnsi="Arial"/>
            <w:sz w:val="18"/>
            <w:szCs w:val="18"/>
            <w:color w:val="auto"/>
          </w:rPr>
          <w:t>*3.4 Certificate of Designations of 7.00% Series C Fixed-to-Floating Rate Cumulative Redeemable Preferred Stock,</w:t>
        </w:r>
      </w:hyperlink>
      <w:r>
        <w:rPr>
          <w:rFonts w:ascii="Arial" w:cs="Arial" w:eastAsia="Arial" w:hAnsi="Arial"/>
          <w:sz w:val="18"/>
          <w:szCs w:val="18"/>
          <w:color w:val="auto"/>
        </w:rPr>
        <w:t xml:space="preserve"> </w:t>
      </w:r>
      <w:hyperlink r:id="rId36">
        <w:r>
          <w:rPr>
            <w:rFonts w:ascii="Arial" w:cs="Arial" w:eastAsia="Arial" w:hAnsi="Arial"/>
            <w:sz w:val="18"/>
            <w:szCs w:val="18"/>
            <w:color w:val="auto"/>
          </w:rPr>
          <w:t>incorporated herein by reference to Exhibit 3.5 of Form 8-A (File No. 001-34057), filed August 18,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7">
        <w:r>
          <w:rPr>
            <w:rFonts w:ascii="Arial" w:cs="Arial" w:eastAsia="Arial" w:hAnsi="Arial"/>
            <w:sz w:val="18"/>
            <w:szCs w:val="18"/>
            <w:color w:val="auto"/>
          </w:rPr>
          <w:t>*3.5 Certificate of Elimination of 8.000% Series A Cumulative Redeemable Preferred Stock, incorporated herein by reference to</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Exhibit 3.1 of Form 8-K (File No 001-34057), filed October 26,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8">
        <w:r>
          <w:rPr>
            <w:rFonts w:ascii="Arial" w:cs="Arial" w:eastAsia="Arial" w:hAnsi="Arial"/>
            <w:sz w:val="18"/>
            <w:szCs w:val="18"/>
            <w:color w:val="auto"/>
          </w:rPr>
          <w:t>*3.6 Certificate of Designations of 6.875% Series D Fixed-to-Floating Rate Cumulative Redeemable Preferred Stock,</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incorporated herein by reference to Exhibit 3.5 of Form 8-A (File No 001-34057), filed March 6, 2019.</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33">
        <w:r>
          <w:rPr>
            <w:rFonts w:ascii="Arial" w:cs="Arial" w:eastAsia="Arial" w:hAnsi="Arial"/>
            <w:sz w:val="18"/>
            <w:szCs w:val="18"/>
            <w:color w:val="auto"/>
          </w:rPr>
          <w:t>*4.1 Instruments defining the rights of holders of securities: See Article IV of our Amended and Restated Certificate of</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Incorporation, as amended, incorporated herein by reference to Exhibit 3.1 of Form 10-Q for the quarter ended March 31, 2018 (File No.</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001-34057) filed May 7, 2018.</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4">
        <w:r>
          <w:rPr>
            <w:rFonts w:ascii="Arial" w:cs="Arial" w:eastAsia="Arial" w:hAnsi="Arial"/>
            <w:sz w:val="18"/>
            <w:szCs w:val="18"/>
            <w:color w:val="auto"/>
          </w:rPr>
          <w:t>*4.2 Instruments defining the rights of holders of securities: See Article VI of our Third Amended and Restated Bylaws, as</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amended, incorporated herein by reference to Exhibit 3.2 of Form 10-Q for the quarter ended September 30, 2016 (File No. 001-34057)</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filed November 7, 2016.</w:t>
        </w:r>
      </w:hyperlink>
    </w:p>
    <w:p>
      <w:pPr>
        <w:spacing w:after="0" w:line="127" w:lineRule="exact"/>
        <w:rPr>
          <w:rFonts w:ascii="Arial" w:cs="Arial" w:eastAsia="Arial" w:hAnsi="Arial"/>
          <w:sz w:val="18"/>
          <w:szCs w:val="18"/>
          <w:color w:val="auto"/>
        </w:rPr>
      </w:pPr>
    </w:p>
    <w:p>
      <w:pPr>
        <w:jc w:val="both"/>
        <w:ind w:left="1300" w:firstLine="648"/>
        <w:spacing w:after="0" w:line="277" w:lineRule="auto"/>
        <w:rPr>
          <w:rFonts w:ascii="Arial" w:cs="Arial" w:eastAsia="Arial" w:hAnsi="Arial"/>
          <w:sz w:val="18"/>
          <w:szCs w:val="18"/>
          <w:color w:val="auto"/>
        </w:rPr>
      </w:pPr>
      <w:hyperlink r:id="rId39">
        <w:r>
          <w:rPr>
            <w:rFonts w:ascii="Arial" w:cs="Arial" w:eastAsia="Arial" w:hAnsi="Arial"/>
            <w:sz w:val="18"/>
            <w:szCs w:val="18"/>
            <w:color w:val="auto"/>
          </w:rPr>
          <w:t>*4.3 Form of Certificate for Common Stock, incorporated herein by reference to Exhibit 4.3 of Form 10-Q for the quarter ended</w:t>
        </w:r>
      </w:hyperlink>
      <w:r>
        <w:rPr>
          <w:rFonts w:ascii="Arial" w:cs="Arial" w:eastAsia="Arial" w:hAnsi="Arial"/>
          <w:sz w:val="18"/>
          <w:szCs w:val="18"/>
          <w:color w:val="auto"/>
        </w:rPr>
        <w:t xml:space="preserve"> </w:t>
      </w:r>
      <w:hyperlink r:id="rId39">
        <w:r>
          <w:rPr>
            <w:rFonts w:ascii="Arial" w:cs="Arial" w:eastAsia="Arial" w:hAnsi="Arial"/>
            <w:sz w:val="18"/>
            <w:szCs w:val="18"/>
            <w:color w:val="auto"/>
          </w:rPr>
          <w:t>September 30, 2016 (File No. 001-34057), filed November 7, 2016.</w:t>
        </w:r>
      </w:hyperlink>
    </w:p>
    <w:p>
      <w:pPr>
        <w:spacing w:after="0" w:line="116"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r:id="rId40">
        <w:r>
          <w:rPr>
            <w:rFonts w:ascii="Arial" w:cs="Arial" w:eastAsia="Arial" w:hAnsi="Arial"/>
            <w:sz w:val="18"/>
            <w:szCs w:val="18"/>
            <w:color w:val="auto"/>
          </w:rPr>
          <w:t>*4.4</w:t>
        </w:r>
      </w:hyperlink>
      <w:r>
        <w:rPr>
          <w:rFonts w:ascii="Arial" w:cs="Arial" w:eastAsia="Arial" w:hAnsi="Arial"/>
          <w:sz w:val="18"/>
          <w:szCs w:val="18"/>
          <w:color w:val="auto"/>
        </w:rPr>
        <w:tab/>
      </w:r>
      <w:hyperlink r:id="rId40">
        <w:r>
          <w:rPr>
            <w:rFonts w:ascii="Arial" w:cs="Arial" w:eastAsia="Arial" w:hAnsi="Arial"/>
            <w:sz w:val="16"/>
            <w:szCs w:val="16"/>
            <w:color w:val="auto"/>
          </w:rPr>
          <w:t>Specimen 7.750% Series B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40">
        <w:r>
          <w:rPr>
            <w:rFonts w:ascii="Arial" w:cs="Arial" w:eastAsia="Arial" w:hAnsi="Arial"/>
            <w:sz w:val="18"/>
            <w:szCs w:val="18"/>
            <w:color w:val="auto"/>
          </w:rPr>
          <w:t>4.1 of Form 8-A (File No. 001-34057), filed May 7, 2014.</w:t>
        </w:r>
      </w:hyperlink>
    </w:p>
    <w:p>
      <w:pPr>
        <w:spacing w:after="0" w:line="157"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41">
        <w:r>
          <w:rPr>
            <w:rFonts w:ascii="Arial" w:cs="Arial" w:eastAsia="Arial" w:hAnsi="Arial"/>
            <w:sz w:val="18"/>
            <w:szCs w:val="18"/>
            <w:color w:val="auto"/>
          </w:rPr>
          <w:t>*4.5 Specimen 7.00% Series C Fixed-to-Floating Rate Cumulative Redeemable Preferred Stock Certificate, incorporated herein</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by reference to Exhibit 4.1 of Form 8-A (File No. 001-34057), filed August 18, 2017.</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42">
        <w:r>
          <w:rPr>
            <w:rFonts w:ascii="Arial" w:cs="Arial" w:eastAsia="Arial" w:hAnsi="Arial"/>
            <w:sz w:val="18"/>
            <w:szCs w:val="18"/>
            <w:color w:val="auto"/>
          </w:rPr>
          <w:t>*4.6 Specimen 6.875% Series D Fixed-to-Floating Rate Cumulative Redeemable Preferred Stock Certificate, incorporated herein</w:t>
        </w:r>
      </w:hyperlink>
      <w:r>
        <w:rPr>
          <w:rFonts w:ascii="Arial" w:cs="Arial" w:eastAsia="Arial" w:hAnsi="Arial"/>
          <w:sz w:val="18"/>
          <w:szCs w:val="18"/>
          <w:color w:val="auto"/>
        </w:rPr>
        <w:t xml:space="preserve"> </w:t>
      </w:r>
      <w:hyperlink r:id="rId42">
        <w:r>
          <w:rPr>
            <w:rFonts w:ascii="Arial" w:cs="Arial" w:eastAsia="Arial" w:hAnsi="Arial"/>
            <w:sz w:val="18"/>
            <w:szCs w:val="18"/>
            <w:color w:val="auto"/>
          </w:rPr>
          <w:t>by reference to Exhibit 4.1 of Form 8-A (File No. 001-34057), filed March 6, 2019.</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43">
        <w:r>
          <w:rPr>
            <w:rFonts w:ascii="Arial" w:cs="Arial" w:eastAsia="Arial" w:hAnsi="Arial"/>
            <w:sz w:val="18"/>
            <w:szCs w:val="18"/>
            <w:color w:val="auto"/>
          </w:rPr>
          <w:t>*4.7Deposit Agreement relating to 7.750% Series B Cumulative Redeemable Preferred Stock, dated May 8, 2014, among</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American Capital Agency Corp., Computershare Inc. and Computershare Trust Company, N.A., jointly as depositary, incorporated herein</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by reference to Exhibit 4.2 of Form 8-K (File No. 001-34057), filed May 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43">
        <w:r>
          <w:rPr>
            <w:rFonts w:ascii="Arial" w:cs="Arial" w:eastAsia="Arial" w:hAnsi="Arial"/>
            <w:sz w:val="18"/>
            <w:szCs w:val="18"/>
            <w:color w:val="auto"/>
          </w:rPr>
          <w:t>*4.8 Form of Depositary Receipt representing 1/1,000th of a share of 7.750% Series B Cumulative Redeemable Preferred Stock</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(included as part of Exhibit 4.7), incorporated herein by reference to Exhibit A of Exhibit 4.2 of Form 8-K (File No. 001-34057), filed May</w:t>
        </w:r>
      </w:hyperlink>
      <w:r>
        <w:rPr>
          <w:rFonts w:ascii="Arial" w:cs="Arial" w:eastAsia="Arial" w:hAnsi="Arial"/>
          <w:sz w:val="18"/>
          <w:szCs w:val="18"/>
          <w:color w:val="auto"/>
        </w:rPr>
        <w:t xml:space="preserve"> </w:t>
      </w:r>
      <w:hyperlink r:id="rId43">
        <w:r>
          <w:rPr>
            <w:rFonts w:ascii="Arial" w:cs="Arial" w:eastAsia="Arial" w:hAnsi="Arial"/>
            <w:sz w:val="18"/>
            <w:szCs w:val="18"/>
            <w:color w:val="auto"/>
          </w:rPr>
          <w:t>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44">
        <w:r>
          <w:rPr>
            <w:rFonts w:ascii="Arial" w:cs="Arial" w:eastAsia="Arial" w:hAnsi="Arial"/>
            <w:sz w:val="18"/>
            <w:szCs w:val="18"/>
            <w:color w:val="auto"/>
          </w:rPr>
          <w:t>*4.9Deposit Agreement relating to 7.00% Series C Fixed-to-Floating Rate Cumulative Redeemable Preferred Stock, dated August</w:t>
        </w:r>
      </w:hyperlink>
      <w:r>
        <w:rPr>
          <w:rFonts w:ascii="Arial" w:cs="Arial" w:eastAsia="Arial" w:hAnsi="Arial"/>
          <w:sz w:val="18"/>
          <w:szCs w:val="18"/>
          <w:color w:val="auto"/>
        </w:rPr>
        <w:t xml:space="preserve"> </w:t>
      </w:r>
      <w:hyperlink r:id="rId44">
        <w:r>
          <w:rPr>
            <w:rFonts w:ascii="Arial" w:cs="Arial" w:eastAsia="Arial" w:hAnsi="Arial"/>
            <w:sz w:val="18"/>
            <w:szCs w:val="18"/>
            <w:color w:val="auto"/>
          </w:rPr>
          <w:t>22, 2017, among AGNC Investment Corp., Computershare Inc. and Computershare Trust Company, N.A., jointly as depositary,</w:t>
        </w:r>
      </w:hyperlink>
      <w:r>
        <w:rPr>
          <w:rFonts w:ascii="Arial" w:cs="Arial" w:eastAsia="Arial" w:hAnsi="Arial"/>
          <w:sz w:val="18"/>
          <w:szCs w:val="18"/>
          <w:color w:val="auto"/>
        </w:rPr>
        <w:t xml:space="preserve"> </w:t>
      </w:r>
      <w:hyperlink r:id="rId44">
        <w:r>
          <w:rPr>
            <w:rFonts w:ascii="Arial" w:cs="Arial" w:eastAsia="Arial" w:hAnsi="Arial"/>
            <w:sz w:val="18"/>
            <w:szCs w:val="18"/>
            <w:color w:val="auto"/>
          </w:rPr>
          <w:t>incorporated herein by reference to Exhibit 4.2 of Form 8-K (File No. 001-34057) filed August 22, 2017.</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44">
        <w:r>
          <w:rPr>
            <w:rFonts w:ascii="Arial" w:cs="Arial" w:eastAsia="Arial" w:hAnsi="Arial"/>
            <w:sz w:val="18"/>
            <w:szCs w:val="18"/>
            <w:color w:val="auto"/>
          </w:rPr>
          <w:t>*4.10 Form of Depositary Receipt representing 1/1,000th of a share of 7.00% Series C Fixed-to-Floating Rate Cumulative</w:t>
        </w:r>
      </w:hyperlink>
      <w:r>
        <w:rPr>
          <w:rFonts w:ascii="Arial" w:cs="Arial" w:eastAsia="Arial" w:hAnsi="Arial"/>
          <w:sz w:val="18"/>
          <w:szCs w:val="18"/>
          <w:color w:val="auto"/>
        </w:rPr>
        <w:t xml:space="preserve"> </w:t>
      </w:r>
      <w:hyperlink r:id="rId44">
        <w:r>
          <w:rPr>
            <w:rFonts w:ascii="Arial" w:cs="Arial" w:eastAsia="Arial" w:hAnsi="Arial"/>
            <w:sz w:val="18"/>
            <w:szCs w:val="18"/>
            <w:color w:val="auto"/>
          </w:rPr>
          <w:t>Redeemable Preferred Stock (included as part of Exhibit 4.9), incorporated herein by reference to Exhibit A of Exhibit 4.2 of Form 8-K</w:t>
        </w:r>
      </w:hyperlink>
      <w:r>
        <w:rPr>
          <w:rFonts w:ascii="Arial" w:cs="Arial" w:eastAsia="Arial" w:hAnsi="Arial"/>
          <w:sz w:val="18"/>
          <w:szCs w:val="18"/>
          <w:color w:val="auto"/>
        </w:rPr>
        <w:t xml:space="preserve"> </w:t>
      </w:r>
      <w:hyperlink r:id="rId44">
        <w:r>
          <w:rPr>
            <w:rFonts w:ascii="Arial" w:cs="Arial" w:eastAsia="Arial" w:hAnsi="Arial"/>
            <w:sz w:val="18"/>
            <w:szCs w:val="18"/>
            <w:color w:val="auto"/>
          </w:rPr>
          <w:t>(File No. 001-34057) filed August 22, 2017.</w:t>
        </w:r>
      </w:hyperlink>
    </w:p>
    <w:p>
      <w:pPr>
        <w:spacing w:after="0" w:line="2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9" w:name="page50"/>
    <w:bookmarkEnd w:id="49"/>
    <w:p>
      <w:pPr>
        <w:jc w:val="both"/>
        <w:ind w:left="1300" w:firstLine="648"/>
        <w:spacing w:after="0" w:line="264" w:lineRule="auto"/>
        <w:rPr>
          <w:rFonts w:ascii="Arial" w:cs="Arial" w:eastAsia="Arial" w:hAnsi="Arial"/>
          <w:sz w:val="18"/>
          <w:szCs w:val="18"/>
          <w:color w:val="auto"/>
        </w:rPr>
      </w:pPr>
      <w:hyperlink r:id="rId45">
        <w:r>
          <w:rPr>
            <w:rFonts w:ascii="Arial" w:cs="Arial" w:eastAsia="Arial" w:hAnsi="Arial"/>
            <w:sz w:val="18"/>
            <w:szCs w:val="18"/>
            <w:color w:val="auto"/>
          </w:rPr>
          <w:t>*4.11 Deposit Agreement relating to 6.875% Series D Fixed-to-Floating Rate Cumulative Redeemable Preferred Stock, dated</w:t>
        </w:r>
      </w:hyperlink>
      <w:r>
        <w:rPr>
          <w:rFonts w:ascii="Arial" w:cs="Arial" w:eastAsia="Arial" w:hAnsi="Arial"/>
          <w:sz w:val="18"/>
          <w:szCs w:val="18"/>
          <w:color w:val="auto"/>
        </w:rPr>
        <w:t xml:space="preserve"> </w:t>
      </w:r>
      <w:hyperlink r:id="rId45">
        <w:r>
          <w:rPr>
            <w:rFonts w:ascii="Arial" w:cs="Arial" w:eastAsia="Arial" w:hAnsi="Arial"/>
            <w:sz w:val="18"/>
            <w:szCs w:val="18"/>
            <w:color w:val="auto"/>
          </w:rPr>
          <w:t>March 6, 2019, among AGNC Investment Corp., Computershare Inc. and Computershare Trust Company, N.A., jointly as depositary,</w:t>
        </w:r>
      </w:hyperlink>
      <w:r>
        <w:rPr>
          <w:rFonts w:ascii="Arial" w:cs="Arial" w:eastAsia="Arial" w:hAnsi="Arial"/>
          <w:sz w:val="18"/>
          <w:szCs w:val="18"/>
          <w:color w:val="auto"/>
        </w:rPr>
        <w:t xml:space="preserve"> </w:t>
      </w:r>
      <w:hyperlink r:id="rId45">
        <w:r>
          <w:rPr>
            <w:rFonts w:ascii="Arial" w:cs="Arial" w:eastAsia="Arial" w:hAnsi="Arial"/>
            <w:sz w:val="18"/>
            <w:szCs w:val="18"/>
            <w:color w:val="auto"/>
          </w:rPr>
          <w:t>incorporated herein by reference to Exhibit 4.2 of Form 8-K (File No. 001-34057) filed March 6, 2019.</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45">
        <w:r>
          <w:rPr>
            <w:rFonts w:ascii="Arial" w:cs="Arial" w:eastAsia="Arial" w:hAnsi="Arial"/>
            <w:sz w:val="18"/>
            <w:szCs w:val="18"/>
            <w:color w:val="auto"/>
          </w:rPr>
          <w:t>*4.12Form of Depositary Receipt representing 1/1,000th of a share of 6.875% Series D Fixed-to-Floating Rate Cumulative</w:t>
        </w:r>
      </w:hyperlink>
      <w:r>
        <w:rPr>
          <w:rFonts w:ascii="Arial" w:cs="Arial" w:eastAsia="Arial" w:hAnsi="Arial"/>
          <w:sz w:val="18"/>
          <w:szCs w:val="18"/>
          <w:color w:val="auto"/>
        </w:rPr>
        <w:t xml:space="preserve"> </w:t>
      </w:r>
      <w:hyperlink r:id="rId45">
        <w:r>
          <w:rPr>
            <w:rFonts w:ascii="Arial" w:cs="Arial" w:eastAsia="Arial" w:hAnsi="Arial"/>
            <w:sz w:val="18"/>
            <w:szCs w:val="18"/>
            <w:color w:val="auto"/>
          </w:rPr>
          <w:t>Redeemable Preferred Stock (included as part of Exhibit 4.11), incorporated herein by reference to Exhibit A of Exhibit 4.2 of Form 8-K</w:t>
        </w:r>
      </w:hyperlink>
      <w:r>
        <w:rPr>
          <w:rFonts w:ascii="Arial" w:cs="Arial" w:eastAsia="Arial" w:hAnsi="Arial"/>
          <w:sz w:val="18"/>
          <w:szCs w:val="18"/>
          <w:color w:val="auto"/>
        </w:rPr>
        <w:t xml:space="preserve"> </w:t>
      </w:r>
      <w:hyperlink r:id="rId45">
        <w:r>
          <w:rPr>
            <w:rFonts w:ascii="Arial" w:cs="Arial" w:eastAsia="Arial" w:hAnsi="Arial"/>
            <w:sz w:val="18"/>
            <w:szCs w:val="18"/>
            <w:color w:val="auto"/>
          </w:rPr>
          <w:t>(File No. 001-34057) filed March 6, 2019.</w:t>
        </w:r>
      </w:hyperlink>
    </w:p>
    <w:p>
      <w:pPr>
        <w:spacing w:after="0" w:line="127" w:lineRule="exact"/>
        <w:rPr>
          <w:rFonts w:ascii="Arial" w:cs="Arial" w:eastAsia="Arial" w:hAnsi="Arial"/>
          <w:sz w:val="18"/>
          <w:szCs w:val="18"/>
          <w:color w:val="auto"/>
        </w:rPr>
      </w:pPr>
    </w:p>
    <w:p>
      <w:pPr>
        <w:ind w:left="1300" w:right="220" w:firstLine="648"/>
        <w:spacing w:after="0" w:line="277" w:lineRule="auto"/>
        <w:rPr>
          <w:rFonts w:ascii="Arial" w:cs="Arial" w:eastAsia="Arial" w:hAnsi="Arial"/>
          <w:sz w:val="18"/>
          <w:szCs w:val="18"/>
          <w:color w:val="auto"/>
        </w:rPr>
      </w:pPr>
      <w:hyperlink r:id="rId46">
        <w:r>
          <w:rPr>
            <w:rFonts w:ascii="Arial" w:cs="Arial" w:eastAsia="Arial" w:hAnsi="Arial"/>
            <w:sz w:val="18"/>
            <w:szCs w:val="18"/>
            <w:color w:val="auto"/>
          </w:rPr>
          <w:t>* 10 Form of Indemnification Agreement, incorporated herein by reference to Exhibit 10.1 of Form 8-K (File No. 001-34057),</w:t>
        </w:r>
      </w:hyperlink>
      <w:r>
        <w:rPr>
          <w:rFonts w:ascii="Arial" w:cs="Arial" w:eastAsia="Arial" w:hAnsi="Arial"/>
          <w:sz w:val="18"/>
          <w:szCs w:val="18"/>
          <w:color w:val="auto"/>
        </w:rPr>
        <w:t xml:space="preserve"> </w:t>
      </w:r>
      <w:hyperlink r:id="rId46">
        <w:r>
          <w:rPr>
            <w:rFonts w:ascii="Arial" w:cs="Arial" w:eastAsia="Arial" w:hAnsi="Arial"/>
            <w:sz w:val="18"/>
            <w:szCs w:val="18"/>
            <w:color w:val="auto"/>
          </w:rPr>
          <w:t>filed April 19, 2019.</w:t>
        </w:r>
      </w:hyperlink>
    </w:p>
    <w:p>
      <w:pPr>
        <w:spacing w:after="0" w:line="116" w:lineRule="exact"/>
        <w:rPr>
          <w:sz w:val="20"/>
          <w:szCs w:val="20"/>
          <w:color w:val="auto"/>
        </w:rPr>
      </w:pPr>
    </w:p>
    <w:p>
      <w:pPr>
        <w:ind w:left="1960"/>
        <w:spacing w:after="0"/>
        <w:tabs>
          <w:tab w:leader="none" w:pos="2300" w:val="left"/>
        </w:tabs>
        <w:rPr>
          <w:rFonts w:ascii="Arial" w:cs="Arial" w:eastAsia="Arial" w:hAnsi="Arial"/>
          <w:sz w:val="18"/>
          <w:szCs w:val="18"/>
          <w:color w:val="auto"/>
        </w:rPr>
      </w:pPr>
      <w:r>
        <w:rPr>
          <w:rFonts w:ascii="Arial" w:cs="Arial" w:eastAsia="Arial" w:hAnsi="Arial"/>
          <w:sz w:val="18"/>
          <w:szCs w:val="18"/>
          <w:color w:val="auto"/>
        </w:rPr>
        <w:t>14</w:t>
        <w:tab/>
      </w:r>
      <w:hyperlink w:anchor="page52">
        <w:r>
          <w:rPr>
            <w:rFonts w:ascii="Arial" w:cs="Arial" w:eastAsia="Arial" w:hAnsi="Arial"/>
            <w:sz w:val="18"/>
            <w:szCs w:val="18"/>
            <w:color w:val="auto"/>
          </w:rPr>
          <w:t>AGNC Investment Corp. Code of Ethics and Conduct, adopted July 18, 2019, filed herewith.</w:t>
        </w:r>
      </w:hyperlink>
    </w:p>
    <w:p>
      <w:pPr>
        <w:spacing w:after="0" w:line="171"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w:anchor="page63">
        <w:r>
          <w:rPr>
            <w:rFonts w:ascii="Arial" w:cs="Arial" w:eastAsia="Arial" w:hAnsi="Arial"/>
            <w:sz w:val="18"/>
            <w:szCs w:val="18"/>
            <w:color w:val="auto"/>
          </w:rPr>
          <w:t>31.1</w:t>
        </w:r>
      </w:hyperlink>
      <w:r>
        <w:rPr>
          <w:rFonts w:ascii="Arial" w:cs="Arial" w:eastAsia="Arial" w:hAnsi="Arial"/>
          <w:sz w:val="18"/>
          <w:szCs w:val="18"/>
          <w:color w:val="auto"/>
        </w:rPr>
        <w:tab/>
      </w:r>
      <w:hyperlink w:anchor="page63">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w:anchor="page64">
        <w:r>
          <w:rPr>
            <w:rFonts w:ascii="Arial" w:cs="Arial" w:eastAsia="Arial" w:hAnsi="Arial"/>
            <w:sz w:val="18"/>
            <w:szCs w:val="18"/>
            <w:color w:val="auto"/>
          </w:rPr>
          <w:t>31.2</w:t>
        </w:r>
      </w:hyperlink>
      <w:r>
        <w:rPr>
          <w:rFonts w:ascii="Arial" w:cs="Arial" w:eastAsia="Arial" w:hAnsi="Arial"/>
          <w:sz w:val="18"/>
          <w:szCs w:val="18"/>
          <w:color w:val="auto"/>
        </w:rPr>
        <w:tab/>
      </w:r>
      <w:hyperlink w:anchor="page64">
        <w:r>
          <w:rPr>
            <w:rFonts w:ascii="Arial" w:cs="Arial" w:eastAsia="Arial" w:hAnsi="Arial"/>
            <w:sz w:val="16"/>
            <w:szCs w:val="16"/>
            <w:color w:val="auto"/>
          </w:rPr>
          <w:t>Certification of CFO Pursuant to Section 302(a) of the Sarbanes-Oxley Act of 2002.</w:t>
        </w:r>
      </w:hyperlink>
    </w:p>
    <w:p>
      <w:pPr>
        <w:spacing w:after="0" w:line="171" w:lineRule="exact"/>
        <w:rPr>
          <w:sz w:val="20"/>
          <w:szCs w:val="20"/>
          <w:color w:val="auto"/>
        </w:rPr>
      </w:pPr>
    </w:p>
    <w:p>
      <w:pPr>
        <w:ind w:left="1960"/>
        <w:spacing w:after="0"/>
        <w:tabs>
          <w:tab w:leader="none" w:pos="2300" w:val="left"/>
        </w:tabs>
        <w:rPr>
          <w:rFonts w:ascii="Arial" w:cs="Arial" w:eastAsia="Arial" w:hAnsi="Arial"/>
          <w:sz w:val="18"/>
          <w:szCs w:val="18"/>
          <w:color w:val="auto"/>
        </w:rPr>
      </w:pPr>
      <w:r>
        <w:rPr>
          <w:rFonts w:ascii="Arial" w:cs="Arial" w:eastAsia="Arial" w:hAnsi="Arial"/>
          <w:sz w:val="18"/>
          <w:szCs w:val="18"/>
          <w:color w:val="auto"/>
        </w:rPr>
        <w:t>32</w:t>
        <w:tab/>
      </w:r>
      <w:hyperlink w:anchor="page65">
        <w:r>
          <w:rPr>
            <w:rFonts w:ascii="Arial" w:cs="Arial" w:eastAsia="Arial" w:hAnsi="Arial"/>
            <w:sz w:val="18"/>
            <w:szCs w:val="18"/>
            <w:color w:val="auto"/>
          </w:rPr>
          <w:t>Certification of CEO and CFO Pursuant to Section 906 of the Sarbanes-Oxley Act of 2002.</w:t>
        </w:r>
      </w:hyperlink>
    </w:p>
    <w:p>
      <w:pPr>
        <w:sectPr>
          <w:pgSz w:w="11900" w:h="16838" w:orient="portrait"/>
          <w:cols w:equalWidth="0" w:num="1">
            <w:col w:w="11420"/>
          </w:cols>
          <w:pgMar w:left="240" w:top="746"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193" w:lineRule="exact"/>
        <w:rPr>
          <w:sz w:val="20"/>
          <w:szCs w:val="20"/>
          <w:color w:val="auto"/>
        </w:rPr>
      </w:pPr>
    </w:p>
    <w:p>
      <w:pPr>
        <w:sectPr>
          <w:pgSz w:w="11900" w:h="16838" w:orient="portrait"/>
          <w:cols w:equalWidth="0" w:num="2">
            <w:col w:w="800" w:space="50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94" w:lineRule="exact"/>
        <w:rPr>
          <w:sz w:val="20"/>
          <w:szCs w:val="20"/>
          <w:color w:val="auto"/>
        </w:rPr>
      </w:pPr>
    </w:p>
    <w:p>
      <w:pPr>
        <w:sectPr>
          <w:pgSz w:w="11900" w:h="16838" w:orient="portrait"/>
          <w:cols w:equalWidth="0" w:num="2">
            <w:col w:w="860" w:space="44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sz w:val="20"/>
          <w:szCs w:val="20"/>
          <w:color w:val="auto"/>
        </w:rPr>
      </w:pPr>
    </w:p>
    <w:p>
      <w:pPr>
        <w:sectPr>
          <w:pgSz w:w="11900" w:h="16838" w:orient="portrait"/>
          <w:cols w:equalWidth="0" w:num="2">
            <w:col w:w="860" w:space="44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93" w:lineRule="exact"/>
        <w:rPr>
          <w:sz w:val="20"/>
          <w:szCs w:val="20"/>
          <w:color w:val="auto"/>
        </w:rPr>
      </w:pPr>
    </w:p>
    <w:p>
      <w:pPr>
        <w:sectPr>
          <w:pgSz w:w="11900" w:h="16838" w:orient="portrait"/>
          <w:cols w:equalWidth="0" w:num="2">
            <w:col w:w="860" w:space="44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4" w:lineRule="exact"/>
        <w:rPr>
          <w:sz w:val="20"/>
          <w:szCs w:val="20"/>
          <w:color w:val="auto"/>
        </w:rPr>
      </w:pPr>
    </w:p>
    <w:p>
      <w:pPr>
        <w:sectPr>
          <w:pgSz w:w="11900" w:h="16838" w:orient="portrait"/>
          <w:cols w:equalWidth="0" w:num="2">
            <w:col w:w="840" w:space="46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3" w:lineRule="exact"/>
        <w:rPr>
          <w:sz w:val="20"/>
          <w:szCs w:val="20"/>
          <w:color w:val="auto"/>
        </w:rPr>
      </w:pPr>
    </w:p>
    <w:p>
      <w:pPr>
        <w:sectPr>
          <w:pgSz w:w="11900" w:h="16838" w:orient="portrait"/>
          <w:cols w:equalWidth="0" w:num="2">
            <w:col w:w="840" w:space="460"/>
            <w:col w:w="10120"/>
          </w:cols>
          <w:pgMar w:left="240" w:top="746" w:right="2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tab/>
        <w:t>Previously filed</w:t>
      </w:r>
    </w:p>
    <w:p>
      <w:pPr>
        <w:spacing w:after="0" w:line="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exhibit is being furnished rather than filed, and shall not be deemed incorporated by reference into any filing, in accordance with Item 601 of</w:t>
      </w:r>
    </w:p>
    <w:p>
      <w:pPr>
        <w:spacing w:after="0" w:line="23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620" w:hanging="467"/>
        <w:spacing w:after="0" w:line="277"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type w:val="continuous"/>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06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D. Kain</w:t>
      </w:r>
    </w:p>
    <w:p>
      <w:pPr>
        <w:jc w:val="center"/>
        <w:ind w:left="6140"/>
        <w:spacing w:after="0" w:line="226" w:lineRule="auto"/>
        <w:rPr>
          <w:sz w:val="20"/>
          <w:szCs w:val="20"/>
          <w:color w:val="auto"/>
        </w:rPr>
      </w:pPr>
      <w:r>
        <w:rPr>
          <w:rFonts w:ascii="Arial" w:cs="Arial" w:eastAsia="Arial" w:hAnsi="Arial"/>
          <w:sz w:val="14"/>
          <w:szCs w:val="14"/>
          <w:b w:val="1"/>
          <w:bCs w:val="1"/>
          <w:color w:val="auto"/>
        </w:rPr>
        <w:t>Chief Executive Officer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5, 2019</w:t>
      </w:r>
    </w:p>
    <w:p>
      <w:pPr>
        <w:spacing w:after="0" w:line="387" w:lineRule="exact"/>
        <w:rPr>
          <w:sz w:val="20"/>
          <w:szCs w:val="20"/>
          <w:color w:val="auto"/>
        </w:rPr>
      </w:pPr>
    </w:p>
    <w:p>
      <w:pPr>
        <w:ind w:left="564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Bernice E. Bell</w:t>
      </w:r>
    </w:p>
    <w:p>
      <w:pPr>
        <w:ind w:left="7980"/>
        <w:spacing w:after="0" w:line="226" w:lineRule="auto"/>
        <w:rPr>
          <w:sz w:val="20"/>
          <w:szCs w:val="20"/>
          <w:color w:val="auto"/>
        </w:rPr>
      </w:pPr>
      <w:r>
        <w:rPr>
          <w:rFonts w:ascii="Arial" w:cs="Arial" w:eastAsia="Arial" w:hAnsi="Arial"/>
          <w:sz w:val="14"/>
          <w:szCs w:val="14"/>
          <w:b w:val="1"/>
          <w:bCs w:val="1"/>
          <w:color w:val="auto"/>
        </w:rPr>
        <w:t>Senior Vice President and</w:t>
      </w:r>
    </w:p>
    <w:p>
      <w:pPr>
        <w:ind w:left="6420"/>
        <w:spacing w:after="0"/>
        <w:rPr>
          <w:sz w:val="20"/>
          <w:szCs w:val="20"/>
          <w:color w:val="auto"/>
        </w:rPr>
      </w:pPr>
      <w:r>
        <w:rPr>
          <w:rFonts w:ascii="Arial" w:cs="Arial" w:eastAsia="Arial" w:hAnsi="Arial"/>
          <w:sz w:val="13"/>
          <w:szCs w:val="13"/>
          <w:b w:val="1"/>
          <w:bCs w:val="1"/>
          <w:color w:val="auto"/>
        </w:rPr>
        <w:t>Chief Financial Officer (Principal Financial Officer and Principal Accounting</w:t>
      </w:r>
    </w:p>
    <w:p>
      <w:pPr>
        <w:ind w:left="8560"/>
        <w:spacing w:after="0"/>
        <w:rPr>
          <w:sz w:val="20"/>
          <w:szCs w:val="20"/>
          <w:color w:val="auto"/>
        </w:rPr>
      </w:pPr>
      <w:r>
        <w:rPr>
          <w:rFonts w:ascii="Arial" w:cs="Arial" w:eastAsia="Arial" w:hAnsi="Arial"/>
          <w:sz w:val="14"/>
          <w:szCs w:val="14"/>
          <w:b w:val="1"/>
          <w:bCs w:val="1"/>
          <w:color w:val="auto"/>
        </w:rPr>
        <w:t>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5, 2019</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80"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AGNC INVESTMENT CORP. CODE OF ETHICS AND CONDUCT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Adopted: July 18, 2019</w:t>
      </w:r>
    </w:p>
    <w:p>
      <w:pPr>
        <w:spacing w:after="0" w:line="21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20"/>
          <w:szCs w:val="20"/>
          <w:b w:val="1"/>
          <w:bCs w:val="1"/>
          <w:color w:val="auto"/>
        </w:rPr>
        <w:t>INTRODUCTION</w:t>
      </w:r>
    </w:p>
    <w:p>
      <w:pPr>
        <w:spacing w:after="0" w:line="21"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AGNC Investment Corp. (“AGNC”) has adopted this Code of Ethics and Conduct to communicate to all AGNC people the ethical and legal standards that we expect you to observe when dealing with AGNC, your AGNC colleagues, and others with whom we do business.</w:t>
      </w:r>
    </w:p>
    <w:p>
      <w:pPr>
        <w:spacing w:after="0" w:line="196"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9"/>
          <w:szCs w:val="19"/>
          <w:color w:val="auto"/>
        </w:rPr>
        <w:t>Throughout this Code, we use the terms “AGNC people,” “you” and “your” to refer to all of AGNC’s and its subsidiaries’ directors, executive officers, employees and independent contractors, and the terms “AGNC,” the “company,” “we” and “our” to refer to AGNC and its subsidiaries. We use the term “Code” to refer to this document, as it may be amended from time to time.</w:t>
      </w:r>
    </w:p>
    <w:p>
      <w:pPr>
        <w:spacing w:after="0" w:line="170" w:lineRule="exact"/>
        <w:rPr>
          <w:rFonts w:ascii="Arial" w:cs="Arial" w:eastAsia="Arial" w:hAnsi="Arial"/>
          <w:sz w:val="18"/>
          <w:szCs w:val="18"/>
          <w:color w:val="auto"/>
        </w:rPr>
      </w:pPr>
    </w:p>
    <w:p>
      <w:pPr>
        <w:jc w:val="both"/>
        <w:ind w:left="660" w:right="20"/>
        <w:spacing w:after="0" w:line="246" w:lineRule="auto"/>
        <w:rPr>
          <w:rFonts w:ascii="Arial" w:cs="Arial" w:eastAsia="Arial" w:hAnsi="Arial"/>
          <w:sz w:val="18"/>
          <w:szCs w:val="18"/>
          <w:color w:val="auto"/>
        </w:rPr>
      </w:pPr>
      <w:r>
        <w:rPr>
          <w:rFonts w:ascii="Arial" w:cs="Arial" w:eastAsia="Arial" w:hAnsi="Arial"/>
          <w:sz w:val="20"/>
          <w:szCs w:val="20"/>
          <w:color w:val="auto"/>
        </w:rPr>
        <w:t>We expect all AGNC people to act ethically and obey the law. When you encounter ethical or legal issues where you are not certain about the correct course of action, you should use principles described in this Code as guideposts in deciding how to proceed. We have adopted this Code to give you guidance for resolving these ethical and legal issues. In particular, this Code addresses the following general topics:</w:t>
      </w:r>
    </w:p>
    <w:p>
      <w:pPr>
        <w:spacing w:after="0" w:line="205" w:lineRule="exact"/>
        <w:rPr>
          <w:rFonts w:ascii="Arial" w:cs="Arial" w:eastAsia="Arial" w:hAnsi="Arial"/>
          <w:sz w:val="18"/>
          <w:szCs w:val="18"/>
          <w:color w:val="auto"/>
        </w:rPr>
      </w:pPr>
    </w:p>
    <w:p>
      <w:pPr>
        <w:ind w:left="2020" w:hanging="715"/>
        <w:spacing w:after="0"/>
        <w:tabs>
          <w:tab w:leader="none" w:pos="2020" w:val="left"/>
        </w:tabs>
        <w:numPr>
          <w:ilvl w:val="1"/>
          <w:numId w:val="39"/>
        </w:numPr>
        <w:rPr>
          <w:rFonts w:ascii="Arial" w:cs="Arial" w:eastAsia="Arial" w:hAnsi="Arial"/>
          <w:sz w:val="18"/>
          <w:szCs w:val="18"/>
          <w:color w:val="auto"/>
        </w:rPr>
      </w:pPr>
      <w:r>
        <w:rPr>
          <w:rFonts w:ascii="Arial" w:cs="Arial" w:eastAsia="Arial" w:hAnsi="Arial"/>
          <w:sz w:val="20"/>
          <w:szCs w:val="20"/>
          <w:color w:val="auto"/>
        </w:rPr>
        <w:t>Observing all laws and regulations</w:t>
      </w:r>
    </w:p>
    <w:p>
      <w:pPr>
        <w:spacing w:after="0" w:line="26" w:lineRule="exact"/>
        <w:rPr>
          <w:rFonts w:ascii="Arial" w:cs="Arial" w:eastAsia="Arial" w:hAnsi="Arial"/>
          <w:sz w:val="18"/>
          <w:szCs w:val="18"/>
          <w:color w:val="auto"/>
        </w:rPr>
      </w:pPr>
    </w:p>
    <w:p>
      <w:pPr>
        <w:ind w:left="2020" w:hanging="715"/>
        <w:spacing w:after="0"/>
        <w:tabs>
          <w:tab w:leader="none" w:pos="2020" w:val="left"/>
        </w:tabs>
        <w:numPr>
          <w:ilvl w:val="1"/>
          <w:numId w:val="39"/>
        </w:numPr>
        <w:rPr>
          <w:rFonts w:ascii="Arial" w:cs="Arial" w:eastAsia="Arial" w:hAnsi="Arial"/>
          <w:sz w:val="18"/>
          <w:szCs w:val="18"/>
          <w:color w:val="auto"/>
        </w:rPr>
      </w:pPr>
      <w:r>
        <w:rPr>
          <w:rFonts w:ascii="Arial" w:cs="Arial" w:eastAsia="Arial" w:hAnsi="Arial"/>
          <w:sz w:val="20"/>
          <w:szCs w:val="20"/>
          <w:color w:val="auto"/>
        </w:rPr>
        <w:t>Avoiding conflicts of interest</w:t>
      </w:r>
    </w:p>
    <w:p>
      <w:pPr>
        <w:spacing w:after="0" w:line="26" w:lineRule="exact"/>
        <w:rPr>
          <w:rFonts w:ascii="Arial" w:cs="Arial" w:eastAsia="Arial" w:hAnsi="Arial"/>
          <w:sz w:val="18"/>
          <w:szCs w:val="18"/>
          <w:color w:val="auto"/>
        </w:rPr>
      </w:pPr>
    </w:p>
    <w:p>
      <w:pPr>
        <w:ind w:left="2020" w:hanging="715"/>
        <w:spacing w:after="0"/>
        <w:tabs>
          <w:tab w:leader="none" w:pos="2020" w:val="left"/>
        </w:tabs>
        <w:numPr>
          <w:ilvl w:val="1"/>
          <w:numId w:val="39"/>
        </w:numPr>
        <w:rPr>
          <w:rFonts w:ascii="Arial" w:cs="Arial" w:eastAsia="Arial" w:hAnsi="Arial"/>
          <w:sz w:val="18"/>
          <w:szCs w:val="18"/>
          <w:color w:val="auto"/>
        </w:rPr>
      </w:pPr>
      <w:r>
        <w:rPr>
          <w:rFonts w:ascii="Arial" w:cs="Arial" w:eastAsia="Arial" w:hAnsi="Arial"/>
          <w:sz w:val="20"/>
          <w:szCs w:val="20"/>
          <w:color w:val="auto"/>
        </w:rPr>
        <w:t>Maintaining accurate and complete company records</w:t>
      </w:r>
    </w:p>
    <w:p>
      <w:pPr>
        <w:spacing w:after="0" w:line="26" w:lineRule="exact"/>
        <w:rPr>
          <w:rFonts w:ascii="Arial" w:cs="Arial" w:eastAsia="Arial" w:hAnsi="Arial"/>
          <w:sz w:val="18"/>
          <w:szCs w:val="18"/>
          <w:color w:val="auto"/>
        </w:rPr>
      </w:pPr>
    </w:p>
    <w:p>
      <w:pPr>
        <w:ind w:left="2020" w:hanging="715"/>
        <w:spacing w:after="0"/>
        <w:tabs>
          <w:tab w:leader="none" w:pos="2020" w:val="left"/>
        </w:tabs>
        <w:numPr>
          <w:ilvl w:val="1"/>
          <w:numId w:val="39"/>
        </w:numPr>
        <w:rPr>
          <w:rFonts w:ascii="Arial" w:cs="Arial" w:eastAsia="Arial" w:hAnsi="Arial"/>
          <w:sz w:val="18"/>
          <w:szCs w:val="18"/>
          <w:color w:val="auto"/>
        </w:rPr>
      </w:pPr>
      <w:r>
        <w:rPr>
          <w:rFonts w:ascii="Arial" w:cs="Arial" w:eastAsia="Arial" w:hAnsi="Arial"/>
          <w:sz w:val="20"/>
          <w:szCs w:val="20"/>
          <w:color w:val="auto"/>
        </w:rPr>
        <w:t>Protecting confidential information</w:t>
      </w:r>
    </w:p>
    <w:p>
      <w:pPr>
        <w:spacing w:after="0" w:line="20"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w:t>
      </w:r>
    </w:p>
    <w:p>
      <w:pPr>
        <w:spacing w:after="0" w:line="19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spacing w:after="0" w:line="15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20"/>
          <w:szCs w:val="20"/>
          <w:b w:val="1"/>
          <w:bCs w:val="1"/>
          <w:color w:val="auto"/>
        </w:rPr>
        <w:t>OBSERVING ALL LAWS, RULES AND REGULATIONS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20"/>
          <w:szCs w:val="20"/>
          <w:b w:val="1"/>
          <w:bCs w:val="1"/>
          <w:color w:val="auto"/>
        </w:rPr>
        <w:t>GENERALLY</w:t>
      </w:r>
    </w:p>
    <w:p>
      <w:pPr>
        <w:jc w:val="both"/>
        <w:ind w:left="1300"/>
        <w:spacing w:after="0" w:line="282" w:lineRule="auto"/>
        <w:rPr>
          <w:rFonts w:ascii="Arial" w:cs="Arial" w:eastAsia="Arial" w:hAnsi="Arial"/>
          <w:sz w:val="18"/>
          <w:szCs w:val="18"/>
          <w:color w:val="auto"/>
        </w:rPr>
      </w:pPr>
      <w:r>
        <w:rPr>
          <w:rFonts w:ascii="Arial" w:cs="Arial" w:eastAsia="Arial" w:hAnsi="Arial"/>
          <w:sz w:val="18"/>
          <w:szCs w:val="18"/>
          <w:color w:val="auto"/>
        </w:rPr>
        <w:t>We expect you to comply with all applicable local, state and federal laws, rules and regulations, both domestic and international, and refrain from illegal, dishonest or unethical conduct. Although laws, rules and regulations may sometimes be ambiguous and difficult to interpret, we expect you to make a good-faith effort to follow both the letter and the spirit of the law.</w:t>
      </w:r>
    </w:p>
    <w:p>
      <w:pPr>
        <w:spacing w:after="0" w:line="159" w:lineRule="exact"/>
        <w:rPr>
          <w:rFonts w:ascii="Arial" w:cs="Arial" w:eastAsia="Arial" w:hAnsi="Arial"/>
          <w:sz w:val="18"/>
          <w:szCs w:val="18"/>
          <w:color w:val="auto"/>
        </w:rPr>
      </w:pPr>
    </w:p>
    <w:p>
      <w:pPr>
        <w:jc w:val="both"/>
        <w:ind w:left="1300"/>
        <w:spacing w:after="0" w:line="258" w:lineRule="auto"/>
        <w:rPr>
          <w:rFonts w:ascii="Arial" w:cs="Arial" w:eastAsia="Arial" w:hAnsi="Arial"/>
          <w:sz w:val="18"/>
          <w:szCs w:val="18"/>
          <w:color w:val="auto"/>
        </w:rPr>
      </w:pPr>
      <w:r>
        <w:rPr>
          <w:rFonts w:ascii="Arial" w:cs="Arial" w:eastAsia="Arial" w:hAnsi="Arial"/>
          <w:sz w:val="19"/>
          <w:szCs w:val="19"/>
          <w:color w:val="auto"/>
        </w:rPr>
        <w:t>In addition, we expect you to comply with all AGNC policies and procedures that apply to you. 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 We may modify or update these policies and procedures in the future and adopt new company policies and procedures from time to time. You are also expected to observe the terms of any confidentiality agreement, employment agreement, consulting agreement or other similar agreement that applies to you. If you previously signed one of these agreements with AGNC, it remains in full force and effect.</w:t>
      </w:r>
    </w:p>
    <w:p>
      <w:pPr>
        <w:sectPr>
          <w:pgSz w:w="11900" w:h="16838" w:orient="portrait"/>
          <w:cols w:equalWidth="0" w:num="1">
            <w:col w:w="11420"/>
          </w:cols>
          <w:pgMar w:left="240" w:top="591" w:right="239" w:bottom="1440" w:gutter="0" w:footer="0" w:header="0"/>
        </w:sectPr>
      </w:pPr>
    </w:p>
    <w:bookmarkStart w:id="52" w:name="page53"/>
    <w:bookmarkEnd w:id="52"/>
    <w:p>
      <w:pPr>
        <w:ind w:left="644" w:hanging="644"/>
        <w:spacing w:after="0"/>
        <w:tabs>
          <w:tab w:leader="none" w:pos="644" w:val="left"/>
        </w:tabs>
        <w:numPr>
          <w:ilvl w:val="0"/>
          <w:numId w:val="41"/>
        </w:numPr>
        <w:rPr>
          <w:rFonts w:ascii="Arial" w:cs="Arial" w:eastAsia="Arial" w:hAnsi="Arial"/>
          <w:sz w:val="18"/>
          <w:szCs w:val="18"/>
          <w:color w:val="auto"/>
        </w:rPr>
      </w:pPr>
      <w:r>
        <w:rPr>
          <w:rFonts w:ascii="Arial" w:cs="Arial" w:eastAsia="Arial" w:hAnsi="Arial"/>
          <w:sz w:val="20"/>
          <w:szCs w:val="20"/>
          <w:b w:val="1"/>
          <w:bCs w:val="1"/>
          <w:color w:val="auto"/>
        </w:rPr>
        <w:t>BRIBES AND KICKBACKS</w:t>
      </w:r>
    </w:p>
    <w:p>
      <w:pPr>
        <w:spacing w:after="0" w:line="21" w:lineRule="exact"/>
        <w:rPr>
          <w:rFonts w:ascii="Arial" w:cs="Arial" w:eastAsia="Arial" w:hAnsi="Arial"/>
          <w:sz w:val="18"/>
          <w:szCs w:val="18"/>
          <w:color w:val="auto"/>
        </w:rPr>
      </w:pPr>
    </w:p>
    <w:p>
      <w:pPr>
        <w:jc w:val="both"/>
        <w:ind w:left="644"/>
        <w:spacing w:after="0" w:line="274" w:lineRule="auto"/>
        <w:rPr>
          <w:rFonts w:ascii="Arial" w:cs="Arial" w:eastAsia="Arial" w:hAnsi="Arial"/>
          <w:sz w:val="18"/>
          <w:szCs w:val="18"/>
          <w:color w:val="auto"/>
        </w:rPr>
      </w:pPr>
      <w:r>
        <w:rPr>
          <w:rFonts w:ascii="Arial" w:cs="Arial" w:eastAsia="Arial" w:hAnsi="Arial"/>
          <w:sz w:val="18"/>
          <w:szCs w:val="18"/>
          <w:color w:val="auto"/>
        </w:rPr>
        <w:t>Bribery is illegal and subject to criminal penalties in the United States and many other countries. Bribery is forbidden under the U.S. Foreign Corrupt Practices Act (the “FCPA”), which is described in more detail in Section B.3 of this Code, and other laws, rules and regulations. You may not give any bribes, kickbacks or other similar considerations to any person or organization to attract business. All decisions regarding the investing of our assets or the purchasing of goods and services must be made on the basis of applicable investment or acquisition criteria, and in a way that preserves AGNC’s integrity.</w:t>
      </w:r>
    </w:p>
    <w:p>
      <w:pPr>
        <w:spacing w:after="0" w:line="166" w:lineRule="exact"/>
        <w:rPr>
          <w:rFonts w:ascii="Arial" w:cs="Arial" w:eastAsia="Arial" w:hAnsi="Arial"/>
          <w:sz w:val="18"/>
          <w:szCs w:val="18"/>
          <w:color w:val="auto"/>
        </w:rPr>
      </w:pPr>
    </w:p>
    <w:p>
      <w:pPr>
        <w:jc w:val="both"/>
        <w:ind w:left="644"/>
        <w:spacing w:after="0" w:line="246" w:lineRule="auto"/>
        <w:rPr>
          <w:rFonts w:ascii="Arial" w:cs="Arial" w:eastAsia="Arial" w:hAnsi="Arial"/>
          <w:sz w:val="18"/>
          <w:szCs w:val="18"/>
          <w:color w:val="auto"/>
        </w:rPr>
      </w:pPr>
      <w:r>
        <w:rPr>
          <w:rFonts w:ascii="Arial" w:cs="Arial" w:eastAsia="Arial" w:hAnsi="Arial"/>
          <w:sz w:val="20"/>
          <w:szCs w:val="20"/>
          <w:color w:val="auto"/>
        </w:rPr>
        <w:t>Fees, commissions or other amounts paid to outside consultants, agents or other third parties must be fully disclosed in our investment process or otherwise to our Chief Compliance Officer and must be legal, proper and reasonable in relation to customary commercial practice. Payments to these persons should never be used to accomplish indirectly what AGNC could not properly or legally do directly.</w:t>
      </w:r>
    </w:p>
    <w:p>
      <w:pPr>
        <w:spacing w:after="0" w:line="191" w:lineRule="exact"/>
        <w:rPr>
          <w:rFonts w:ascii="Arial" w:cs="Arial" w:eastAsia="Arial" w:hAnsi="Arial"/>
          <w:sz w:val="18"/>
          <w:szCs w:val="18"/>
          <w:color w:val="auto"/>
        </w:rPr>
      </w:pPr>
    </w:p>
    <w:p>
      <w:pPr>
        <w:jc w:val="both"/>
        <w:ind w:left="644"/>
        <w:spacing w:after="0" w:line="250" w:lineRule="auto"/>
        <w:rPr>
          <w:rFonts w:ascii="Arial" w:cs="Arial" w:eastAsia="Arial" w:hAnsi="Arial"/>
          <w:sz w:val="18"/>
          <w:szCs w:val="18"/>
          <w:color w:val="auto"/>
        </w:rPr>
      </w:pPr>
      <w:r>
        <w:rPr>
          <w:rFonts w:ascii="Arial" w:cs="Arial" w:eastAsia="Arial" w:hAnsi="Arial"/>
          <w:sz w:val="20"/>
          <w:szCs w:val="20"/>
          <w:color w:val="auto"/>
        </w:rPr>
        <w:t>You should also be familiar with, and observe, the provisions of Section C.3 of this Code relating to Gifts, Gratuities and Entertainment, because the giving or receiving of such items could constitute an illegal bribe or kickback under certain circumstances.</w:t>
      </w:r>
    </w:p>
    <w:p>
      <w:pPr>
        <w:spacing w:after="0" w:line="180" w:lineRule="exact"/>
        <w:rPr>
          <w:rFonts w:ascii="Arial" w:cs="Arial" w:eastAsia="Arial" w:hAnsi="Arial"/>
          <w:sz w:val="18"/>
          <w:szCs w:val="18"/>
          <w:color w:val="auto"/>
        </w:rPr>
      </w:pPr>
    </w:p>
    <w:p>
      <w:pPr>
        <w:ind w:left="644" w:hanging="644"/>
        <w:spacing w:after="0"/>
        <w:tabs>
          <w:tab w:leader="none" w:pos="644" w:val="left"/>
        </w:tabs>
        <w:numPr>
          <w:ilvl w:val="0"/>
          <w:numId w:val="41"/>
        </w:numPr>
        <w:rPr>
          <w:rFonts w:ascii="Arial" w:cs="Arial" w:eastAsia="Arial" w:hAnsi="Arial"/>
          <w:sz w:val="18"/>
          <w:szCs w:val="18"/>
          <w:color w:val="auto"/>
        </w:rPr>
      </w:pPr>
      <w:r>
        <w:rPr>
          <w:rFonts w:ascii="Arial" w:cs="Arial" w:eastAsia="Arial" w:hAnsi="Arial"/>
          <w:sz w:val="20"/>
          <w:szCs w:val="20"/>
          <w:b w:val="1"/>
          <w:bCs w:val="1"/>
          <w:color w:val="auto"/>
        </w:rPr>
        <w:t>POLITICAL ACTIVITY</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We do not make contributions or payments that could be considered a contribution to political parties or candidates or to intermediary organizations such as political action committees. However, you are free to exercise your right to make personal political contributions within legal limits, except to the extent these contributions are otherwise prohibited or restricted by other AGNC policies. You should not make these contributions in a way that might appear to be an endorsement or contribution by AGNC. You should be certain that you understand, and are complying with, all such laws, rules and regulations before making any political contributions. We will not reimburse you for political contributions in any way.</w:t>
      </w:r>
    </w:p>
    <w:p>
      <w:pPr>
        <w:spacing w:after="0" w:line="164" w:lineRule="exact"/>
        <w:rPr>
          <w:rFonts w:ascii="Arial" w:cs="Arial" w:eastAsia="Arial" w:hAnsi="Arial"/>
          <w:sz w:val="18"/>
          <w:szCs w:val="18"/>
          <w:color w:val="auto"/>
        </w:rPr>
      </w:pPr>
    </w:p>
    <w:p>
      <w:pPr>
        <w:ind w:left="644" w:hanging="644"/>
        <w:spacing w:after="0"/>
        <w:tabs>
          <w:tab w:leader="none" w:pos="644" w:val="left"/>
        </w:tabs>
        <w:numPr>
          <w:ilvl w:val="0"/>
          <w:numId w:val="41"/>
        </w:numPr>
        <w:rPr>
          <w:rFonts w:ascii="Arial" w:cs="Arial" w:eastAsia="Arial" w:hAnsi="Arial"/>
          <w:sz w:val="18"/>
          <w:szCs w:val="18"/>
          <w:color w:val="auto"/>
        </w:rPr>
      </w:pPr>
      <w:r>
        <w:rPr>
          <w:rFonts w:ascii="Arial" w:cs="Arial" w:eastAsia="Arial" w:hAnsi="Arial"/>
          <w:sz w:val="20"/>
          <w:szCs w:val="20"/>
          <w:b w:val="1"/>
          <w:bCs w:val="1"/>
          <w:color w:val="auto"/>
        </w:rPr>
        <w:t>ANTITRUST</w:t>
      </w:r>
    </w:p>
    <w:p>
      <w:pPr>
        <w:spacing w:after="0" w:line="21" w:lineRule="exact"/>
        <w:rPr>
          <w:rFonts w:ascii="Arial" w:cs="Arial" w:eastAsia="Arial" w:hAnsi="Arial"/>
          <w:sz w:val="18"/>
          <w:szCs w:val="18"/>
          <w:color w:val="auto"/>
        </w:rPr>
      </w:pPr>
    </w:p>
    <w:p>
      <w:pPr>
        <w:jc w:val="both"/>
        <w:ind w:left="644"/>
        <w:spacing w:after="0"/>
        <w:rPr>
          <w:rFonts w:ascii="Arial" w:cs="Arial" w:eastAsia="Arial" w:hAnsi="Arial"/>
          <w:sz w:val="18"/>
          <w:szCs w:val="18"/>
          <w:color w:val="auto"/>
        </w:rPr>
      </w:pPr>
      <w:r>
        <w:rPr>
          <w:rFonts w:ascii="Arial" w:cs="Arial" w:eastAsia="Arial" w:hAnsi="Arial"/>
          <w:sz w:val="20"/>
          <w:szCs w:val="20"/>
          <w:color w:val="auto"/>
        </w:rPr>
        <w:t>Antitrust laws generally prohibit agreements or actions that restrain trade or reduce competition. The free enterprise system rests on the notion that free and open competition is the best way to ensure an adequate supply of products and services at reasonable prices. We expect you to adhere to both the spirit and the letter of the antitrust laws of the United States and with all applicable antitrust laws governing competition in any country in which AGNC does business. Violation of antitrust laws can result in severe civil and criminal penalties, including imprisonment for individuals, and AGNC can be subjected to substantial fines and damage awards.</w:t>
      </w:r>
    </w:p>
    <w:p>
      <w:pPr>
        <w:spacing w:after="0" w:line="191" w:lineRule="exact"/>
        <w:rPr>
          <w:rFonts w:ascii="Arial" w:cs="Arial" w:eastAsia="Arial" w:hAnsi="Arial"/>
          <w:sz w:val="18"/>
          <w:szCs w:val="18"/>
          <w:color w:val="auto"/>
        </w:rPr>
      </w:pPr>
    </w:p>
    <w:p>
      <w:pPr>
        <w:ind w:left="1304" w:hanging="655"/>
        <w:spacing w:after="0"/>
        <w:tabs>
          <w:tab w:leader="none" w:pos="1304" w:val="left"/>
        </w:tabs>
        <w:numPr>
          <w:ilvl w:val="1"/>
          <w:numId w:val="41"/>
        </w:numPr>
        <w:rPr>
          <w:rFonts w:ascii="Arial" w:cs="Arial" w:eastAsia="Arial" w:hAnsi="Arial"/>
          <w:sz w:val="18"/>
          <w:szCs w:val="18"/>
          <w:color w:val="auto"/>
        </w:rPr>
      </w:pPr>
      <w:r>
        <w:rPr>
          <w:rFonts w:ascii="Arial" w:cs="Arial" w:eastAsia="Arial" w:hAnsi="Arial"/>
          <w:sz w:val="20"/>
          <w:szCs w:val="20"/>
          <w:b w:val="1"/>
          <w:bCs w:val="1"/>
          <w:color w:val="auto"/>
        </w:rPr>
        <w:t>Agreements with Competitors</w:t>
      </w:r>
    </w:p>
    <w:p>
      <w:pPr>
        <w:spacing w:after="0" w:line="21" w:lineRule="exact"/>
        <w:rPr>
          <w:rFonts w:ascii="Arial" w:cs="Arial" w:eastAsia="Arial" w:hAnsi="Arial"/>
          <w:sz w:val="18"/>
          <w:szCs w:val="18"/>
          <w:color w:val="auto"/>
        </w:rPr>
      </w:pPr>
    </w:p>
    <w:p>
      <w:pPr>
        <w:ind w:left="1304"/>
        <w:spacing w:after="0" w:line="244" w:lineRule="auto"/>
        <w:rPr>
          <w:rFonts w:ascii="Arial" w:cs="Arial" w:eastAsia="Arial" w:hAnsi="Arial"/>
          <w:sz w:val="18"/>
          <w:szCs w:val="18"/>
          <w:color w:val="auto"/>
        </w:rPr>
      </w:pPr>
      <w:r>
        <w:rPr>
          <w:rFonts w:ascii="Arial" w:cs="Arial" w:eastAsia="Arial" w:hAnsi="Arial"/>
          <w:sz w:val="20"/>
          <w:szCs w:val="20"/>
          <w:color w:val="auto"/>
        </w:rPr>
        <w:t>The following agreements, arrangements or understandings between AGNC and its competitors (whether oral or in writing) should be avoided:</w:t>
      </w:r>
    </w:p>
    <w:p>
      <w:pPr>
        <w:spacing w:after="0" w:line="191" w:lineRule="exact"/>
        <w:rPr>
          <w:rFonts w:ascii="Arial" w:cs="Arial" w:eastAsia="Arial" w:hAnsi="Arial"/>
          <w:sz w:val="18"/>
          <w:szCs w:val="18"/>
          <w:color w:val="auto"/>
        </w:rPr>
      </w:pPr>
    </w:p>
    <w:p>
      <w:pPr>
        <w:ind w:left="1624" w:hanging="327"/>
        <w:spacing w:after="0"/>
        <w:tabs>
          <w:tab w:leader="none" w:pos="1624" w:val="left"/>
        </w:tabs>
        <w:numPr>
          <w:ilvl w:val="2"/>
          <w:numId w:val="41"/>
        </w:numPr>
        <w:rPr>
          <w:rFonts w:ascii="Arial" w:cs="Arial" w:eastAsia="Arial" w:hAnsi="Arial"/>
          <w:sz w:val="16"/>
          <w:szCs w:val="16"/>
          <w:color w:val="auto"/>
        </w:rPr>
      </w:pPr>
      <w:r>
        <w:rPr>
          <w:rFonts w:ascii="Arial" w:cs="Arial" w:eastAsia="Arial" w:hAnsi="Arial"/>
          <w:sz w:val="18"/>
          <w:szCs w:val="18"/>
          <w:color w:val="auto"/>
        </w:rPr>
        <w:t>Agreements that affect the price or other terms or conditions of sale of products or the terms on which we invest;</w:t>
      </w:r>
    </w:p>
    <w:p>
      <w:pPr>
        <w:spacing w:after="0" w:line="38" w:lineRule="exact"/>
        <w:rPr>
          <w:rFonts w:ascii="Arial" w:cs="Arial" w:eastAsia="Arial" w:hAnsi="Arial"/>
          <w:sz w:val="16"/>
          <w:szCs w:val="16"/>
          <w:color w:val="auto"/>
        </w:rPr>
      </w:pPr>
    </w:p>
    <w:p>
      <w:pPr>
        <w:ind w:left="1624" w:right="120" w:hanging="327"/>
        <w:spacing w:after="0" w:line="239" w:lineRule="auto"/>
        <w:tabs>
          <w:tab w:leader="none" w:pos="1624" w:val="left"/>
        </w:tabs>
        <w:numPr>
          <w:ilvl w:val="2"/>
          <w:numId w:val="41"/>
        </w:numPr>
        <w:rPr>
          <w:rFonts w:ascii="Arial" w:cs="Arial" w:eastAsia="Arial" w:hAnsi="Arial"/>
          <w:sz w:val="18"/>
          <w:szCs w:val="18"/>
          <w:color w:val="auto"/>
        </w:rPr>
      </w:pPr>
      <w:r>
        <w:rPr>
          <w:rFonts w:ascii="Arial" w:cs="Arial" w:eastAsia="Arial" w:hAnsi="Arial"/>
          <w:sz w:val="20"/>
          <w:szCs w:val="20"/>
          <w:color w:val="auto"/>
        </w:rPr>
        <w:t>Agreements regarding the companies in which AGNC or its managed companies will, or will not, invest or sell or provide services;</w:t>
      </w:r>
    </w:p>
    <w:p>
      <w:pPr>
        <w:spacing w:after="0" w:line="1" w:lineRule="exact"/>
        <w:rPr>
          <w:rFonts w:ascii="Arial" w:cs="Arial" w:eastAsia="Arial" w:hAnsi="Arial"/>
          <w:sz w:val="18"/>
          <w:szCs w:val="18"/>
          <w:color w:val="auto"/>
        </w:rPr>
      </w:pPr>
    </w:p>
    <w:p>
      <w:pPr>
        <w:ind w:left="1624" w:hanging="327"/>
        <w:spacing w:after="0"/>
        <w:tabs>
          <w:tab w:leader="none" w:pos="1624" w:val="left"/>
        </w:tabs>
        <w:numPr>
          <w:ilvl w:val="2"/>
          <w:numId w:val="41"/>
        </w:numPr>
        <w:rPr>
          <w:rFonts w:ascii="Arial" w:cs="Arial" w:eastAsia="Arial" w:hAnsi="Arial"/>
          <w:sz w:val="15"/>
          <w:szCs w:val="15"/>
          <w:color w:val="auto"/>
        </w:rPr>
      </w:pPr>
      <w:r>
        <w:rPr>
          <w:rFonts w:ascii="Arial" w:cs="Arial" w:eastAsia="Arial" w:hAnsi="Arial"/>
          <w:sz w:val="16"/>
          <w:szCs w:val="16"/>
          <w:color w:val="auto"/>
        </w:rPr>
        <w:t>Agreements to refuse to invest in or sell to particular businesses or to refuse to buy from particular businesses; and</w:t>
      </w:r>
    </w:p>
    <w:p>
      <w:pPr>
        <w:spacing w:after="0" w:line="45" w:lineRule="exact"/>
        <w:rPr>
          <w:rFonts w:ascii="Arial" w:cs="Arial" w:eastAsia="Arial" w:hAnsi="Arial"/>
          <w:sz w:val="15"/>
          <w:szCs w:val="15"/>
          <w:color w:val="auto"/>
        </w:rPr>
      </w:pPr>
    </w:p>
    <w:p>
      <w:pPr>
        <w:ind w:left="1624" w:hanging="327"/>
        <w:spacing w:after="0"/>
        <w:tabs>
          <w:tab w:leader="none" w:pos="1624" w:val="left"/>
        </w:tabs>
        <w:numPr>
          <w:ilvl w:val="2"/>
          <w:numId w:val="41"/>
        </w:numPr>
        <w:rPr>
          <w:rFonts w:ascii="Arial" w:cs="Arial" w:eastAsia="Arial" w:hAnsi="Arial"/>
          <w:sz w:val="18"/>
          <w:szCs w:val="18"/>
          <w:color w:val="auto"/>
        </w:rPr>
      </w:pPr>
      <w:r>
        <w:rPr>
          <w:rFonts w:ascii="Arial" w:cs="Arial" w:eastAsia="Arial" w:hAnsi="Arial"/>
          <w:sz w:val="20"/>
          <w:szCs w:val="20"/>
          <w:color w:val="auto"/>
        </w:rPr>
        <w:t>Agreements that limit the types of investments that AGNC will make.</w:t>
      </w:r>
    </w:p>
    <w:p>
      <w:pPr>
        <w:jc w:val="both"/>
        <w:ind w:left="1304"/>
        <w:spacing w:after="0"/>
        <w:rPr>
          <w:sz w:val="20"/>
          <w:szCs w:val="20"/>
          <w:color w:val="auto"/>
        </w:rPr>
      </w:pPr>
      <w:r>
        <w:rPr>
          <w:rFonts w:ascii="Arial" w:cs="Arial" w:eastAsia="Arial" w:hAnsi="Arial"/>
          <w:sz w:val="20"/>
          <w:szCs w:val="20"/>
          <w:color w:val="auto"/>
        </w:rPr>
        <w:t>Contacts with our competitors are sensitive and risky, because courts can infer an agreement or collusion from these contacts when they are followed by common action or behavior. We recognize that we may need to work with our competitors in the regular course of our business. In all contacts with our competitors, you are expected to avoid discussing prices, costs, competition, division of markets, marketing plans or studies, or any other proprietary or confidential information.</w:t>
      </w:r>
    </w:p>
    <w:p>
      <w:pPr>
        <w:sectPr>
          <w:pgSz w:w="11900" w:h="16838" w:orient="portrait"/>
          <w:cols w:equalWidth="0" w:num="1">
            <w:col w:w="10764"/>
          </w:cols>
          <w:pgMar w:left="896" w:top="576" w:right="239" w:bottom="1440" w:gutter="0" w:footer="0" w:header="0"/>
        </w:sectPr>
      </w:pPr>
    </w:p>
    <w:bookmarkStart w:id="53" w:name="page54"/>
    <w:bookmarkEnd w:id="53"/>
    <w:p>
      <w:pPr>
        <w:ind w:left="1304"/>
        <w:spacing w:after="0" w:line="316" w:lineRule="auto"/>
        <w:rPr>
          <w:sz w:val="20"/>
          <w:szCs w:val="20"/>
          <w:color w:val="auto"/>
        </w:rPr>
      </w:pPr>
      <w:r>
        <w:rPr>
          <w:rFonts w:ascii="Arial" w:cs="Arial" w:eastAsia="Arial" w:hAnsi="Arial"/>
          <w:sz w:val="18"/>
          <w:szCs w:val="18"/>
          <w:color w:val="auto"/>
        </w:rPr>
        <w:t>If any competitor initiates a discussion with you involving the subjects above, you should immediately excuse yourself from the conversation and report the matter to the Chief Compliance Officer or a member of the Legal team.</w:t>
      </w:r>
    </w:p>
    <w:p>
      <w:pPr>
        <w:spacing w:after="0" w:line="124" w:lineRule="exact"/>
        <w:rPr>
          <w:sz w:val="20"/>
          <w:szCs w:val="20"/>
          <w:color w:val="auto"/>
        </w:rPr>
      </w:pPr>
    </w:p>
    <w:p>
      <w:pPr>
        <w:ind w:left="644" w:hanging="644"/>
        <w:spacing w:after="0"/>
        <w:tabs>
          <w:tab w:leader="none" w:pos="644" w:val="left"/>
        </w:tabs>
        <w:numPr>
          <w:ilvl w:val="0"/>
          <w:numId w:val="42"/>
        </w:numPr>
        <w:rPr>
          <w:rFonts w:ascii="Arial" w:cs="Arial" w:eastAsia="Arial" w:hAnsi="Arial"/>
          <w:sz w:val="18"/>
          <w:szCs w:val="18"/>
          <w:color w:val="auto"/>
        </w:rPr>
      </w:pPr>
      <w:r>
        <w:rPr>
          <w:rFonts w:ascii="Arial" w:cs="Arial" w:eastAsia="Arial" w:hAnsi="Arial"/>
          <w:sz w:val="20"/>
          <w:szCs w:val="20"/>
          <w:b w:val="1"/>
          <w:bCs w:val="1"/>
          <w:color w:val="auto"/>
        </w:rPr>
        <w:t>SECURITIES LAWS AND INSIDER TRADING</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spacing w:after="0" w:line="159" w:lineRule="exact"/>
        <w:rPr>
          <w:rFonts w:ascii="Arial" w:cs="Arial" w:eastAsia="Arial" w:hAnsi="Arial"/>
          <w:sz w:val="18"/>
          <w:szCs w:val="18"/>
          <w:color w:val="auto"/>
        </w:rPr>
      </w:pPr>
    </w:p>
    <w:p>
      <w:pPr>
        <w:jc w:val="both"/>
        <w:ind w:left="644"/>
        <w:spacing w:after="0" w:line="244" w:lineRule="auto"/>
        <w:rPr>
          <w:rFonts w:ascii="Arial" w:cs="Arial" w:eastAsia="Arial" w:hAnsi="Arial"/>
          <w:sz w:val="18"/>
          <w:szCs w:val="18"/>
          <w:color w:val="auto"/>
        </w:rPr>
      </w:pPr>
      <w:r>
        <w:rPr>
          <w:rFonts w:ascii="Arial" w:cs="Arial" w:eastAsia="Arial" w:hAnsi="Arial"/>
          <w:sz w:val="20"/>
          <w:szCs w:val="20"/>
          <w:color w:val="auto"/>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ten years. Additionally, if we or our senior officers do not take appropriate steps to prevent AGNC people from insider trading, we may also face severe legal consequences, including, among other things, substantial criminal penalties.</w:t>
      </w:r>
    </w:p>
    <w:p>
      <w:pPr>
        <w:spacing w:after="0" w:line="188" w:lineRule="exact"/>
        <w:rPr>
          <w:rFonts w:ascii="Arial" w:cs="Arial" w:eastAsia="Arial" w:hAnsi="Arial"/>
          <w:sz w:val="18"/>
          <w:szCs w:val="18"/>
          <w:color w:val="auto"/>
        </w:rPr>
      </w:pPr>
    </w:p>
    <w:p>
      <w:pPr>
        <w:ind w:left="1304" w:hanging="655"/>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20"/>
          <w:szCs w:val="20"/>
          <w:b w:val="1"/>
          <w:bCs w:val="1"/>
          <w:color w:val="auto"/>
        </w:rPr>
        <w:t>Policy Statement</w:t>
      </w:r>
    </w:p>
    <w:p>
      <w:pPr>
        <w:spacing w:after="0" w:line="21" w:lineRule="exact"/>
        <w:rPr>
          <w:rFonts w:ascii="Arial" w:cs="Arial" w:eastAsia="Arial" w:hAnsi="Arial"/>
          <w:sz w:val="18"/>
          <w:szCs w:val="18"/>
          <w:color w:val="auto"/>
        </w:rPr>
      </w:pPr>
    </w:p>
    <w:p>
      <w:pPr>
        <w:jc w:val="both"/>
        <w:ind w:left="1304"/>
        <w:spacing w:after="0"/>
        <w:rPr>
          <w:rFonts w:ascii="Arial" w:cs="Arial" w:eastAsia="Arial" w:hAnsi="Arial"/>
          <w:sz w:val="18"/>
          <w:szCs w:val="18"/>
          <w:color w:val="auto"/>
        </w:rPr>
      </w:pPr>
      <w:r>
        <w:rPr>
          <w:rFonts w:ascii="Arial" w:cs="Arial" w:eastAsia="Arial" w:hAnsi="Arial"/>
          <w:sz w:val="20"/>
          <w:szCs w:val="20"/>
          <w:color w:val="auto"/>
        </w:rPr>
        <w:t>AGNC people who have material, nonpublic (i.e., inside) information about AGNC should not buy or sell AGNC securities (including derivative securities such as put and call options) until a reasonable time after the inside information has been publicly disclosed. You also should not disclose inside information to others outside AGNC until a reasonable time after the information has been publicly disclosed. In addition, it is never appropriate for you to advise others to buy or sell AGNC securities.</w:t>
      </w:r>
    </w:p>
    <w:p>
      <w:pPr>
        <w:spacing w:after="0" w:line="198"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We further believe that it is highly inappropriate for any AGNC person to sell short AGNC stock or engage in other transactions where the person will earn a profit based on a decline in AGNC’s stock price.</w:t>
      </w:r>
    </w:p>
    <w:p>
      <w:pPr>
        <w:spacing w:after="0" w:line="176"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These rules also apply to the use of material, nonpublic information about other companies (including, for example, our clients, competitors and potential business partners).</w:t>
      </w:r>
    </w:p>
    <w:p>
      <w:pPr>
        <w:spacing w:after="0" w:line="176"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In addition to you, these rules apply to your spouse, children and any other family members living with you in your household.</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20"/>
          <w:szCs w:val="20"/>
          <w:b w:val="1"/>
          <w:bCs w:val="1"/>
          <w:color w:val="auto"/>
        </w:rPr>
        <w:t>Further Explanation</w:t>
      </w:r>
    </w:p>
    <w:p>
      <w:pPr>
        <w:spacing w:after="0" w:line="21" w:lineRule="exact"/>
        <w:rPr>
          <w:rFonts w:ascii="Arial" w:cs="Arial" w:eastAsia="Arial" w:hAnsi="Arial"/>
          <w:sz w:val="18"/>
          <w:szCs w:val="18"/>
          <w:color w:val="auto"/>
        </w:rPr>
      </w:pPr>
    </w:p>
    <w:p>
      <w:pPr>
        <w:jc w:val="both"/>
        <w:ind w:left="1944" w:hanging="647"/>
        <w:spacing w:after="0" w:line="252" w:lineRule="auto"/>
        <w:tabs>
          <w:tab w:leader="none" w:pos="1944" w:val="left"/>
        </w:tabs>
        <w:numPr>
          <w:ilvl w:val="2"/>
          <w:numId w:val="42"/>
        </w:numPr>
        <w:rPr>
          <w:rFonts w:ascii="Arial" w:cs="Arial" w:eastAsia="Arial" w:hAnsi="Arial"/>
          <w:sz w:val="17"/>
          <w:szCs w:val="17"/>
          <w:color w:val="auto"/>
        </w:rPr>
      </w:pPr>
      <w:r>
        <w:rPr>
          <w:rFonts w:ascii="Arial" w:cs="Arial" w:eastAsia="Arial" w:hAnsi="Arial"/>
          <w:sz w:val="19"/>
          <w:szCs w:val="19"/>
          <w:b w:val="1"/>
          <w:bCs w:val="1"/>
          <w:color w:val="auto"/>
        </w:rPr>
        <w:t xml:space="preserve">What is inside information? </w:t>
      </w:r>
      <w:r>
        <w:rPr>
          <w:rFonts w:ascii="Arial" w:cs="Arial" w:eastAsia="Arial" w:hAnsi="Arial"/>
          <w:sz w:val="19"/>
          <w:szCs w:val="19"/>
          <w:color w:val="auto"/>
        </w:rPr>
        <w:t>Inside information is material information about an entity, including AGNC, that</w:t>
      </w:r>
      <w:r>
        <w:rPr>
          <w:rFonts w:ascii="Arial" w:cs="Arial" w:eastAsia="Arial" w:hAnsi="Arial"/>
          <w:sz w:val="19"/>
          <w:szCs w:val="19"/>
          <w:b w:val="1"/>
          <w:bCs w:val="1"/>
          <w:color w:val="auto"/>
        </w:rPr>
        <w:t xml:space="preserve"> </w:t>
      </w:r>
      <w:r>
        <w:rPr>
          <w:rFonts w:ascii="Arial" w:cs="Arial" w:eastAsia="Arial" w:hAnsi="Arial"/>
          <w:sz w:val="19"/>
          <w:szCs w:val="19"/>
          <w:color w:val="auto"/>
        </w:rPr>
        <w:t>has not been publicly disclosed. For instance, this information could relate to AGNC’s investments, financial condition, earnings or business, or to any important development in which we may be involved.</w:t>
      </w:r>
    </w:p>
    <w:p>
      <w:pPr>
        <w:jc w:val="both"/>
        <w:ind w:left="1944" w:hanging="647"/>
        <w:spacing w:after="0" w:line="239"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20"/>
          <w:szCs w:val="20"/>
          <w:b w:val="1"/>
          <w:bCs w:val="1"/>
          <w:color w:val="auto"/>
        </w:rPr>
        <w:t xml:space="preserve">What information is material? </w:t>
      </w:r>
      <w:r>
        <w:rPr>
          <w:rFonts w:ascii="Arial" w:cs="Arial" w:eastAsia="Arial" w:hAnsi="Arial"/>
          <w:sz w:val="20"/>
          <w:szCs w:val="20"/>
          <w:color w:val="auto"/>
        </w:rPr>
        <w:t>Information is material if it is information that a reasonable investor might</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 important in deciding whether to buy, sell or hold securities. Examples of information that may be material include: financial results or forecasts; a significant proposed acquisition or sale of a business; a stock split; significant litigation; and changes in customary earnings trends.</w:t>
      </w:r>
    </w:p>
    <w:p>
      <w:pPr>
        <w:spacing w:after="0" w:line="2" w:lineRule="exact"/>
        <w:rPr>
          <w:rFonts w:ascii="Arial" w:cs="Arial" w:eastAsia="Arial" w:hAnsi="Arial"/>
          <w:sz w:val="18"/>
          <w:szCs w:val="18"/>
          <w:color w:val="auto"/>
        </w:rPr>
      </w:pPr>
    </w:p>
    <w:p>
      <w:pPr>
        <w:jc w:val="both"/>
        <w:ind w:left="1944" w:hanging="647"/>
        <w:spacing w:after="0" w:line="239"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20"/>
          <w:szCs w:val="20"/>
          <w:b w:val="1"/>
          <w:bCs w:val="1"/>
          <w:color w:val="auto"/>
        </w:rPr>
        <w:t xml:space="preserve">What information is nonpublic? </w:t>
      </w:r>
      <w:r>
        <w:rPr>
          <w:rFonts w:ascii="Arial" w:cs="Arial" w:eastAsia="Arial" w:hAnsi="Arial"/>
          <w:sz w:val="20"/>
          <w:szCs w:val="20"/>
          <w:color w:val="auto"/>
        </w:rPr>
        <w:t>Information is nonpublic until the time it has been effectively disclosed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public. Effective disclosure generally occurs when information is included in a press release, is revealed during a conference call to which the general public has been invited to participate or is included in our public filings with the U.S. Securities and Exchange Commission. Under certain circumstances, effective disclosure may occur by other means.</w:t>
      </w:r>
    </w:p>
    <w:p>
      <w:pPr>
        <w:spacing w:after="0" w:line="2" w:lineRule="exact"/>
        <w:rPr>
          <w:rFonts w:ascii="Arial" w:cs="Arial" w:eastAsia="Arial" w:hAnsi="Arial"/>
          <w:sz w:val="18"/>
          <w:szCs w:val="18"/>
          <w:color w:val="auto"/>
        </w:rPr>
      </w:pPr>
    </w:p>
    <w:p>
      <w:pPr>
        <w:jc w:val="both"/>
        <w:ind w:left="1944" w:hanging="647"/>
        <w:spacing w:after="0" w:line="241" w:lineRule="auto"/>
        <w:tabs>
          <w:tab w:leader="none" w:pos="1944" w:val="left"/>
        </w:tabs>
        <w:numPr>
          <w:ilvl w:val="2"/>
          <w:numId w:val="42"/>
        </w:numPr>
        <w:rPr>
          <w:rFonts w:ascii="Arial" w:cs="Arial" w:eastAsia="Arial" w:hAnsi="Arial"/>
          <w:sz w:val="18"/>
          <w:szCs w:val="18"/>
          <w:color w:val="auto"/>
        </w:rPr>
      </w:pPr>
      <w:r>
        <w:rPr>
          <w:rFonts w:ascii="Arial" w:cs="Arial" w:eastAsia="Arial" w:hAnsi="Arial"/>
          <w:sz w:val="20"/>
          <w:szCs w:val="20"/>
          <w:b w:val="1"/>
          <w:bCs w:val="1"/>
          <w:color w:val="auto"/>
        </w:rPr>
        <w:t xml:space="preserve">What is a reasonable waiting period before purchases and sales can be made? </w:t>
      </w:r>
      <w:r>
        <w:rPr>
          <w:rFonts w:ascii="Arial" w:cs="Arial" w:eastAsia="Arial" w:hAnsi="Arial"/>
          <w:sz w:val="20"/>
          <w:szCs w:val="20"/>
          <w:color w:val="auto"/>
        </w:rPr>
        <w:t>The investing public must</w:t>
      </w:r>
      <w:r>
        <w:rPr>
          <w:rFonts w:ascii="Arial" w:cs="Arial" w:eastAsia="Arial" w:hAnsi="Arial"/>
          <w:sz w:val="20"/>
          <w:szCs w:val="20"/>
          <w:b w:val="1"/>
          <w:bCs w:val="1"/>
          <w:color w:val="auto"/>
        </w:rPr>
        <w:t xml:space="preserve"> </w:t>
      </w:r>
      <w:r>
        <w:rPr>
          <w:rFonts w:ascii="Arial" w:cs="Arial" w:eastAsia="Arial" w:hAnsi="Arial"/>
          <w:sz w:val="20"/>
          <w:szCs w:val="20"/>
          <w:color w:val="auto"/>
        </w:rPr>
        <w:t>have sufficient time to analyze the information that has been disclosed before those possessing previously nonpublic information can trade.</w:t>
      </w:r>
    </w:p>
    <w:p>
      <w:pPr>
        <w:sectPr>
          <w:pgSz w:w="11900" w:h="16838" w:orient="portrait"/>
          <w:cols w:equalWidth="0" w:num="1">
            <w:col w:w="10764"/>
          </w:cols>
          <w:pgMar w:left="896" w:top="582" w:right="239" w:bottom="1440" w:gutter="0" w:footer="0" w:header="0"/>
        </w:sectPr>
      </w:pPr>
    </w:p>
    <w:bookmarkStart w:id="54" w:name="page55"/>
    <w:bookmarkEnd w:id="54"/>
    <w:p>
      <w:pPr>
        <w:ind w:left="1944"/>
        <w:spacing w:after="0" w:line="264" w:lineRule="auto"/>
        <w:rPr>
          <w:sz w:val="20"/>
          <w:szCs w:val="20"/>
          <w:color w:val="auto"/>
        </w:rPr>
      </w:pPr>
      <w:r>
        <w:rPr>
          <w:rFonts w:ascii="Arial" w:cs="Arial" w:eastAsia="Arial" w:hAnsi="Arial"/>
          <w:sz w:val="20"/>
          <w:szCs w:val="20"/>
          <w:color w:val="auto"/>
        </w:rPr>
        <w:t>For matters disclosed in an AGNC press release or conference call, a good rule of thumb is that purchases and sales can be made beginning 24 hours after the disclosure.</w:t>
      </w:r>
    </w:p>
    <w:p>
      <w:pPr>
        <w:spacing w:after="0" w:line="1" w:lineRule="exact"/>
        <w:rPr>
          <w:sz w:val="20"/>
          <w:szCs w:val="20"/>
          <w:color w:val="auto"/>
        </w:rPr>
      </w:pPr>
    </w:p>
    <w:p>
      <w:pPr>
        <w:jc w:val="both"/>
        <w:ind w:left="1944" w:hanging="647"/>
        <w:spacing w:after="0" w:line="268" w:lineRule="auto"/>
        <w:tabs>
          <w:tab w:leader="none" w:pos="1944" w:val="left"/>
        </w:tabs>
        <w:numPr>
          <w:ilvl w:val="2"/>
          <w:numId w:val="43"/>
        </w:numPr>
        <w:rPr>
          <w:rFonts w:ascii="Arial" w:cs="Arial" w:eastAsia="Arial" w:hAnsi="Arial"/>
          <w:sz w:val="16"/>
          <w:szCs w:val="16"/>
          <w:color w:val="auto"/>
        </w:rPr>
      </w:pPr>
      <w:r>
        <w:rPr>
          <w:rFonts w:ascii="Arial" w:cs="Arial" w:eastAsia="Arial" w:hAnsi="Arial"/>
          <w:sz w:val="18"/>
          <w:szCs w:val="18"/>
          <w:b w:val="1"/>
          <w:bCs w:val="1"/>
          <w:color w:val="auto"/>
        </w:rPr>
        <w:t xml:space="preserve">What transactions are prohibited? </w:t>
      </w:r>
      <w:r>
        <w:rPr>
          <w:rFonts w:ascii="Arial" w:cs="Arial" w:eastAsia="Arial" w:hAnsi="Arial"/>
          <w:sz w:val="18"/>
          <w:szCs w:val="18"/>
          <w:color w:val="auto"/>
        </w:rPr>
        <w:t>An AGNC person who has inside information about AGNC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prohibited from: (a) trading in AGNC’s or the other company’s securities (including derivative securities such as put and call options); (b) having others trade in AGNC’s or the other company’s securities for your benefit; and (c) disclosing the inside information to (or tipping) anyone else who might then trade. These prohibitions continue for as long as the information remains material and nonpublic.</w:t>
      </w:r>
    </w:p>
    <w:p>
      <w:pPr>
        <w:jc w:val="both"/>
        <w:ind w:left="1944" w:hanging="647"/>
        <w:spacing w:after="0" w:line="252" w:lineRule="auto"/>
        <w:tabs>
          <w:tab w:leader="none" w:pos="1944" w:val="left"/>
        </w:tabs>
        <w:numPr>
          <w:ilvl w:val="2"/>
          <w:numId w:val="43"/>
        </w:numPr>
        <w:rPr>
          <w:rFonts w:ascii="Arial" w:cs="Arial" w:eastAsia="Arial" w:hAnsi="Arial"/>
          <w:sz w:val="17"/>
          <w:szCs w:val="17"/>
          <w:color w:val="auto"/>
        </w:rPr>
      </w:pPr>
      <w:r>
        <w:rPr>
          <w:rFonts w:ascii="Arial" w:cs="Arial" w:eastAsia="Arial" w:hAnsi="Arial"/>
          <w:sz w:val="19"/>
          <w:szCs w:val="19"/>
          <w:b w:val="1"/>
          <w:bCs w:val="1"/>
          <w:color w:val="auto"/>
        </w:rPr>
        <w:t xml:space="preserve">What transactions are allowed? </w:t>
      </w:r>
      <w:r>
        <w:rPr>
          <w:rFonts w:ascii="Arial" w:cs="Arial" w:eastAsia="Arial" w:hAnsi="Arial"/>
          <w:sz w:val="19"/>
          <w:szCs w:val="19"/>
          <w:color w:val="auto"/>
        </w:rPr>
        <w:t>An AGNC person who has inside information about AGNC may,</w:t>
      </w:r>
      <w:r>
        <w:rPr>
          <w:rFonts w:ascii="Arial" w:cs="Arial" w:eastAsia="Arial" w:hAnsi="Arial"/>
          <w:sz w:val="19"/>
          <w:szCs w:val="19"/>
          <w:b w:val="1"/>
          <w:bCs w:val="1"/>
          <w:color w:val="auto"/>
        </w:rPr>
        <w:t xml:space="preserve"> </w:t>
      </w:r>
      <w:r>
        <w:rPr>
          <w:rFonts w:ascii="Arial" w:cs="Arial" w:eastAsia="Arial" w:hAnsi="Arial"/>
          <w:sz w:val="19"/>
          <w:szCs w:val="19"/>
          <w:color w:val="auto"/>
        </w:rPr>
        <w:t>nonetheless, usually exercise AGNC stock options for cash (but may not sell the option shares he or she receives upon the exercise). These cash option exercise purchases are allowed because the other party to the transactions is AGNC itself, and because the option exercise purchase price does not vary with the market, but, rather, is fixed in advance under the terms of the option plan. Additionally, certain transactions that occur under an automatic investment plan, such as a dividend reinvestment plan or a company approved Rule 10b5-1 plan, if any, are permitted in such circumstances. You should contact the Chief Compliance Officer or a member of our Legal team with any questions.</w:t>
      </w:r>
    </w:p>
    <w:p>
      <w:pPr>
        <w:spacing w:after="0" w:line="1" w:lineRule="exact"/>
        <w:rPr>
          <w:rFonts w:ascii="Arial" w:cs="Arial" w:eastAsia="Arial" w:hAnsi="Arial"/>
          <w:sz w:val="17"/>
          <w:szCs w:val="17"/>
          <w:color w:val="auto"/>
        </w:rPr>
      </w:pPr>
    </w:p>
    <w:p>
      <w:pPr>
        <w:ind w:left="1304" w:hanging="655"/>
        <w:spacing w:after="0"/>
        <w:tabs>
          <w:tab w:leader="none" w:pos="1304" w:val="left"/>
        </w:tabs>
        <w:numPr>
          <w:ilvl w:val="1"/>
          <w:numId w:val="44"/>
        </w:numPr>
        <w:rPr>
          <w:rFonts w:ascii="Arial" w:cs="Arial" w:eastAsia="Arial" w:hAnsi="Arial"/>
          <w:sz w:val="18"/>
          <w:szCs w:val="18"/>
          <w:color w:val="auto"/>
        </w:rPr>
      </w:pPr>
      <w:r>
        <w:rPr>
          <w:rFonts w:ascii="Arial" w:cs="Arial" w:eastAsia="Arial" w:hAnsi="Arial"/>
          <w:sz w:val="20"/>
          <w:szCs w:val="20"/>
          <w:b w:val="1"/>
          <w:bCs w:val="1"/>
          <w:color w:val="auto"/>
        </w:rPr>
        <w:t>Blackout Period for Trading in AGNC Securities</w:t>
      </w:r>
    </w:p>
    <w:p>
      <w:pPr>
        <w:jc w:val="both"/>
        <w:ind w:left="1304"/>
        <w:spacing w:after="0" w:line="241" w:lineRule="auto"/>
        <w:rPr>
          <w:rFonts w:ascii="Arial" w:cs="Arial" w:eastAsia="Arial" w:hAnsi="Arial"/>
          <w:sz w:val="18"/>
          <w:szCs w:val="18"/>
          <w:color w:val="auto"/>
        </w:rPr>
      </w:pPr>
      <w:r>
        <w:rPr>
          <w:rFonts w:ascii="Arial" w:cs="Arial" w:eastAsia="Arial" w:hAnsi="Arial"/>
          <w:sz w:val="20"/>
          <w:szCs w:val="20"/>
          <w:color w:val="auto"/>
        </w:rPr>
        <w:t>In addition to our general Insider Trading Policy, which is summarized above, we may institute from time to time blackout periods during which AGNC persons will be precluded from trading in AGNC securities (including derivative securities such as put and call options). The Chief Compliance Officer will typically be responsible for implementing such practices.</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45"/>
        </w:numPr>
        <w:rPr>
          <w:rFonts w:ascii="Arial" w:cs="Arial" w:eastAsia="Arial" w:hAnsi="Arial"/>
          <w:sz w:val="18"/>
          <w:szCs w:val="18"/>
          <w:color w:val="auto"/>
        </w:rPr>
      </w:pPr>
      <w:r>
        <w:rPr>
          <w:rFonts w:ascii="Arial" w:cs="Arial" w:eastAsia="Arial" w:hAnsi="Arial"/>
          <w:sz w:val="20"/>
          <w:szCs w:val="20"/>
          <w:b w:val="1"/>
          <w:bCs w:val="1"/>
          <w:color w:val="auto"/>
        </w:rPr>
        <w:t>HARASSMENT AND DISCRIMINATION</w:t>
      </w:r>
    </w:p>
    <w:p>
      <w:pPr>
        <w:spacing w:after="0" w:line="21" w:lineRule="exact"/>
        <w:rPr>
          <w:rFonts w:ascii="Arial" w:cs="Arial" w:eastAsia="Arial" w:hAnsi="Arial"/>
          <w:sz w:val="18"/>
          <w:szCs w:val="18"/>
          <w:color w:val="auto"/>
        </w:rPr>
      </w:pPr>
    </w:p>
    <w:p>
      <w:pPr>
        <w:ind w:left="644" w:right="80"/>
        <w:spacing w:after="0" w:line="255" w:lineRule="auto"/>
        <w:rPr>
          <w:rFonts w:ascii="Arial" w:cs="Arial" w:eastAsia="Arial" w:hAnsi="Arial"/>
          <w:sz w:val="18"/>
          <w:szCs w:val="18"/>
          <w:color w:val="auto"/>
        </w:rPr>
      </w:pPr>
      <w:r>
        <w:rPr>
          <w:rFonts w:ascii="Arial" w:cs="Arial" w:eastAsia="Arial" w:hAnsi="Arial"/>
          <w:sz w:val="19"/>
          <w:szCs w:val="19"/>
          <w:color w:val="auto"/>
        </w:rPr>
        <w:t>We are committed to providing a supportive work environment that is free from harassment and discrimination of any kind. To this end, AGNC has adopted an Anti-Harassment Policy and an Equal Employment Opportunity policy, copies of which are included in the Policy Booklet distributed to all AGNC employees. AGNC will not tolerate discrimination or harassment of employees or non-employees with whom we have a business, service or professional relationship. AGNC people are encouraged to report any acts of harassment or discrimination to the Chief Compliance Officer, the Chair of the Compensation and Corporate Governance Committee of the Board of Directors or to the hotline.</w:t>
      </w:r>
    </w:p>
    <w:p>
      <w:pPr>
        <w:spacing w:after="0" w:line="178" w:lineRule="exact"/>
        <w:rPr>
          <w:rFonts w:ascii="Arial" w:cs="Arial" w:eastAsia="Arial" w:hAnsi="Arial"/>
          <w:sz w:val="18"/>
          <w:szCs w:val="18"/>
          <w:color w:val="auto"/>
        </w:rPr>
      </w:pPr>
    </w:p>
    <w:p>
      <w:pPr>
        <w:ind w:left="644" w:hanging="644"/>
        <w:spacing w:after="0"/>
        <w:tabs>
          <w:tab w:leader="none" w:pos="644" w:val="left"/>
        </w:tabs>
        <w:numPr>
          <w:ilvl w:val="0"/>
          <w:numId w:val="45"/>
        </w:numPr>
        <w:rPr>
          <w:rFonts w:ascii="Arial" w:cs="Arial" w:eastAsia="Arial" w:hAnsi="Arial"/>
          <w:sz w:val="18"/>
          <w:szCs w:val="18"/>
          <w:color w:val="auto"/>
        </w:rPr>
      </w:pPr>
      <w:r>
        <w:rPr>
          <w:rFonts w:ascii="Arial" w:cs="Arial" w:eastAsia="Arial" w:hAnsi="Arial"/>
          <w:sz w:val="20"/>
          <w:szCs w:val="20"/>
          <w:b w:val="1"/>
          <w:bCs w:val="1"/>
          <w:color w:val="auto"/>
        </w:rPr>
        <w:t>HEALTH AND SAFETY</w:t>
      </w:r>
    </w:p>
    <w:p>
      <w:pPr>
        <w:spacing w:after="0" w:line="21" w:lineRule="exact"/>
        <w:rPr>
          <w:rFonts w:ascii="Arial" w:cs="Arial" w:eastAsia="Arial" w:hAnsi="Arial"/>
          <w:sz w:val="18"/>
          <w:szCs w:val="18"/>
          <w:color w:val="auto"/>
        </w:rPr>
      </w:pPr>
    </w:p>
    <w:p>
      <w:pPr>
        <w:ind w:left="644" w:right="60"/>
        <w:spacing w:after="0" w:line="241" w:lineRule="auto"/>
        <w:rPr>
          <w:rFonts w:ascii="Arial" w:cs="Arial" w:eastAsia="Arial" w:hAnsi="Arial"/>
          <w:sz w:val="18"/>
          <w:szCs w:val="18"/>
          <w:color w:val="auto"/>
        </w:rPr>
      </w:pPr>
      <w:r>
        <w:rPr>
          <w:rFonts w:ascii="Arial" w:cs="Arial" w:eastAsia="Arial" w:hAnsi="Arial"/>
          <w:sz w:val="20"/>
          <w:szCs w:val="20"/>
          <w:color w:val="auto"/>
        </w:rPr>
        <w:t>We strive to provide AGNC people with a safe and healthy work environment. You have a responsibility for maintaining a safe and healthy workplace for all other AGNC people by following safety and health rules and practices and reporting accidents, injuries and unsafe equipment, practices and conditions.</w:t>
      </w:r>
    </w:p>
    <w:p>
      <w:pPr>
        <w:spacing w:after="0" w:line="196" w:lineRule="exact"/>
        <w:rPr>
          <w:rFonts w:ascii="Arial" w:cs="Arial" w:eastAsia="Arial" w:hAnsi="Arial"/>
          <w:sz w:val="18"/>
          <w:szCs w:val="18"/>
          <w:color w:val="auto"/>
        </w:rPr>
      </w:pPr>
    </w:p>
    <w:p>
      <w:pPr>
        <w:ind w:left="644"/>
        <w:spacing w:after="0" w:line="269" w:lineRule="auto"/>
        <w:rPr>
          <w:rFonts w:ascii="Arial" w:cs="Arial" w:eastAsia="Arial" w:hAnsi="Arial"/>
          <w:sz w:val="18"/>
          <w:szCs w:val="18"/>
          <w:color w:val="auto"/>
        </w:rPr>
      </w:pPr>
      <w:r>
        <w:rPr>
          <w:rFonts w:ascii="Arial" w:cs="Arial" w:eastAsia="Arial" w:hAnsi="Arial"/>
          <w:sz w:val="19"/>
          <w:szCs w:val="19"/>
          <w:color w:val="auto"/>
        </w:rPr>
        <w:t>Violence and threatening behavior are not permitted and will not be tolerated. If any AGNC person knows of actual or potential workplace violence or threatening behavior, he/she should immediately report such concerns to his or her manager, a member of the Human Resources or Legal Departments, the Chief Compliance Officer or the hotline.</w:t>
      </w:r>
    </w:p>
    <w:p>
      <w:pPr>
        <w:spacing w:after="0" w:line="170" w:lineRule="exact"/>
        <w:rPr>
          <w:rFonts w:ascii="Arial" w:cs="Arial" w:eastAsia="Arial" w:hAnsi="Arial"/>
          <w:sz w:val="18"/>
          <w:szCs w:val="18"/>
          <w:color w:val="auto"/>
        </w:rPr>
      </w:pPr>
    </w:p>
    <w:p>
      <w:pPr>
        <w:ind w:left="644" w:right="120"/>
        <w:spacing w:after="0" w:line="269" w:lineRule="auto"/>
        <w:rPr>
          <w:rFonts w:ascii="Arial" w:cs="Arial" w:eastAsia="Arial" w:hAnsi="Arial"/>
          <w:sz w:val="18"/>
          <w:szCs w:val="18"/>
          <w:color w:val="auto"/>
        </w:rPr>
      </w:pPr>
      <w:r>
        <w:rPr>
          <w:rFonts w:ascii="Arial" w:cs="Arial" w:eastAsia="Arial" w:hAnsi="Arial"/>
          <w:sz w:val="19"/>
          <w:szCs w:val="19"/>
          <w:color w:val="auto"/>
        </w:rPr>
        <w:t>All AGNC people are expected to conduct AGNC business free from the influence of any substance that could impair job performance. This includes alcohol, illegal drugs, controlled substances and, in certain instances, prescription medication. The use, sale and/or distribution of illegal drugs in the workplace will not be tolerated at any time.</w:t>
      </w:r>
    </w:p>
    <w:p>
      <w:pPr>
        <w:spacing w:after="0" w:line="164" w:lineRule="exact"/>
        <w:rPr>
          <w:rFonts w:ascii="Arial" w:cs="Arial" w:eastAsia="Arial" w:hAnsi="Arial"/>
          <w:sz w:val="18"/>
          <w:szCs w:val="18"/>
          <w:color w:val="auto"/>
        </w:rPr>
      </w:pPr>
    </w:p>
    <w:p>
      <w:pPr>
        <w:ind w:left="644" w:hanging="644"/>
        <w:spacing w:after="0"/>
        <w:tabs>
          <w:tab w:leader="none" w:pos="644" w:val="left"/>
        </w:tabs>
        <w:numPr>
          <w:ilvl w:val="0"/>
          <w:numId w:val="45"/>
        </w:numPr>
        <w:rPr>
          <w:rFonts w:ascii="Arial" w:cs="Arial" w:eastAsia="Arial" w:hAnsi="Arial"/>
          <w:sz w:val="18"/>
          <w:szCs w:val="18"/>
          <w:color w:val="auto"/>
        </w:rPr>
      </w:pPr>
      <w:r>
        <w:rPr>
          <w:rFonts w:ascii="Arial" w:cs="Arial" w:eastAsia="Arial" w:hAnsi="Arial"/>
          <w:sz w:val="20"/>
          <w:szCs w:val="20"/>
          <w:b w:val="1"/>
          <w:bCs w:val="1"/>
          <w:color w:val="auto"/>
        </w:rPr>
        <w:t>INTERNATIONAL ISSUES</w:t>
      </w:r>
    </w:p>
    <w:p>
      <w:pPr>
        <w:spacing w:after="0" w:line="21" w:lineRule="exact"/>
        <w:rPr>
          <w:rFonts w:ascii="Arial" w:cs="Arial" w:eastAsia="Arial" w:hAnsi="Arial"/>
          <w:sz w:val="18"/>
          <w:szCs w:val="18"/>
          <w:color w:val="auto"/>
        </w:rPr>
      </w:pPr>
    </w:p>
    <w:p>
      <w:pPr>
        <w:ind w:left="644" w:right="20"/>
        <w:spacing w:after="0" w:line="244" w:lineRule="auto"/>
        <w:rPr>
          <w:rFonts w:ascii="Arial" w:cs="Arial" w:eastAsia="Arial" w:hAnsi="Arial"/>
          <w:sz w:val="18"/>
          <w:szCs w:val="18"/>
          <w:color w:val="auto"/>
        </w:rPr>
      </w:pPr>
      <w:r>
        <w:rPr>
          <w:rFonts w:ascii="Arial" w:cs="Arial" w:eastAsia="Arial" w:hAnsi="Arial"/>
          <w:sz w:val="20"/>
          <w:szCs w:val="20"/>
          <w:color w:val="auto"/>
        </w:rPr>
        <w:t>You are expected to comply with the legal requirements and ethical standards of each country in which you conduct AGNC business, as well as with all U.S. laws applicable in other countries.</w:t>
      </w:r>
    </w:p>
    <w:p>
      <w:pPr>
        <w:sectPr>
          <w:pgSz w:w="11900" w:h="16838" w:orient="portrait"/>
          <w:cols w:equalWidth="0" w:num="1">
            <w:col w:w="10764"/>
          </w:cols>
          <w:pgMar w:left="896" w:top="595" w:right="239" w:bottom="1440" w:gutter="0" w:footer="0" w:header="0"/>
        </w:sectPr>
      </w:pPr>
    </w:p>
    <w:bookmarkStart w:id="55" w:name="page56"/>
    <w:bookmarkEnd w:id="55"/>
    <w:p>
      <w:pPr>
        <w:jc w:val="both"/>
        <w:ind w:left="1292"/>
        <w:spacing w:after="0" w:line="256" w:lineRule="auto"/>
        <w:rPr>
          <w:sz w:val="20"/>
          <w:szCs w:val="20"/>
          <w:color w:val="auto"/>
        </w:rPr>
      </w:pPr>
      <w:r>
        <w:rPr>
          <w:rFonts w:ascii="Arial" w:cs="Arial" w:eastAsia="Arial" w:hAnsi="Arial"/>
          <w:sz w:val="19"/>
          <w:szCs w:val="19"/>
          <w:color w:val="auto"/>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legal requirements may affect our international business or transactions. These include, but are not limited to, laws, rules and regulations prohibiting money laundering and transactions with specifically designated nationals subject to government sanctions, which are covered by our Anti-Money Laundering Policy. If you have any questions regarding legal requirements applicable to international business or transactions, please contact a member of our Legal team.</w:t>
      </w:r>
    </w:p>
    <w:p>
      <w:pPr>
        <w:spacing w:after="0" w:line="179" w:lineRule="exact"/>
        <w:rPr>
          <w:sz w:val="20"/>
          <w:szCs w:val="20"/>
          <w:color w:val="auto"/>
        </w:rPr>
      </w:pPr>
    </w:p>
    <w:p>
      <w:pPr>
        <w:ind w:left="652" w:hanging="652"/>
        <w:spacing w:after="0"/>
        <w:tabs>
          <w:tab w:leader="none" w:pos="652" w:val="left"/>
        </w:tabs>
        <w:numPr>
          <w:ilvl w:val="0"/>
          <w:numId w:val="46"/>
        </w:numPr>
        <w:rPr>
          <w:rFonts w:ascii="Arial" w:cs="Arial" w:eastAsia="Arial" w:hAnsi="Arial"/>
          <w:sz w:val="18"/>
          <w:szCs w:val="18"/>
          <w:color w:val="auto"/>
        </w:rPr>
      </w:pPr>
      <w:r>
        <w:rPr>
          <w:rFonts w:ascii="Arial" w:cs="Arial" w:eastAsia="Arial" w:hAnsi="Arial"/>
          <w:sz w:val="20"/>
          <w:szCs w:val="20"/>
          <w:b w:val="1"/>
          <w:bCs w:val="1"/>
          <w:color w:val="auto"/>
        </w:rPr>
        <w:t>AVOIDING CONFLICTS OF INTEREST</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46"/>
        </w:numPr>
        <w:rPr>
          <w:rFonts w:ascii="Arial" w:cs="Arial" w:eastAsia="Arial" w:hAnsi="Arial"/>
          <w:sz w:val="18"/>
          <w:szCs w:val="18"/>
          <w:color w:val="auto"/>
        </w:rPr>
      </w:pPr>
      <w:r>
        <w:rPr>
          <w:rFonts w:ascii="Arial" w:cs="Arial" w:eastAsia="Arial" w:hAnsi="Arial"/>
          <w:sz w:val="20"/>
          <w:szCs w:val="20"/>
          <w:b w:val="1"/>
          <w:bCs w:val="1"/>
          <w:color w:val="auto"/>
        </w:rPr>
        <w:t>GENERALLY</w:t>
      </w:r>
    </w:p>
    <w:p>
      <w:pPr>
        <w:jc w:val="both"/>
        <w:ind w:left="1292"/>
        <w:spacing w:after="0"/>
        <w:rPr>
          <w:rFonts w:ascii="Arial" w:cs="Arial" w:eastAsia="Arial" w:hAnsi="Arial"/>
          <w:sz w:val="18"/>
          <w:szCs w:val="18"/>
          <w:color w:val="auto"/>
        </w:rPr>
      </w:pPr>
      <w:r>
        <w:rPr>
          <w:rFonts w:ascii="Arial" w:cs="Arial" w:eastAsia="Arial" w:hAnsi="Arial"/>
          <w:sz w:val="20"/>
          <w:szCs w:val="20"/>
          <w:color w:val="auto"/>
        </w:rPr>
        <w:t>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is created whenever an activity, association or relationship of yours might impair your independent exercise of judgment in AGNC’s best interest.</w:t>
      </w:r>
    </w:p>
    <w:p>
      <w:pPr>
        <w:spacing w:after="0" w:line="198"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Examples of situations that could be perceived as conflicts of interest and should be avoided include:</w:t>
      </w:r>
    </w:p>
    <w:p>
      <w:pPr>
        <w:spacing w:after="0" w:line="215" w:lineRule="exact"/>
        <w:rPr>
          <w:rFonts w:ascii="Arial" w:cs="Arial" w:eastAsia="Arial" w:hAnsi="Arial"/>
          <w:sz w:val="18"/>
          <w:szCs w:val="18"/>
          <w:color w:val="auto"/>
        </w:rPr>
      </w:pPr>
    </w:p>
    <w:p>
      <w:pPr>
        <w:ind w:left="2272" w:right="200" w:hanging="327"/>
        <w:spacing w:after="0" w:line="247" w:lineRule="auto"/>
        <w:tabs>
          <w:tab w:leader="none" w:pos="2272" w:val="left"/>
        </w:tabs>
        <w:numPr>
          <w:ilvl w:val="2"/>
          <w:numId w:val="46"/>
        </w:numPr>
        <w:rPr>
          <w:rFonts w:ascii="Arial" w:cs="Arial" w:eastAsia="Arial" w:hAnsi="Arial"/>
          <w:sz w:val="18"/>
          <w:szCs w:val="18"/>
          <w:color w:val="auto"/>
        </w:rPr>
      </w:pPr>
      <w:r>
        <w:rPr>
          <w:rFonts w:ascii="Arial" w:cs="Arial" w:eastAsia="Arial" w:hAnsi="Arial"/>
          <w:sz w:val="20"/>
          <w:szCs w:val="20"/>
          <w:color w:val="auto"/>
        </w:rPr>
        <w:t>Conducting AGNC’s business with a company owned, partially owned or controlled by you or a member of your family;</w:t>
      </w:r>
    </w:p>
    <w:p>
      <w:pPr>
        <w:spacing w:after="0" w:line="1" w:lineRule="exact"/>
        <w:rPr>
          <w:rFonts w:ascii="Arial" w:cs="Arial" w:eastAsia="Arial" w:hAnsi="Arial"/>
          <w:sz w:val="18"/>
          <w:szCs w:val="18"/>
          <w:color w:val="auto"/>
        </w:rPr>
      </w:pPr>
    </w:p>
    <w:p>
      <w:pPr>
        <w:ind w:left="2272" w:right="120" w:hanging="327"/>
        <w:spacing w:after="0" w:line="239" w:lineRule="auto"/>
        <w:tabs>
          <w:tab w:leader="none" w:pos="2272" w:val="left"/>
        </w:tabs>
        <w:numPr>
          <w:ilvl w:val="2"/>
          <w:numId w:val="46"/>
        </w:numPr>
        <w:rPr>
          <w:rFonts w:ascii="Arial" w:cs="Arial" w:eastAsia="Arial" w:hAnsi="Arial"/>
          <w:sz w:val="18"/>
          <w:szCs w:val="18"/>
          <w:color w:val="auto"/>
        </w:rPr>
      </w:pPr>
      <w:r>
        <w:rPr>
          <w:rFonts w:ascii="Arial" w:cs="Arial" w:eastAsia="Arial" w:hAnsi="Arial"/>
          <w:sz w:val="20"/>
          <w:szCs w:val="20"/>
          <w:color w:val="auto"/>
        </w:rPr>
        <w:t>Ownership of more than one percent of the stock of a company that competes or does business with AGNC (other than indirect ownership as a result of owning a widely-held mutual fund);</w:t>
      </w:r>
    </w:p>
    <w:p>
      <w:pPr>
        <w:spacing w:after="0" w:line="1" w:lineRule="exact"/>
        <w:rPr>
          <w:rFonts w:ascii="Arial" w:cs="Arial" w:eastAsia="Arial" w:hAnsi="Arial"/>
          <w:sz w:val="18"/>
          <w:szCs w:val="18"/>
          <w:color w:val="auto"/>
        </w:rPr>
      </w:pPr>
    </w:p>
    <w:p>
      <w:pPr>
        <w:ind w:left="2272" w:right="300" w:hanging="327"/>
        <w:spacing w:after="0" w:line="239" w:lineRule="auto"/>
        <w:tabs>
          <w:tab w:leader="none" w:pos="2272" w:val="left"/>
        </w:tabs>
        <w:numPr>
          <w:ilvl w:val="2"/>
          <w:numId w:val="46"/>
        </w:numPr>
        <w:rPr>
          <w:rFonts w:ascii="Arial" w:cs="Arial" w:eastAsia="Arial" w:hAnsi="Arial"/>
          <w:sz w:val="18"/>
          <w:szCs w:val="18"/>
          <w:color w:val="auto"/>
        </w:rPr>
      </w:pPr>
      <w:r>
        <w:rPr>
          <w:rFonts w:ascii="Arial" w:cs="Arial" w:eastAsia="Arial" w:hAnsi="Arial"/>
          <w:sz w:val="20"/>
          <w:szCs w:val="20"/>
          <w:color w:val="auto"/>
        </w:rPr>
        <w:t>Working as an employee or a consultant for a competitor, regulatory government entity, investment company or supplier of AGNC (other than as part of your AGNC employment);</w:t>
      </w:r>
    </w:p>
    <w:p>
      <w:pPr>
        <w:spacing w:after="0" w:line="1" w:lineRule="exact"/>
        <w:rPr>
          <w:rFonts w:ascii="Arial" w:cs="Arial" w:eastAsia="Arial" w:hAnsi="Arial"/>
          <w:sz w:val="18"/>
          <w:szCs w:val="18"/>
          <w:color w:val="auto"/>
        </w:rPr>
      </w:pPr>
    </w:p>
    <w:p>
      <w:pPr>
        <w:ind w:left="2272" w:right="240" w:hanging="327"/>
        <w:spacing w:after="0" w:line="239" w:lineRule="auto"/>
        <w:tabs>
          <w:tab w:leader="none" w:pos="2272" w:val="left"/>
        </w:tabs>
        <w:numPr>
          <w:ilvl w:val="2"/>
          <w:numId w:val="46"/>
        </w:numPr>
        <w:rPr>
          <w:rFonts w:ascii="Arial" w:cs="Arial" w:eastAsia="Arial" w:hAnsi="Arial"/>
          <w:sz w:val="18"/>
          <w:szCs w:val="18"/>
          <w:color w:val="auto"/>
        </w:rPr>
      </w:pPr>
      <w:r>
        <w:rPr>
          <w:rFonts w:ascii="Arial" w:cs="Arial" w:eastAsia="Arial" w:hAnsi="Arial"/>
          <w:sz w:val="20"/>
          <w:szCs w:val="20"/>
          <w:color w:val="auto"/>
        </w:rPr>
        <w:t>Doing any work for a third party that may adversely affect your performance or judgment on the job or diminish your ability to devote the necessary time and attention to your duties; and</w:t>
      </w:r>
    </w:p>
    <w:p>
      <w:pPr>
        <w:spacing w:after="0" w:line="1" w:lineRule="exact"/>
        <w:rPr>
          <w:rFonts w:ascii="Arial" w:cs="Arial" w:eastAsia="Arial" w:hAnsi="Arial"/>
          <w:sz w:val="18"/>
          <w:szCs w:val="18"/>
          <w:color w:val="auto"/>
        </w:rPr>
      </w:pPr>
    </w:p>
    <w:p>
      <w:pPr>
        <w:ind w:left="2272" w:hanging="327"/>
        <w:spacing w:after="0"/>
        <w:tabs>
          <w:tab w:leader="none" w:pos="2272" w:val="left"/>
        </w:tabs>
        <w:numPr>
          <w:ilvl w:val="2"/>
          <w:numId w:val="46"/>
        </w:numPr>
        <w:rPr>
          <w:rFonts w:ascii="Arial" w:cs="Arial" w:eastAsia="Arial" w:hAnsi="Arial"/>
          <w:sz w:val="16"/>
          <w:szCs w:val="16"/>
          <w:color w:val="auto"/>
        </w:rPr>
      </w:pPr>
      <w:r>
        <w:rPr>
          <w:rFonts w:ascii="Arial" w:cs="Arial" w:eastAsia="Arial" w:hAnsi="Arial"/>
          <w:sz w:val="18"/>
          <w:szCs w:val="18"/>
          <w:color w:val="auto"/>
        </w:rPr>
        <w:t>Appropriating or diverting to yourself or others any business opportunity or idea in which AGNC might have an</w:t>
      </w:r>
    </w:p>
    <w:p>
      <w:pPr>
        <w:spacing w:after="0" w:line="22" w:lineRule="exact"/>
        <w:rPr>
          <w:sz w:val="20"/>
          <w:szCs w:val="20"/>
          <w:color w:val="auto"/>
        </w:rPr>
      </w:pPr>
    </w:p>
    <w:p>
      <w:pPr>
        <w:ind w:left="2272"/>
        <w:spacing w:after="0"/>
        <w:rPr>
          <w:sz w:val="20"/>
          <w:szCs w:val="20"/>
          <w:color w:val="auto"/>
        </w:rPr>
      </w:pPr>
      <w:r>
        <w:rPr>
          <w:rFonts w:ascii="Arial" w:cs="Arial" w:eastAsia="Arial" w:hAnsi="Arial"/>
          <w:sz w:val="20"/>
          <w:szCs w:val="20"/>
          <w:color w:val="auto"/>
        </w:rPr>
        <w:t>interest.</w:t>
      </w:r>
    </w:p>
    <w:p>
      <w:pPr>
        <w:jc w:val="both"/>
        <w:ind w:left="1292"/>
        <w:spacing w:after="0" w:line="241" w:lineRule="auto"/>
        <w:rPr>
          <w:sz w:val="20"/>
          <w:szCs w:val="20"/>
          <w:color w:val="auto"/>
        </w:rPr>
      </w:pPr>
      <w:r>
        <w:rPr>
          <w:rFonts w:ascii="Arial" w:cs="Arial" w:eastAsia="Arial" w:hAnsi="Arial"/>
          <w:sz w:val="20"/>
          <w:szCs w:val="20"/>
          <w:color w:val="auto"/>
        </w:rPr>
        <w:t>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spacing w:after="0" w:line="189" w:lineRule="exact"/>
        <w:rPr>
          <w:sz w:val="20"/>
          <w:szCs w:val="20"/>
          <w:color w:val="auto"/>
        </w:rPr>
      </w:pPr>
    </w:p>
    <w:p>
      <w:pPr>
        <w:ind w:left="1292" w:hanging="644"/>
        <w:spacing w:after="0"/>
        <w:tabs>
          <w:tab w:leader="none" w:pos="1292" w:val="left"/>
        </w:tabs>
        <w:numPr>
          <w:ilvl w:val="0"/>
          <w:numId w:val="47"/>
        </w:numPr>
        <w:rPr>
          <w:rFonts w:ascii="Arial" w:cs="Arial" w:eastAsia="Arial" w:hAnsi="Arial"/>
          <w:sz w:val="18"/>
          <w:szCs w:val="18"/>
          <w:color w:val="auto"/>
        </w:rPr>
      </w:pPr>
      <w:r>
        <w:rPr>
          <w:rFonts w:ascii="Arial" w:cs="Arial" w:eastAsia="Arial" w:hAnsi="Arial"/>
          <w:sz w:val="20"/>
          <w:szCs w:val="20"/>
          <w:b w:val="1"/>
          <w:bCs w:val="1"/>
          <w:color w:val="auto"/>
        </w:rPr>
        <w:t>USE OF OUR ASSETS</w:t>
      </w:r>
    </w:p>
    <w:p>
      <w:pPr>
        <w:spacing w:after="0" w:line="21"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18"/>
          <w:szCs w:val="18"/>
          <w:color w:val="auto"/>
        </w:rPr>
        <w:t>You are responsible for the proper use of AGNC’s physical resources and property, as well as its proprietary information.</w:t>
      </w:r>
    </w:p>
    <w:p>
      <w:pPr>
        <w:spacing w:after="0" w:line="222" w:lineRule="exact"/>
        <w:rPr>
          <w:rFonts w:ascii="Arial" w:cs="Arial" w:eastAsia="Arial" w:hAnsi="Arial"/>
          <w:sz w:val="18"/>
          <w:szCs w:val="18"/>
          <w:color w:val="auto"/>
        </w:rPr>
      </w:pPr>
    </w:p>
    <w:p>
      <w:pPr>
        <w:jc w:val="both"/>
        <w:ind w:left="1292"/>
        <w:spacing w:after="0" w:line="259" w:lineRule="auto"/>
        <w:rPr>
          <w:rFonts w:ascii="Arial" w:cs="Arial" w:eastAsia="Arial" w:hAnsi="Arial"/>
          <w:sz w:val="18"/>
          <w:szCs w:val="18"/>
          <w:color w:val="auto"/>
        </w:rPr>
      </w:pPr>
      <w:r>
        <w:rPr>
          <w:rFonts w:ascii="Arial" w:cs="Arial" w:eastAsia="Arial" w:hAnsi="Arial"/>
          <w:sz w:val="19"/>
          <w:szCs w:val="19"/>
          <w:color w:val="auto"/>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sectPr>
          <w:pgSz w:w="11900" w:h="16838" w:orient="portrait"/>
          <w:cols w:equalWidth="0" w:num="1">
            <w:col w:w="11412"/>
          </w:cols>
          <w:pgMar w:left="248" w:top="582" w:right="239" w:bottom="1440" w:gutter="0" w:footer="0" w:header="0"/>
        </w:sectPr>
      </w:pPr>
    </w:p>
    <w:bookmarkStart w:id="56" w:name="page57"/>
    <w:bookmarkEnd w:id="56"/>
    <w:p>
      <w:pPr>
        <w:jc w:val="both"/>
        <w:ind w:left="1292"/>
        <w:spacing w:after="0" w:line="271" w:lineRule="auto"/>
        <w:rPr>
          <w:sz w:val="20"/>
          <w:szCs w:val="20"/>
          <w:color w:val="auto"/>
        </w:rPr>
      </w:pPr>
      <w:r>
        <w:rPr>
          <w:rFonts w:ascii="Arial" w:cs="Arial" w:eastAsia="Arial" w:hAnsi="Arial"/>
          <w:sz w:val="18"/>
          <w:szCs w:val="18"/>
          <w:color w:val="auto"/>
        </w:rPr>
        <w:t>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 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spacing w:after="0" w:line="169" w:lineRule="exact"/>
        <w:rPr>
          <w:sz w:val="20"/>
          <w:szCs w:val="20"/>
          <w:color w:val="auto"/>
        </w:rPr>
      </w:pPr>
    </w:p>
    <w:p>
      <w:pPr>
        <w:ind w:left="1292" w:hanging="644"/>
        <w:spacing w:after="0"/>
        <w:tabs>
          <w:tab w:leader="none" w:pos="1292" w:val="left"/>
        </w:tabs>
        <w:numPr>
          <w:ilvl w:val="0"/>
          <w:numId w:val="48"/>
        </w:numPr>
        <w:rPr>
          <w:rFonts w:ascii="Arial" w:cs="Arial" w:eastAsia="Arial" w:hAnsi="Arial"/>
          <w:sz w:val="18"/>
          <w:szCs w:val="18"/>
          <w:color w:val="auto"/>
        </w:rPr>
      </w:pPr>
      <w:r>
        <w:rPr>
          <w:rFonts w:ascii="Arial" w:cs="Arial" w:eastAsia="Arial" w:hAnsi="Arial"/>
          <w:sz w:val="20"/>
          <w:szCs w:val="20"/>
          <w:b w:val="1"/>
          <w:bCs w:val="1"/>
          <w:color w:val="auto"/>
        </w:rPr>
        <w:t>GIFTS, GRATUITIES AND ENTERTAINMENT</w:t>
      </w:r>
    </w:p>
    <w:p>
      <w:pPr>
        <w:spacing w:after="0" w:line="21" w:lineRule="exact"/>
        <w:rPr>
          <w:rFonts w:ascii="Arial" w:cs="Arial" w:eastAsia="Arial" w:hAnsi="Arial"/>
          <w:sz w:val="18"/>
          <w:szCs w:val="18"/>
          <w:color w:val="auto"/>
        </w:rPr>
      </w:pPr>
    </w:p>
    <w:p>
      <w:pPr>
        <w:ind w:left="1952" w:hanging="655"/>
        <w:spacing w:after="0"/>
        <w:tabs>
          <w:tab w:leader="none" w:pos="1952" w:val="left"/>
        </w:tabs>
        <w:numPr>
          <w:ilvl w:val="1"/>
          <w:numId w:val="48"/>
        </w:numPr>
        <w:rPr>
          <w:rFonts w:ascii="Arial" w:cs="Arial" w:eastAsia="Arial" w:hAnsi="Arial"/>
          <w:sz w:val="18"/>
          <w:szCs w:val="18"/>
          <w:color w:val="auto"/>
        </w:rPr>
      </w:pPr>
      <w:r>
        <w:rPr>
          <w:rFonts w:ascii="Arial" w:cs="Arial" w:eastAsia="Arial" w:hAnsi="Arial"/>
          <w:sz w:val="20"/>
          <w:szCs w:val="20"/>
          <w:b w:val="1"/>
          <w:bCs w:val="1"/>
          <w:color w:val="auto"/>
        </w:rPr>
        <w:t>Giving</w:t>
      </w:r>
    </w:p>
    <w:p>
      <w:pPr>
        <w:jc w:val="both"/>
        <w:ind w:left="1952"/>
        <w:spacing w:after="0" w:line="241" w:lineRule="auto"/>
        <w:rPr>
          <w:rFonts w:ascii="Arial" w:cs="Arial" w:eastAsia="Arial" w:hAnsi="Arial"/>
          <w:sz w:val="18"/>
          <w:szCs w:val="18"/>
          <w:color w:val="auto"/>
        </w:rPr>
      </w:pPr>
      <w:r>
        <w:rPr>
          <w:rFonts w:ascii="Arial" w:cs="Arial" w:eastAsia="Arial" w:hAnsi="Arial"/>
          <w:sz w:val="20"/>
          <w:szCs w:val="20"/>
          <w:color w:val="auto"/>
        </w:rPr>
        <w:t>You may not offer money, gifts or other items or services of value to anyone with whom we do business or potentially would do business for the purpose of securing an investment opportunity or contract or obtaining favorable treatment. Business-connected favors or gifts may not be extended unless they:</w:t>
      </w:r>
    </w:p>
    <w:p>
      <w:pPr>
        <w:spacing w:after="0" w:line="196" w:lineRule="exact"/>
        <w:rPr>
          <w:rFonts w:ascii="Arial" w:cs="Arial" w:eastAsia="Arial" w:hAnsi="Arial"/>
          <w:sz w:val="18"/>
          <w:szCs w:val="18"/>
          <w:color w:val="auto"/>
        </w:rPr>
      </w:pPr>
    </w:p>
    <w:p>
      <w:pPr>
        <w:ind w:left="2272" w:hanging="327"/>
        <w:spacing w:after="0"/>
        <w:tabs>
          <w:tab w:leader="none" w:pos="2272" w:val="left"/>
        </w:tabs>
        <w:numPr>
          <w:ilvl w:val="2"/>
          <w:numId w:val="48"/>
        </w:numPr>
        <w:rPr>
          <w:rFonts w:ascii="Arial" w:cs="Arial" w:eastAsia="Arial" w:hAnsi="Arial"/>
          <w:sz w:val="18"/>
          <w:szCs w:val="18"/>
          <w:color w:val="auto"/>
        </w:rPr>
      </w:pPr>
      <w:r>
        <w:rPr>
          <w:rFonts w:ascii="Arial" w:cs="Arial" w:eastAsia="Arial" w:hAnsi="Arial"/>
          <w:sz w:val="20"/>
          <w:szCs w:val="20"/>
          <w:color w:val="auto"/>
        </w:rPr>
        <w:t>Are consistent with customary business practices;</w:t>
      </w:r>
    </w:p>
    <w:p>
      <w:pPr>
        <w:spacing w:after="0" w:line="15" w:lineRule="exact"/>
        <w:rPr>
          <w:rFonts w:ascii="Arial" w:cs="Arial" w:eastAsia="Arial" w:hAnsi="Arial"/>
          <w:sz w:val="18"/>
          <w:szCs w:val="18"/>
          <w:color w:val="auto"/>
        </w:rPr>
      </w:pPr>
    </w:p>
    <w:p>
      <w:pPr>
        <w:ind w:left="2272" w:hanging="327"/>
        <w:spacing w:after="0"/>
        <w:tabs>
          <w:tab w:leader="none" w:pos="2272" w:val="left"/>
        </w:tabs>
        <w:numPr>
          <w:ilvl w:val="2"/>
          <w:numId w:val="48"/>
        </w:numPr>
        <w:rPr>
          <w:rFonts w:ascii="Arial" w:cs="Arial" w:eastAsia="Arial" w:hAnsi="Arial"/>
          <w:sz w:val="18"/>
          <w:szCs w:val="18"/>
          <w:color w:val="auto"/>
        </w:rPr>
      </w:pPr>
      <w:r>
        <w:rPr>
          <w:rFonts w:ascii="Arial" w:cs="Arial" w:eastAsia="Arial" w:hAnsi="Arial"/>
          <w:sz w:val="20"/>
          <w:szCs w:val="20"/>
          <w:color w:val="auto"/>
        </w:rPr>
        <w:t>Do not have substantial monetary value and would not be viewed as improper by others; and</w:t>
      </w:r>
    </w:p>
    <w:p>
      <w:pPr>
        <w:ind w:left="2272" w:hanging="327"/>
        <w:spacing w:after="0"/>
        <w:tabs>
          <w:tab w:leader="none" w:pos="2272" w:val="left"/>
        </w:tabs>
        <w:numPr>
          <w:ilvl w:val="2"/>
          <w:numId w:val="48"/>
        </w:numPr>
        <w:rPr>
          <w:rFonts w:ascii="Arial" w:cs="Arial" w:eastAsia="Arial" w:hAnsi="Arial"/>
          <w:sz w:val="18"/>
          <w:szCs w:val="18"/>
          <w:color w:val="auto"/>
        </w:rPr>
      </w:pPr>
      <w:r>
        <w:rPr>
          <w:rFonts w:ascii="Arial" w:cs="Arial" w:eastAsia="Arial" w:hAnsi="Arial"/>
          <w:sz w:val="20"/>
          <w:szCs w:val="20"/>
          <w:color w:val="auto"/>
        </w:rPr>
        <w:t>Do not violate applicable laws, rules or regulations.</w:t>
      </w:r>
    </w:p>
    <w:p>
      <w:pPr>
        <w:jc w:val="both"/>
        <w:ind w:left="1952"/>
        <w:spacing w:after="0" w:line="241" w:lineRule="auto"/>
        <w:rPr>
          <w:sz w:val="20"/>
          <w:szCs w:val="20"/>
          <w:color w:val="auto"/>
        </w:rPr>
      </w:pPr>
      <w:r>
        <w:rPr>
          <w:rFonts w:ascii="Arial" w:cs="Arial" w:eastAsia="Arial" w:hAnsi="Arial"/>
          <w:sz w:val="20"/>
          <w:szCs w:val="20"/>
          <w:color w:val="auto"/>
        </w:rPr>
        <w:t>Business entertainment in the form of meals and beverages may be offered only if these activities and related expenses are modest and infrequent. Other forms of entertainment (such as tickets to sporting, civic or cultural events) are allowed only if reasonable, customary and not excessive.</w:t>
      </w:r>
    </w:p>
    <w:p>
      <w:pPr>
        <w:spacing w:after="0" w:line="190" w:lineRule="exact"/>
        <w:rPr>
          <w:sz w:val="20"/>
          <w:szCs w:val="20"/>
          <w:color w:val="auto"/>
        </w:rPr>
      </w:pPr>
    </w:p>
    <w:p>
      <w:pPr>
        <w:ind w:left="1952" w:hanging="655"/>
        <w:spacing w:after="0"/>
        <w:tabs>
          <w:tab w:leader="none" w:pos="1952" w:val="left"/>
        </w:tabs>
        <w:numPr>
          <w:ilvl w:val="0"/>
          <w:numId w:val="49"/>
        </w:numPr>
        <w:rPr>
          <w:rFonts w:ascii="Arial" w:cs="Arial" w:eastAsia="Arial" w:hAnsi="Arial"/>
          <w:sz w:val="18"/>
          <w:szCs w:val="18"/>
          <w:color w:val="auto"/>
        </w:rPr>
      </w:pPr>
      <w:r>
        <w:rPr>
          <w:rFonts w:ascii="Arial" w:cs="Arial" w:eastAsia="Arial" w:hAnsi="Arial"/>
          <w:sz w:val="20"/>
          <w:szCs w:val="20"/>
          <w:b w:val="1"/>
          <w:bCs w:val="1"/>
          <w:color w:val="auto"/>
        </w:rPr>
        <w:t>Receiving</w:t>
      </w:r>
    </w:p>
    <w:p>
      <w:pPr>
        <w:spacing w:after="0" w:line="21" w:lineRule="exact"/>
        <w:rPr>
          <w:rFonts w:ascii="Arial" w:cs="Arial" w:eastAsia="Arial" w:hAnsi="Arial"/>
          <w:sz w:val="18"/>
          <w:szCs w:val="18"/>
          <w:color w:val="auto"/>
        </w:rPr>
      </w:pPr>
    </w:p>
    <w:p>
      <w:pPr>
        <w:ind w:left="1952" w:right="20"/>
        <w:spacing w:after="0" w:line="298" w:lineRule="auto"/>
        <w:rPr>
          <w:rFonts w:ascii="Arial" w:cs="Arial" w:eastAsia="Arial" w:hAnsi="Arial"/>
          <w:sz w:val="18"/>
          <w:szCs w:val="18"/>
          <w:color w:val="auto"/>
        </w:rPr>
      </w:pPr>
      <w:r>
        <w:rPr>
          <w:rFonts w:ascii="Arial" w:cs="Arial" w:eastAsia="Arial" w:hAnsi="Arial"/>
          <w:sz w:val="18"/>
          <w:szCs w:val="18"/>
          <w:color w:val="auto"/>
        </w:rPr>
        <w:t>To avoid even the implication of impropriety, you should decline any gift, favor, entertainment or anything else of value from current or prospective intermediaries, clients, suppliers or contractors or their representatives except for:</w:t>
      </w:r>
    </w:p>
    <w:p>
      <w:pPr>
        <w:spacing w:after="0" w:line="145" w:lineRule="exact"/>
        <w:rPr>
          <w:rFonts w:ascii="Arial" w:cs="Arial" w:eastAsia="Arial" w:hAnsi="Arial"/>
          <w:sz w:val="18"/>
          <w:szCs w:val="18"/>
          <w:color w:val="auto"/>
        </w:rPr>
      </w:pPr>
    </w:p>
    <w:p>
      <w:pPr>
        <w:ind w:left="2272" w:hanging="327"/>
        <w:spacing w:after="0"/>
        <w:tabs>
          <w:tab w:leader="none" w:pos="2272" w:val="left"/>
        </w:tabs>
        <w:numPr>
          <w:ilvl w:val="1"/>
          <w:numId w:val="49"/>
        </w:numPr>
        <w:rPr>
          <w:rFonts w:ascii="Arial" w:cs="Arial" w:eastAsia="Arial" w:hAnsi="Arial"/>
          <w:sz w:val="18"/>
          <w:szCs w:val="18"/>
          <w:color w:val="auto"/>
        </w:rPr>
      </w:pPr>
      <w:r>
        <w:rPr>
          <w:rFonts w:ascii="Arial" w:cs="Arial" w:eastAsia="Arial" w:hAnsi="Arial"/>
          <w:sz w:val="20"/>
          <w:szCs w:val="20"/>
          <w:color w:val="auto"/>
        </w:rPr>
        <w:t>Gifts that do not have substantial monetary value given at holidays or other special occasions;</w:t>
      </w:r>
    </w:p>
    <w:p>
      <w:pPr>
        <w:spacing w:after="0" w:line="15" w:lineRule="exact"/>
        <w:rPr>
          <w:rFonts w:ascii="Arial" w:cs="Arial" w:eastAsia="Arial" w:hAnsi="Arial"/>
          <w:sz w:val="18"/>
          <w:szCs w:val="18"/>
          <w:color w:val="auto"/>
        </w:rPr>
      </w:pPr>
    </w:p>
    <w:p>
      <w:pPr>
        <w:ind w:left="2272" w:right="40" w:hanging="327"/>
        <w:spacing w:after="0" w:line="239" w:lineRule="auto"/>
        <w:tabs>
          <w:tab w:leader="none" w:pos="2272" w:val="left"/>
        </w:tabs>
        <w:numPr>
          <w:ilvl w:val="1"/>
          <w:numId w:val="49"/>
        </w:numPr>
        <w:rPr>
          <w:rFonts w:ascii="Arial" w:cs="Arial" w:eastAsia="Arial" w:hAnsi="Arial"/>
          <w:sz w:val="18"/>
          <w:szCs w:val="18"/>
          <w:color w:val="auto"/>
        </w:rPr>
      </w:pPr>
      <w:r>
        <w:rPr>
          <w:rFonts w:ascii="Arial" w:cs="Arial" w:eastAsia="Arial" w:hAnsi="Arial"/>
          <w:sz w:val="20"/>
          <w:szCs w:val="20"/>
          <w:color w:val="auto"/>
        </w:rPr>
        <w:t>Reasonable entertainment at lunch, dinner or business meetings where the return of the expenditure on a reciprocal basis is likely to occur and would be properly chargeable as a business expense; or</w:t>
      </w:r>
    </w:p>
    <w:p>
      <w:pPr>
        <w:spacing w:after="0" w:line="1" w:lineRule="exact"/>
        <w:rPr>
          <w:rFonts w:ascii="Arial" w:cs="Arial" w:eastAsia="Arial" w:hAnsi="Arial"/>
          <w:sz w:val="18"/>
          <w:szCs w:val="18"/>
          <w:color w:val="auto"/>
        </w:rPr>
      </w:pPr>
    </w:p>
    <w:p>
      <w:pPr>
        <w:ind w:left="2272" w:right="360" w:hanging="327"/>
        <w:spacing w:after="0" w:line="252" w:lineRule="auto"/>
        <w:tabs>
          <w:tab w:leader="none" w:pos="2272" w:val="left"/>
        </w:tabs>
        <w:numPr>
          <w:ilvl w:val="1"/>
          <w:numId w:val="49"/>
        </w:numPr>
        <w:rPr>
          <w:rFonts w:ascii="Arial" w:cs="Arial" w:eastAsia="Arial" w:hAnsi="Arial"/>
          <w:sz w:val="17"/>
          <w:szCs w:val="17"/>
          <w:color w:val="auto"/>
        </w:rPr>
      </w:pPr>
      <w:r>
        <w:rPr>
          <w:rFonts w:ascii="Arial" w:cs="Arial" w:eastAsia="Arial" w:hAnsi="Arial"/>
          <w:sz w:val="19"/>
          <w:szCs w:val="19"/>
          <w:color w:val="auto"/>
        </w:rPr>
        <w:t>Other routine entertainment that is business-related such as sports outings or cultural events, but only if such is otherwise acceptable under this Code and is reasonable, customary and not excessive.</w:t>
      </w:r>
    </w:p>
    <w:p>
      <w:pPr>
        <w:jc w:val="both"/>
        <w:ind w:left="1952"/>
        <w:spacing w:after="0" w:line="241" w:lineRule="auto"/>
        <w:rPr>
          <w:sz w:val="20"/>
          <w:szCs w:val="20"/>
          <w:color w:val="auto"/>
        </w:rPr>
      </w:pPr>
      <w:r>
        <w:rPr>
          <w:rFonts w:ascii="Arial" w:cs="Arial" w:eastAsia="Arial" w:hAnsi="Arial"/>
          <w:sz w:val="20"/>
          <w:szCs w:val="20"/>
          <w:color w:val="auto"/>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“Audit Committee”).</w:t>
      </w:r>
    </w:p>
    <w:p>
      <w:pPr>
        <w:spacing w:after="0" w:line="195" w:lineRule="exact"/>
        <w:rPr>
          <w:sz w:val="20"/>
          <w:szCs w:val="20"/>
          <w:color w:val="auto"/>
        </w:rPr>
      </w:pPr>
    </w:p>
    <w:p>
      <w:pPr>
        <w:jc w:val="both"/>
        <w:ind w:left="1952"/>
        <w:spacing w:after="0" w:line="250" w:lineRule="auto"/>
        <w:rPr>
          <w:sz w:val="20"/>
          <w:szCs w:val="20"/>
          <w:color w:val="auto"/>
        </w:rPr>
      </w:pPr>
      <w:r>
        <w:rPr>
          <w:rFonts w:ascii="Arial" w:cs="Arial" w:eastAsia="Arial" w:hAnsi="Arial"/>
          <w:sz w:val="20"/>
          <w:szCs w:val="20"/>
          <w:color w:val="auto"/>
        </w:rPr>
        <w:t>Ultimately, you must exercise good business judgment in deciding which situations are unacceptable. If there is ever any doubt as to the acceptability of any entertainment activity, consult with your supervisor or our Chief Compliance Officer.</w:t>
      </w:r>
    </w:p>
    <w:p>
      <w:pPr>
        <w:spacing w:after="0" w:line="180" w:lineRule="exact"/>
        <w:rPr>
          <w:sz w:val="20"/>
          <w:szCs w:val="20"/>
          <w:color w:val="auto"/>
        </w:rPr>
      </w:pPr>
    </w:p>
    <w:p>
      <w:pPr>
        <w:ind w:left="652" w:hanging="652"/>
        <w:spacing w:after="0"/>
        <w:tabs>
          <w:tab w:leader="none" w:pos="652" w:val="left"/>
        </w:tabs>
        <w:numPr>
          <w:ilvl w:val="0"/>
          <w:numId w:val="50"/>
        </w:numPr>
        <w:rPr>
          <w:rFonts w:ascii="Arial" w:cs="Arial" w:eastAsia="Arial" w:hAnsi="Arial"/>
          <w:sz w:val="18"/>
          <w:szCs w:val="18"/>
          <w:color w:val="auto"/>
        </w:rPr>
      </w:pPr>
      <w:r>
        <w:rPr>
          <w:rFonts w:ascii="Arial" w:cs="Arial" w:eastAsia="Arial" w:hAnsi="Arial"/>
          <w:sz w:val="20"/>
          <w:szCs w:val="20"/>
          <w:b w:val="1"/>
          <w:bCs w:val="1"/>
          <w:color w:val="auto"/>
        </w:rPr>
        <w:t>MAINTAINING ACCURATE AND COMPLETE COMPANY RECORDS</w:t>
      </w:r>
    </w:p>
    <w:p>
      <w:pPr>
        <w:spacing w:after="0" w:line="2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20"/>
          <w:szCs w:val="20"/>
          <w:b w:val="1"/>
          <w:bCs w:val="1"/>
          <w:color w:val="auto"/>
        </w:rPr>
        <w:t>ACCOUNTING AND FINANCIAL RECORDS</w:t>
      </w:r>
    </w:p>
    <w:p>
      <w:pPr>
        <w:sectPr>
          <w:pgSz w:w="11900" w:h="16838" w:orient="portrait"/>
          <w:cols w:equalWidth="0" w:num="1">
            <w:col w:w="11412"/>
          </w:cols>
          <w:pgMar w:left="248" w:top="582" w:right="239" w:bottom="1440" w:gutter="0" w:footer="0" w:header="0"/>
        </w:sectPr>
      </w:pPr>
    </w:p>
    <w:bookmarkStart w:id="57" w:name="page58"/>
    <w:bookmarkEnd w:id="57"/>
    <w:p>
      <w:pPr>
        <w:jc w:val="both"/>
        <w:ind w:left="644"/>
        <w:spacing w:after="0" w:line="263" w:lineRule="auto"/>
        <w:rPr>
          <w:sz w:val="20"/>
          <w:szCs w:val="20"/>
          <w:color w:val="auto"/>
        </w:rPr>
      </w:pPr>
      <w:r>
        <w:rPr>
          <w:rFonts w:ascii="Arial" w:cs="Arial" w:eastAsia="Arial" w:hAnsi="Arial"/>
          <w:sz w:val="19"/>
          <w:szCs w:val="19"/>
          <w:color w:val="auto"/>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spacing w:after="0" w:line="177" w:lineRule="exact"/>
        <w:rPr>
          <w:sz w:val="20"/>
          <w:szCs w:val="20"/>
          <w:color w:val="auto"/>
        </w:rPr>
      </w:pPr>
    </w:p>
    <w:p>
      <w:pPr>
        <w:ind w:left="644"/>
        <w:spacing w:after="0"/>
        <w:rPr>
          <w:sz w:val="20"/>
          <w:szCs w:val="20"/>
          <w:color w:val="auto"/>
        </w:rPr>
      </w:pPr>
      <w:r>
        <w:rPr>
          <w:rFonts w:ascii="Arial" w:cs="Arial" w:eastAsia="Arial" w:hAnsi="Arial"/>
          <w:sz w:val="20"/>
          <w:szCs w:val="20"/>
          <w:color w:val="auto"/>
        </w:rPr>
        <w:t>You should not:</w:t>
      </w:r>
    </w:p>
    <w:p>
      <w:pPr>
        <w:spacing w:after="0" w:line="216" w:lineRule="exact"/>
        <w:rPr>
          <w:sz w:val="20"/>
          <w:szCs w:val="20"/>
          <w:color w:val="auto"/>
        </w:rPr>
      </w:pPr>
    </w:p>
    <w:p>
      <w:pPr>
        <w:ind w:left="1624" w:hanging="327"/>
        <w:spacing w:after="0"/>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Improperly accelerate or defer expenses or revenues to achieve financial results or goals;</w:t>
      </w:r>
    </w:p>
    <w:p>
      <w:pPr>
        <w:spacing w:after="0" w:line="15" w:lineRule="exact"/>
        <w:rPr>
          <w:rFonts w:ascii="Arial" w:cs="Arial" w:eastAsia="Arial" w:hAnsi="Arial"/>
          <w:sz w:val="18"/>
          <w:szCs w:val="18"/>
          <w:color w:val="auto"/>
        </w:rPr>
      </w:pPr>
    </w:p>
    <w:p>
      <w:pPr>
        <w:ind w:left="1624" w:hanging="327"/>
        <w:spacing w:after="0"/>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Deviate from any accounting standards applicable to AGNC or otherwise;</w:t>
      </w:r>
    </w:p>
    <w:p>
      <w:pPr>
        <w:ind w:left="1624" w:hanging="327"/>
        <w:spacing w:after="0"/>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Participate in the valuation of any of our assets at a value other than that required by law;</w:t>
      </w:r>
    </w:p>
    <w:p>
      <w:pPr>
        <w:ind w:left="1624" w:hanging="327"/>
        <w:spacing w:after="0"/>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Maintain any undisclosed or unrecorded funds or off the book assets;</w:t>
      </w:r>
    </w:p>
    <w:p>
      <w:pPr>
        <w:ind w:left="1624" w:right="580" w:hanging="327"/>
        <w:spacing w:after="0" w:line="239" w:lineRule="auto"/>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Establish or maintain improper, misleading, incomplete or fraudulent accounting documentation or financial reporting;</w:t>
      </w:r>
    </w:p>
    <w:p>
      <w:pPr>
        <w:spacing w:after="0" w:line="1" w:lineRule="exact"/>
        <w:rPr>
          <w:rFonts w:ascii="Arial" w:cs="Arial" w:eastAsia="Arial" w:hAnsi="Arial"/>
          <w:sz w:val="18"/>
          <w:szCs w:val="18"/>
          <w:color w:val="auto"/>
        </w:rPr>
      </w:pPr>
    </w:p>
    <w:p>
      <w:pPr>
        <w:ind w:left="1624" w:hanging="327"/>
        <w:spacing w:after="0"/>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Make any payment for purposes other than those described in the documents supporting the payment;</w:t>
      </w:r>
    </w:p>
    <w:p>
      <w:pPr>
        <w:ind w:left="1624" w:right="440" w:hanging="327"/>
        <w:spacing w:after="0" w:line="239" w:lineRule="auto"/>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Submit or approve any expense report where you know or suspect that any portion of the underlying expenses were not incurred or are not accurate; or</w:t>
      </w:r>
    </w:p>
    <w:p>
      <w:pPr>
        <w:spacing w:after="0" w:line="1" w:lineRule="exact"/>
        <w:rPr>
          <w:rFonts w:ascii="Arial" w:cs="Arial" w:eastAsia="Arial" w:hAnsi="Arial"/>
          <w:sz w:val="18"/>
          <w:szCs w:val="18"/>
          <w:color w:val="auto"/>
        </w:rPr>
      </w:pPr>
    </w:p>
    <w:p>
      <w:pPr>
        <w:ind w:left="1624" w:hanging="327"/>
        <w:spacing w:after="0"/>
        <w:tabs>
          <w:tab w:leader="none" w:pos="1624" w:val="left"/>
        </w:tabs>
        <w:numPr>
          <w:ilvl w:val="0"/>
          <w:numId w:val="51"/>
        </w:numPr>
        <w:rPr>
          <w:rFonts w:ascii="Arial" w:cs="Arial" w:eastAsia="Arial" w:hAnsi="Arial"/>
          <w:sz w:val="18"/>
          <w:szCs w:val="18"/>
          <w:color w:val="auto"/>
        </w:rPr>
      </w:pPr>
      <w:r>
        <w:rPr>
          <w:rFonts w:ascii="Arial" w:cs="Arial" w:eastAsia="Arial" w:hAnsi="Arial"/>
          <w:sz w:val="20"/>
          <w:szCs w:val="20"/>
          <w:color w:val="auto"/>
        </w:rPr>
        <w:t>Sign any documents believed to be inaccurate or untruthful.</w:t>
      </w:r>
    </w:p>
    <w:p>
      <w:pPr>
        <w:jc w:val="both"/>
        <w:ind w:left="644"/>
        <w:spacing w:after="0" w:line="274" w:lineRule="auto"/>
        <w:rPr>
          <w:sz w:val="20"/>
          <w:szCs w:val="20"/>
          <w:color w:val="auto"/>
        </w:rPr>
      </w:pPr>
      <w:r>
        <w:rPr>
          <w:rFonts w:ascii="Arial" w:cs="Arial" w:eastAsia="Arial" w:hAnsi="Arial"/>
          <w:sz w:val="18"/>
          <w:szCs w:val="18"/>
          <w:color w:val="auto"/>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spacing w:after="0" w:line="166" w:lineRule="exact"/>
        <w:rPr>
          <w:sz w:val="20"/>
          <w:szCs w:val="20"/>
          <w:color w:val="auto"/>
        </w:rPr>
      </w:pPr>
    </w:p>
    <w:p>
      <w:pPr>
        <w:jc w:val="both"/>
        <w:ind w:left="644"/>
        <w:spacing w:after="0" w:line="291" w:lineRule="auto"/>
        <w:rPr>
          <w:sz w:val="20"/>
          <w:szCs w:val="20"/>
          <w:color w:val="auto"/>
        </w:rPr>
      </w:pPr>
      <w:r>
        <w:rPr>
          <w:rFonts w:ascii="Arial" w:cs="Arial" w:eastAsia="Arial" w:hAnsi="Arial"/>
          <w:sz w:val="18"/>
          <w:szCs w:val="18"/>
          <w:color w:val="auto"/>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spacing w:after="0" w:line="152" w:lineRule="exact"/>
        <w:rPr>
          <w:sz w:val="20"/>
          <w:szCs w:val="20"/>
          <w:color w:val="auto"/>
        </w:rPr>
      </w:pPr>
    </w:p>
    <w:p>
      <w:pPr>
        <w:jc w:val="both"/>
        <w:ind w:left="644"/>
        <w:spacing w:after="0" w:line="243" w:lineRule="auto"/>
        <w:rPr>
          <w:sz w:val="20"/>
          <w:szCs w:val="20"/>
          <w:color w:val="auto"/>
        </w:rPr>
      </w:pPr>
      <w:r>
        <w:rPr>
          <w:rFonts w:ascii="Arial" w:cs="Arial" w:eastAsia="Arial" w:hAnsi="Arial"/>
          <w:sz w:val="20"/>
          <w:szCs w:val="20"/>
          <w:color w:val="auto"/>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spacing w:after="0" w:line="196" w:lineRule="exact"/>
        <w:rPr>
          <w:sz w:val="20"/>
          <w:szCs w:val="20"/>
          <w:color w:val="auto"/>
        </w:rPr>
      </w:pPr>
    </w:p>
    <w:p>
      <w:pPr>
        <w:jc w:val="both"/>
        <w:ind w:left="644"/>
        <w:spacing w:after="0" w:line="260" w:lineRule="auto"/>
        <w:rPr>
          <w:sz w:val="20"/>
          <w:szCs w:val="20"/>
          <w:color w:val="auto"/>
        </w:rPr>
      </w:pPr>
      <w:r>
        <w:rPr>
          <w:rFonts w:ascii="Arial" w:cs="Arial" w:eastAsia="Arial" w:hAnsi="Arial"/>
          <w:sz w:val="20"/>
          <w:szCs w:val="20"/>
          <w:color w:val="auto"/>
        </w:rPr>
        <w:t>Section F.2 of this Code describes the procedure for making these reports. You may also make an anonymous report under Section F.2 if you are not comfortable revealing your identity when making a report.</w:t>
      </w:r>
    </w:p>
    <w:p>
      <w:pPr>
        <w:spacing w:after="0" w:line="171" w:lineRule="exact"/>
        <w:rPr>
          <w:sz w:val="20"/>
          <w:szCs w:val="20"/>
          <w:color w:val="auto"/>
        </w:rPr>
      </w:pPr>
    </w:p>
    <w:p>
      <w:pPr>
        <w:ind w:left="644" w:hanging="644"/>
        <w:spacing w:after="0"/>
        <w:tabs>
          <w:tab w:leader="none" w:pos="644" w:val="left"/>
        </w:tabs>
        <w:numPr>
          <w:ilvl w:val="0"/>
          <w:numId w:val="52"/>
        </w:numPr>
        <w:rPr>
          <w:rFonts w:ascii="Arial" w:cs="Arial" w:eastAsia="Arial" w:hAnsi="Arial"/>
          <w:sz w:val="18"/>
          <w:szCs w:val="18"/>
          <w:color w:val="auto"/>
        </w:rPr>
      </w:pPr>
      <w:r>
        <w:rPr>
          <w:rFonts w:ascii="Arial" w:cs="Arial" w:eastAsia="Arial" w:hAnsi="Arial"/>
          <w:sz w:val="20"/>
          <w:szCs w:val="20"/>
          <w:b w:val="1"/>
          <w:bCs w:val="1"/>
          <w:color w:val="auto"/>
        </w:rPr>
        <w:t>DISCLOSURES TO INVESTORS</w:t>
      </w:r>
    </w:p>
    <w:p>
      <w:pPr>
        <w:spacing w:after="0" w:line="21" w:lineRule="exact"/>
        <w:rPr>
          <w:rFonts w:ascii="Arial" w:cs="Arial" w:eastAsia="Arial" w:hAnsi="Arial"/>
          <w:sz w:val="18"/>
          <w:szCs w:val="18"/>
          <w:color w:val="auto"/>
        </w:rPr>
      </w:pPr>
    </w:p>
    <w:p>
      <w:pPr>
        <w:jc w:val="both"/>
        <w:ind w:left="644"/>
        <w:spacing w:after="0" w:line="274" w:lineRule="auto"/>
        <w:rPr>
          <w:rFonts w:ascii="Arial" w:cs="Arial" w:eastAsia="Arial" w:hAnsi="Arial"/>
          <w:sz w:val="18"/>
          <w:szCs w:val="18"/>
          <w:color w:val="auto"/>
        </w:rPr>
      </w:pPr>
      <w:r>
        <w:rPr>
          <w:rFonts w:ascii="Arial" w:cs="Arial" w:eastAsia="Arial" w:hAnsi="Arial"/>
          <w:sz w:val="18"/>
          <w:szCs w:val="18"/>
          <w:color w:val="auto"/>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 of these disclosures, or who provide information that they know may be used in the preparation of</w:t>
      </w:r>
    </w:p>
    <w:p>
      <w:pPr>
        <w:sectPr>
          <w:pgSz w:w="11900" w:h="16838" w:orient="portrait"/>
          <w:cols w:equalWidth="0" w:num="1">
            <w:col w:w="10764"/>
          </w:cols>
          <w:pgMar w:left="896" w:top="582" w:right="239" w:bottom="1440" w:gutter="0" w:footer="0" w:header="0"/>
        </w:sectPr>
      </w:pPr>
    </w:p>
    <w:bookmarkStart w:id="58" w:name="page59"/>
    <w:bookmarkEnd w:id="58"/>
    <w:p>
      <w:pPr>
        <w:ind w:left="1292"/>
        <w:spacing w:after="0"/>
        <w:rPr>
          <w:sz w:val="20"/>
          <w:szCs w:val="20"/>
          <w:color w:val="auto"/>
        </w:rPr>
      </w:pPr>
      <w:r>
        <w:rPr>
          <w:rFonts w:ascii="Arial" w:cs="Arial" w:eastAsia="Arial" w:hAnsi="Arial"/>
          <w:sz w:val="18"/>
          <w:szCs w:val="18"/>
          <w:color w:val="auto"/>
        </w:rPr>
        <w:t>these disclosures, have a legal and ethical duty to ensure that the content of the disclosures is accurate, complete and timely.</w:t>
      </w:r>
    </w:p>
    <w:p>
      <w:pPr>
        <w:spacing w:after="0" w:line="239" w:lineRule="exact"/>
        <w:rPr>
          <w:sz w:val="20"/>
          <w:szCs w:val="20"/>
          <w:color w:val="auto"/>
        </w:rPr>
      </w:pPr>
    </w:p>
    <w:p>
      <w:pPr>
        <w:jc w:val="both"/>
        <w:ind w:left="1292"/>
        <w:spacing w:after="0" w:line="246" w:lineRule="auto"/>
        <w:rPr>
          <w:sz w:val="20"/>
          <w:szCs w:val="20"/>
          <w:color w:val="auto"/>
        </w:rPr>
      </w:pPr>
      <w:r>
        <w:rPr>
          <w:rFonts w:ascii="Arial" w:cs="Arial" w:eastAsia="Arial" w:hAnsi="Arial"/>
          <w:sz w:val="20"/>
          <w:szCs w:val="20"/>
          <w:color w:val="auto"/>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spacing w:after="0" w:line="186" w:lineRule="exact"/>
        <w:rPr>
          <w:sz w:val="20"/>
          <w:szCs w:val="20"/>
          <w:color w:val="auto"/>
        </w:rPr>
      </w:pPr>
    </w:p>
    <w:p>
      <w:pPr>
        <w:ind w:left="1292" w:hanging="644"/>
        <w:spacing w:after="0"/>
        <w:tabs>
          <w:tab w:leader="none" w:pos="1292" w:val="left"/>
        </w:tabs>
        <w:numPr>
          <w:ilvl w:val="1"/>
          <w:numId w:val="53"/>
        </w:numPr>
        <w:rPr>
          <w:rFonts w:ascii="Arial" w:cs="Arial" w:eastAsia="Arial" w:hAnsi="Arial"/>
          <w:sz w:val="18"/>
          <w:szCs w:val="18"/>
          <w:color w:val="auto"/>
        </w:rPr>
      </w:pPr>
      <w:r>
        <w:rPr>
          <w:rFonts w:ascii="Arial" w:cs="Arial" w:eastAsia="Arial" w:hAnsi="Arial"/>
          <w:sz w:val="20"/>
          <w:szCs w:val="20"/>
          <w:b w:val="1"/>
          <w:bCs w:val="1"/>
          <w:color w:val="auto"/>
        </w:rPr>
        <w:t>RETENTION OF DOCUMENTS</w:t>
      </w:r>
    </w:p>
    <w:p>
      <w:pPr>
        <w:spacing w:after="0" w:line="21" w:lineRule="exact"/>
        <w:rPr>
          <w:rFonts w:ascii="Arial" w:cs="Arial" w:eastAsia="Arial" w:hAnsi="Arial"/>
          <w:sz w:val="18"/>
          <w:szCs w:val="18"/>
          <w:color w:val="auto"/>
        </w:rPr>
      </w:pPr>
    </w:p>
    <w:p>
      <w:pPr>
        <w:jc w:val="both"/>
        <w:ind w:left="1292"/>
        <w:spacing w:after="0" w:line="272" w:lineRule="auto"/>
        <w:rPr>
          <w:rFonts w:ascii="Arial" w:cs="Arial" w:eastAsia="Arial" w:hAnsi="Arial"/>
          <w:sz w:val="18"/>
          <w:szCs w:val="18"/>
          <w:color w:val="auto"/>
        </w:rPr>
      </w:pPr>
      <w:r>
        <w:rPr>
          <w:rFonts w:ascii="Arial" w:cs="Arial" w:eastAsia="Arial" w:hAnsi="Arial"/>
          <w:sz w:val="18"/>
          <w:szCs w:val="18"/>
          <w:color w:val="auto"/>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spacing w:after="0" w:line="170" w:lineRule="exact"/>
        <w:rPr>
          <w:rFonts w:ascii="Arial" w:cs="Arial" w:eastAsia="Arial" w:hAnsi="Arial"/>
          <w:sz w:val="18"/>
          <w:szCs w:val="18"/>
          <w:color w:val="auto"/>
        </w:rPr>
      </w:pPr>
    </w:p>
    <w:p>
      <w:pPr>
        <w:jc w:val="both"/>
        <w:ind w:left="1292"/>
        <w:spacing w:after="0" w:line="278" w:lineRule="auto"/>
        <w:rPr>
          <w:rFonts w:ascii="Arial" w:cs="Arial" w:eastAsia="Arial" w:hAnsi="Arial"/>
          <w:sz w:val="18"/>
          <w:szCs w:val="18"/>
          <w:color w:val="auto"/>
        </w:rPr>
      </w:pPr>
      <w:r>
        <w:rPr>
          <w:rFonts w:ascii="Arial" w:cs="Arial" w:eastAsia="Arial" w:hAnsi="Arial"/>
          <w:sz w:val="18"/>
          <w:szCs w:val="18"/>
          <w:color w:val="auto"/>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spacing w:after="0" w:line="159" w:lineRule="exact"/>
        <w:rPr>
          <w:rFonts w:ascii="Arial" w:cs="Arial" w:eastAsia="Arial" w:hAnsi="Arial"/>
          <w:sz w:val="18"/>
          <w:szCs w:val="18"/>
          <w:color w:val="auto"/>
        </w:rPr>
      </w:pPr>
    </w:p>
    <w:p>
      <w:pPr>
        <w:ind w:left="652" w:hanging="652"/>
        <w:spacing w:after="0"/>
        <w:tabs>
          <w:tab w:leader="none" w:pos="652" w:val="left"/>
        </w:tabs>
        <w:numPr>
          <w:ilvl w:val="0"/>
          <w:numId w:val="54"/>
        </w:numPr>
        <w:rPr>
          <w:rFonts w:ascii="Arial" w:cs="Arial" w:eastAsia="Arial" w:hAnsi="Arial"/>
          <w:sz w:val="18"/>
          <w:szCs w:val="18"/>
          <w:color w:val="auto"/>
        </w:rPr>
      </w:pPr>
      <w:r>
        <w:rPr>
          <w:rFonts w:ascii="Arial" w:cs="Arial" w:eastAsia="Arial" w:hAnsi="Arial"/>
          <w:sz w:val="20"/>
          <w:szCs w:val="20"/>
          <w:b w:val="1"/>
          <w:bCs w:val="1"/>
          <w:color w:val="auto"/>
        </w:rPr>
        <w:t>PROTECTING CONFIDENTIAL INFORMATION</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54"/>
        </w:numPr>
        <w:rPr>
          <w:rFonts w:ascii="Arial" w:cs="Arial" w:eastAsia="Arial" w:hAnsi="Arial"/>
          <w:sz w:val="18"/>
          <w:szCs w:val="18"/>
          <w:color w:val="auto"/>
        </w:rPr>
      </w:pPr>
      <w:r>
        <w:rPr>
          <w:rFonts w:ascii="Arial" w:cs="Arial" w:eastAsia="Arial" w:hAnsi="Arial"/>
          <w:sz w:val="20"/>
          <w:szCs w:val="20"/>
          <w:b w:val="1"/>
          <w:bCs w:val="1"/>
          <w:color w:val="auto"/>
        </w:rPr>
        <w:t>AGNC CONFIDENTIAL INFORMATION</w:t>
      </w:r>
    </w:p>
    <w:p>
      <w:pPr>
        <w:ind w:left="1292"/>
        <w:spacing w:after="0" w:line="244" w:lineRule="auto"/>
        <w:rPr>
          <w:rFonts w:ascii="Arial" w:cs="Arial" w:eastAsia="Arial" w:hAnsi="Arial"/>
          <w:sz w:val="18"/>
          <w:szCs w:val="18"/>
          <w:color w:val="auto"/>
        </w:rPr>
      </w:pPr>
      <w:r>
        <w:rPr>
          <w:rFonts w:ascii="Arial" w:cs="Arial" w:eastAsia="Arial" w:hAnsi="Arial"/>
          <w:sz w:val="20"/>
          <w:szCs w:val="20"/>
          <w:color w:val="auto"/>
        </w:rPr>
        <w:t>You will often have access to information that is private to AGNC, has not been made public and constitutes trade secrets or proprietary information. Protection of this information is critical to our ability to grow and compete.</w:t>
      </w:r>
    </w:p>
    <w:p>
      <w:pPr>
        <w:spacing w:after="0" w:line="191" w:lineRule="exact"/>
        <w:rPr>
          <w:rFonts w:ascii="Arial" w:cs="Arial" w:eastAsia="Arial" w:hAnsi="Arial"/>
          <w:sz w:val="18"/>
          <w:szCs w:val="18"/>
          <w:color w:val="auto"/>
        </w:rPr>
      </w:pPr>
    </w:p>
    <w:p>
      <w:pPr>
        <w:ind w:left="1292"/>
        <w:spacing w:after="0" w:line="260" w:lineRule="auto"/>
        <w:rPr>
          <w:rFonts w:ascii="Arial" w:cs="Arial" w:eastAsia="Arial" w:hAnsi="Arial"/>
          <w:sz w:val="18"/>
          <w:szCs w:val="18"/>
          <w:color w:val="auto"/>
        </w:rPr>
      </w:pPr>
      <w:r>
        <w:rPr>
          <w:rFonts w:ascii="Arial" w:cs="Arial" w:eastAsia="Arial" w:hAnsi="Arial"/>
          <w:sz w:val="20"/>
          <w:szCs w:val="20"/>
          <w:color w:val="auto"/>
        </w:rPr>
        <w:t>Under the laws of most jurisdictions where we do business, trade secrets are legally protected property as long as they remain secret (meaning not generally or publicly known).</w:t>
      </w:r>
    </w:p>
    <w:p>
      <w:pPr>
        <w:spacing w:after="0" w:line="176"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Your obligations with respect to our confidential trade secrets and proprietary information are:</w:t>
      </w:r>
    </w:p>
    <w:p>
      <w:pPr>
        <w:spacing w:after="0" w:line="215" w:lineRule="exact"/>
        <w:rPr>
          <w:rFonts w:ascii="Arial" w:cs="Arial" w:eastAsia="Arial" w:hAnsi="Arial"/>
          <w:sz w:val="18"/>
          <w:szCs w:val="18"/>
          <w:color w:val="auto"/>
        </w:rPr>
      </w:pPr>
    </w:p>
    <w:p>
      <w:pPr>
        <w:ind w:left="2272" w:hanging="327"/>
        <w:spacing w:after="0"/>
        <w:tabs>
          <w:tab w:leader="none" w:pos="2272" w:val="left"/>
        </w:tabs>
        <w:numPr>
          <w:ilvl w:val="2"/>
          <w:numId w:val="54"/>
        </w:numPr>
        <w:rPr>
          <w:rFonts w:ascii="Arial" w:cs="Arial" w:eastAsia="Arial" w:hAnsi="Arial"/>
          <w:sz w:val="18"/>
          <w:szCs w:val="18"/>
          <w:color w:val="auto"/>
        </w:rPr>
      </w:pPr>
      <w:r>
        <w:rPr>
          <w:rFonts w:ascii="Arial" w:cs="Arial" w:eastAsia="Arial" w:hAnsi="Arial"/>
          <w:sz w:val="20"/>
          <w:szCs w:val="20"/>
          <w:color w:val="auto"/>
        </w:rPr>
        <w:t>Not to disclose the information outside of AGNC;</w:t>
      </w:r>
    </w:p>
    <w:p>
      <w:pPr>
        <w:spacing w:after="0" w:line="15" w:lineRule="exact"/>
        <w:rPr>
          <w:rFonts w:ascii="Arial" w:cs="Arial" w:eastAsia="Arial" w:hAnsi="Arial"/>
          <w:sz w:val="18"/>
          <w:szCs w:val="18"/>
          <w:color w:val="auto"/>
        </w:rPr>
      </w:pPr>
    </w:p>
    <w:p>
      <w:pPr>
        <w:ind w:left="2272" w:hanging="327"/>
        <w:spacing w:after="0"/>
        <w:tabs>
          <w:tab w:leader="none" w:pos="2272" w:val="left"/>
        </w:tabs>
        <w:numPr>
          <w:ilvl w:val="2"/>
          <w:numId w:val="54"/>
        </w:numPr>
        <w:rPr>
          <w:rFonts w:ascii="Arial" w:cs="Arial" w:eastAsia="Arial" w:hAnsi="Arial"/>
          <w:sz w:val="18"/>
          <w:szCs w:val="18"/>
          <w:color w:val="auto"/>
        </w:rPr>
      </w:pPr>
      <w:r>
        <w:rPr>
          <w:rFonts w:ascii="Arial" w:cs="Arial" w:eastAsia="Arial" w:hAnsi="Arial"/>
          <w:sz w:val="20"/>
          <w:szCs w:val="20"/>
          <w:color w:val="auto"/>
        </w:rPr>
        <w:t>Not to use the information for any purpose except to benefit AGNC’s business; and</w:t>
      </w:r>
    </w:p>
    <w:p>
      <w:pPr>
        <w:ind w:left="2272" w:right="640" w:hanging="327"/>
        <w:spacing w:after="0" w:line="252" w:lineRule="auto"/>
        <w:tabs>
          <w:tab w:leader="none" w:pos="2272" w:val="left"/>
        </w:tabs>
        <w:numPr>
          <w:ilvl w:val="2"/>
          <w:numId w:val="54"/>
        </w:numPr>
        <w:rPr>
          <w:rFonts w:ascii="Arial" w:cs="Arial" w:eastAsia="Arial" w:hAnsi="Arial"/>
          <w:sz w:val="17"/>
          <w:szCs w:val="17"/>
          <w:color w:val="auto"/>
        </w:rPr>
      </w:pPr>
      <w:r>
        <w:rPr>
          <w:rFonts w:ascii="Arial" w:cs="Arial" w:eastAsia="Arial" w:hAnsi="Arial"/>
          <w:sz w:val="19"/>
          <w:szCs w:val="19"/>
          <w:color w:val="auto"/>
        </w:rPr>
        <w:t>Not to disclose the information within AGNC, except to other AGNC people who need to know, or use, the information and are aware that it constitutes a trade secret or proprietary information.</w:t>
      </w:r>
    </w:p>
    <w:p>
      <w:pPr>
        <w:jc w:val="both"/>
        <w:ind w:left="1292"/>
        <w:spacing w:after="0" w:line="276" w:lineRule="auto"/>
        <w:rPr>
          <w:sz w:val="20"/>
          <w:szCs w:val="20"/>
          <w:color w:val="auto"/>
        </w:rPr>
      </w:pPr>
      <w:r>
        <w:rPr>
          <w:rFonts w:ascii="Arial" w:cs="Arial" w:eastAsia="Arial" w:hAnsi="Arial"/>
          <w:sz w:val="18"/>
          <w:szCs w:val="18"/>
          <w:color w:val="auto"/>
        </w:rPr>
        <w:t>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w:t>
      </w:r>
    </w:p>
    <w:p>
      <w:pPr>
        <w:spacing w:after="0" w:line="166" w:lineRule="exact"/>
        <w:rPr>
          <w:sz w:val="20"/>
          <w:szCs w:val="20"/>
          <w:color w:val="auto"/>
        </w:rPr>
      </w:pPr>
    </w:p>
    <w:p>
      <w:pPr>
        <w:jc w:val="both"/>
        <w:ind w:left="1292"/>
        <w:spacing w:after="0" w:line="246" w:lineRule="auto"/>
        <w:rPr>
          <w:sz w:val="20"/>
          <w:szCs w:val="20"/>
          <w:color w:val="auto"/>
        </w:rPr>
      </w:pPr>
      <w:r>
        <w:rPr>
          <w:rFonts w:ascii="Arial" w:cs="Arial" w:eastAsia="Arial" w:hAnsi="Arial"/>
          <w:sz w:val="20"/>
          <w:szCs w:val="20"/>
          <w:color w:val="auto"/>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sectPr>
          <w:pgSz w:w="11900" w:h="16838" w:orient="portrait"/>
          <w:cols w:equalWidth="0" w:num="1">
            <w:col w:w="11412"/>
          </w:cols>
          <w:pgMar w:left="248" w:top="582" w:right="239" w:bottom="1440" w:gutter="0" w:footer="0" w:header="0"/>
        </w:sectPr>
      </w:pPr>
    </w:p>
    <w:bookmarkStart w:id="59" w:name="page60"/>
    <w:bookmarkEnd w:id="59"/>
    <w:p>
      <w:pPr>
        <w:ind w:left="1292" w:hanging="644"/>
        <w:spacing w:after="0"/>
        <w:tabs>
          <w:tab w:leader="none" w:pos="1292" w:val="left"/>
        </w:tabs>
        <w:numPr>
          <w:ilvl w:val="1"/>
          <w:numId w:val="55"/>
        </w:numPr>
        <w:rPr>
          <w:rFonts w:ascii="Arial" w:cs="Arial" w:eastAsia="Arial" w:hAnsi="Arial"/>
          <w:sz w:val="18"/>
          <w:szCs w:val="18"/>
          <w:color w:val="auto"/>
        </w:rPr>
      </w:pPr>
      <w:r>
        <w:rPr>
          <w:rFonts w:ascii="Arial" w:cs="Arial" w:eastAsia="Arial" w:hAnsi="Arial"/>
          <w:sz w:val="20"/>
          <w:szCs w:val="20"/>
          <w:b w:val="1"/>
          <w:bCs w:val="1"/>
          <w:color w:val="auto"/>
        </w:rPr>
        <w:t>CONFIDENTIAL INFORMATION OF OTHERS</w:t>
      </w:r>
    </w:p>
    <w:p>
      <w:pPr>
        <w:spacing w:after="0" w:line="21" w:lineRule="exact"/>
        <w:rPr>
          <w:rFonts w:ascii="Arial" w:cs="Arial" w:eastAsia="Arial" w:hAnsi="Arial"/>
          <w:sz w:val="18"/>
          <w:szCs w:val="18"/>
          <w:color w:val="auto"/>
        </w:rPr>
      </w:pPr>
    </w:p>
    <w:p>
      <w:pPr>
        <w:jc w:val="both"/>
        <w:ind w:left="1292"/>
        <w:spacing w:after="0" w:line="241" w:lineRule="auto"/>
        <w:rPr>
          <w:rFonts w:ascii="Arial" w:cs="Arial" w:eastAsia="Arial" w:hAnsi="Arial"/>
          <w:sz w:val="18"/>
          <w:szCs w:val="18"/>
          <w:color w:val="auto"/>
        </w:rPr>
      </w:pPr>
      <w:r>
        <w:rPr>
          <w:rFonts w:ascii="Arial" w:cs="Arial" w:eastAsia="Arial" w:hAnsi="Arial"/>
          <w:sz w:val="20"/>
          <w:szCs w:val="20"/>
          <w:color w:val="auto"/>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spacing w:after="0" w:line="194" w:lineRule="exact"/>
        <w:rPr>
          <w:rFonts w:ascii="Arial" w:cs="Arial" w:eastAsia="Arial" w:hAnsi="Arial"/>
          <w:sz w:val="18"/>
          <w:szCs w:val="18"/>
          <w:color w:val="auto"/>
        </w:rPr>
      </w:pPr>
    </w:p>
    <w:p>
      <w:pPr>
        <w:jc w:val="both"/>
        <w:ind w:left="1292"/>
        <w:spacing w:after="0" w:line="250" w:lineRule="auto"/>
        <w:rPr>
          <w:rFonts w:ascii="Arial" w:cs="Arial" w:eastAsia="Arial" w:hAnsi="Arial"/>
          <w:sz w:val="18"/>
          <w:szCs w:val="18"/>
          <w:color w:val="auto"/>
        </w:rPr>
      </w:pPr>
      <w:r>
        <w:rPr>
          <w:rFonts w:ascii="Arial" w:cs="Arial" w:eastAsia="Arial" w:hAnsi="Arial"/>
          <w:sz w:val="20"/>
          <w:szCs w:val="20"/>
          <w:color w:val="auto"/>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spacing w:after="0" w:line="186" w:lineRule="exact"/>
        <w:rPr>
          <w:rFonts w:ascii="Arial" w:cs="Arial" w:eastAsia="Arial" w:hAnsi="Arial"/>
          <w:sz w:val="18"/>
          <w:szCs w:val="18"/>
          <w:color w:val="auto"/>
        </w:rPr>
      </w:pPr>
    </w:p>
    <w:p>
      <w:pPr>
        <w:jc w:val="both"/>
        <w:ind w:left="1292"/>
        <w:spacing w:after="0" w:line="244" w:lineRule="auto"/>
        <w:rPr>
          <w:rFonts w:ascii="Arial" w:cs="Arial" w:eastAsia="Arial" w:hAnsi="Arial"/>
          <w:sz w:val="18"/>
          <w:szCs w:val="18"/>
          <w:color w:val="auto"/>
        </w:rPr>
      </w:pPr>
      <w:r>
        <w:rPr>
          <w:rFonts w:ascii="Arial" w:cs="Arial" w:eastAsia="Arial" w:hAnsi="Arial"/>
          <w:sz w:val="20"/>
          <w:szCs w:val="20"/>
          <w:color w:val="auto"/>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spacing w:after="0" w:line="188" w:lineRule="exact"/>
        <w:rPr>
          <w:rFonts w:ascii="Arial" w:cs="Arial" w:eastAsia="Arial" w:hAnsi="Arial"/>
          <w:sz w:val="18"/>
          <w:szCs w:val="18"/>
          <w:color w:val="auto"/>
        </w:rPr>
      </w:pPr>
    </w:p>
    <w:p>
      <w:pPr>
        <w:ind w:left="1292" w:hanging="644"/>
        <w:spacing w:after="0"/>
        <w:tabs>
          <w:tab w:leader="none" w:pos="1292" w:val="left"/>
        </w:tabs>
        <w:numPr>
          <w:ilvl w:val="1"/>
          <w:numId w:val="55"/>
        </w:numPr>
        <w:rPr>
          <w:rFonts w:ascii="Arial" w:cs="Arial" w:eastAsia="Arial" w:hAnsi="Arial"/>
          <w:sz w:val="18"/>
          <w:szCs w:val="18"/>
          <w:color w:val="auto"/>
        </w:rPr>
      </w:pPr>
      <w:r>
        <w:rPr>
          <w:rFonts w:ascii="Arial" w:cs="Arial" w:eastAsia="Arial" w:hAnsi="Arial"/>
          <w:sz w:val="20"/>
          <w:szCs w:val="20"/>
          <w:b w:val="1"/>
          <w:bCs w:val="1"/>
          <w:color w:val="auto"/>
        </w:rPr>
        <w:t>INADVERTENT DISCLOSURE</w:t>
      </w:r>
    </w:p>
    <w:p>
      <w:pPr>
        <w:spacing w:after="0" w:line="21" w:lineRule="exact"/>
        <w:rPr>
          <w:rFonts w:ascii="Arial" w:cs="Arial" w:eastAsia="Arial" w:hAnsi="Arial"/>
          <w:sz w:val="18"/>
          <w:szCs w:val="18"/>
          <w:color w:val="auto"/>
        </w:rPr>
      </w:pPr>
    </w:p>
    <w:p>
      <w:pPr>
        <w:jc w:val="both"/>
        <w:ind w:left="1292"/>
        <w:spacing w:after="0" w:line="255" w:lineRule="auto"/>
        <w:rPr>
          <w:rFonts w:ascii="Arial" w:cs="Arial" w:eastAsia="Arial" w:hAnsi="Arial"/>
          <w:sz w:val="18"/>
          <w:szCs w:val="18"/>
          <w:color w:val="auto"/>
        </w:rPr>
      </w:pPr>
      <w:r>
        <w:rPr>
          <w:rFonts w:ascii="Arial" w:cs="Arial" w:eastAsia="Arial" w:hAnsi="Arial"/>
          <w:sz w:val="19"/>
          <w:szCs w:val="19"/>
          <w:color w:val="auto"/>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spacing w:after="0" w:line="178" w:lineRule="exact"/>
        <w:rPr>
          <w:rFonts w:ascii="Arial" w:cs="Arial" w:eastAsia="Arial" w:hAnsi="Arial"/>
          <w:sz w:val="18"/>
          <w:szCs w:val="18"/>
          <w:color w:val="auto"/>
        </w:rPr>
      </w:pPr>
    </w:p>
    <w:p>
      <w:pPr>
        <w:ind w:left="1292" w:hanging="644"/>
        <w:spacing w:after="0"/>
        <w:tabs>
          <w:tab w:leader="none" w:pos="1292" w:val="left"/>
        </w:tabs>
        <w:numPr>
          <w:ilvl w:val="1"/>
          <w:numId w:val="55"/>
        </w:numPr>
        <w:rPr>
          <w:rFonts w:ascii="Arial" w:cs="Arial" w:eastAsia="Arial" w:hAnsi="Arial"/>
          <w:sz w:val="18"/>
          <w:szCs w:val="18"/>
          <w:color w:val="auto"/>
        </w:rPr>
      </w:pPr>
      <w:r>
        <w:rPr>
          <w:rFonts w:ascii="Arial" w:cs="Arial" w:eastAsia="Arial" w:hAnsi="Arial"/>
          <w:sz w:val="20"/>
          <w:szCs w:val="20"/>
          <w:b w:val="1"/>
          <w:bCs w:val="1"/>
          <w:color w:val="auto"/>
        </w:rPr>
        <w:t>CONTACTS WITH REPORTERS, ANALYSTS AND OTHER MEDIA</w:t>
      </w:r>
    </w:p>
    <w:p>
      <w:pPr>
        <w:spacing w:after="0" w:line="21" w:lineRule="exact"/>
        <w:rPr>
          <w:rFonts w:ascii="Arial" w:cs="Arial" w:eastAsia="Arial" w:hAnsi="Arial"/>
          <w:sz w:val="18"/>
          <w:szCs w:val="18"/>
          <w:color w:val="auto"/>
        </w:rPr>
      </w:pPr>
    </w:p>
    <w:p>
      <w:pPr>
        <w:jc w:val="both"/>
        <w:ind w:left="1292"/>
        <w:spacing w:after="0" w:line="270" w:lineRule="auto"/>
        <w:rPr>
          <w:rFonts w:ascii="Arial" w:cs="Arial" w:eastAsia="Arial" w:hAnsi="Arial"/>
          <w:sz w:val="18"/>
          <w:szCs w:val="18"/>
          <w:color w:val="auto"/>
        </w:rPr>
      </w:pPr>
      <w:r>
        <w:rPr>
          <w:rFonts w:ascii="Arial" w:cs="Arial" w:eastAsia="Arial" w:hAnsi="Arial"/>
          <w:sz w:val="18"/>
          <w:szCs w:val="18"/>
          <w:color w:val="auto"/>
        </w:rPr>
        <w:t>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 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spacing w:after="0" w:line="173" w:lineRule="exact"/>
        <w:rPr>
          <w:rFonts w:ascii="Arial" w:cs="Arial" w:eastAsia="Arial" w:hAnsi="Arial"/>
          <w:sz w:val="18"/>
          <w:szCs w:val="18"/>
          <w:color w:val="auto"/>
        </w:rPr>
      </w:pPr>
    </w:p>
    <w:p>
      <w:pPr>
        <w:ind w:left="1292" w:right="20"/>
        <w:spacing w:after="0" w:line="260" w:lineRule="auto"/>
        <w:rPr>
          <w:rFonts w:ascii="Arial" w:cs="Arial" w:eastAsia="Arial" w:hAnsi="Arial"/>
          <w:sz w:val="18"/>
          <w:szCs w:val="18"/>
          <w:color w:val="auto"/>
        </w:rPr>
      </w:pPr>
      <w:r>
        <w:rPr>
          <w:rFonts w:ascii="Arial" w:cs="Arial" w:eastAsia="Arial" w:hAnsi="Arial"/>
          <w:sz w:val="20"/>
          <w:szCs w:val="20"/>
          <w:color w:val="auto"/>
        </w:rPr>
        <w:t>It should also be noted that the foregoing restrictions also apply with regard to the disclosure of information through other media, including but not limited to bulletin boards, internet chat rooms and social media.</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6"/>
        </w:numPr>
        <w:rPr>
          <w:rFonts w:ascii="Arial" w:cs="Arial" w:eastAsia="Arial" w:hAnsi="Arial"/>
          <w:sz w:val="18"/>
          <w:szCs w:val="18"/>
          <w:color w:val="auto"/>
        </w:rPr>
      </w:pPr>
      <w:r>
        <w:rPr>
          <w:rFonts w:ascii="Arial" w:cs="Arial" w:eastAsia="Arial" w:hAnsi="Arial"/>
          <w:sz w:val="20"/>
          <w:szCs w:val="20"/>
          <w:b w:val="1"/>
          <w:bCs w:val="1"/>
          <w:color w:val="auto"/>
        </w:rPr>
        <w:t>ADMINISTRATION OF THIS CODE</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56"/>
        </w:numPr>
        <w:rPr>
          <w:rFonts w:ascii="Arial" w:cs="Arial" w:eastAsia="Arial" w:hAnsi="Arial"/>
          <w:sz w:val="18"/>
          <w:szCs w:val="18"/>
          <w:color w:val="auto"/>
        </w:rPr>
      </w:pPr>
      <w:r>
        <w:rPr>
          <w:rFonts w:ascii="Arial" w:cs="Arial" w:eastAsia="Arial" w:hAnsi="Arial"/>
          <w:sz w:val="20"/>
          <w:szCs w:val="20"/>
          <w:b w:val="1"/>
          <w:bCs w:val="1"/>
          <w:color w:val="auto"/>
        </w:rPr>
        <w:t>ONGOING REVIEW OF COMPLIANCE</w:t>
      </w:r>
    </w:p>
    <w:p>
      <w:pPr>
        <w:jc w:val="both"/>
        <w:ind w:left="1292"/>
        <w:spacing w:after="0"/>
        <w:rPr>
          <w:rFonts w:ascii="Arial" w:cs="Arial" w:eastAsia="Arial" w:hAnsi="Arial"/>
          <w:sz w:val="18"/>
          <w:szCs w:val="18"/>
          <w:color w:val="auto"/>
        </w:rPr>
      </w:pPr>
      <w:r>
        <w:rPr>
          <w:rFonts w:ascii="Arial" w:cs="Arial" w:eastAsia="Arial" w:hAnsi="Arial"/>
          <w:sz w:val="20"/>
          <w:szCs w:val="20"/>
          <w:color w:val="auto"/>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sectPr>
          <w:pgSz w:w="11900" w:h="16838" w:orient="portrait"/>
          <w:cols w:equalWidth="0" w:num="1">
            <w:col w:w="11412"/>
          </w:cols>
          <w:pgMar w:left="248" w:top="576" w:right="239" w:bottom="1440" w:gutter="0" w:footer="0" w:header="0"/>
        </w:sectPr>
      </w:pPr>
    </w:p>
    <w:bookmarkStart w:id="60" w:name="page61"/>
    <w:bookmarkEnd w:id="60"/>
    <w:p>
      <w:pPr>
        <w:ind w:left="644" w:hanging="644"/>
        <w:spacing w:after="0"/>
        <w:tabs>
          <w:tab w:leader="none" w:pos="644" w:val="left"/>
        </w:tabs>
        <w:numPr>
          <w:ilvl w:val="0"/>
          <w:numId w:val="57"/>
        </w:numPr>
        <w:rPr>
          <w:rFonts w:ascii="Arial" w:cs="Arial" w:eastAsia="Arial" w:hAnsi="Arial"/>
          <w:sz w:val="18"/>
          <w:szCs w:val="18"/>
          <w:color w:val="auto"/>
        </w:rPr>
      </w:pPr>
      <w:r>
        <w:rPr>
          <w:rFonts w:ascii="Arial" w:cs="Arial" w:eastAsia="Arial" w:hAnsi="Arial"/>
          <w:sz w:val="20"/>
          <w:szCs w:val="20"/>
          <w:b w:val="1"/>
          <w:bCs w:val="1"/>
          <w:color w:val="auto"/>
        </w:rPr>
        <w:t>REPORTING OF SUSPECTED VIOLATIONS</w:t>
      </w:r>
    </w:p>
    <w:p>
      <w:pPr>
        <w:spacing w:after="0" w:line="21" w:lineRule="exact"/>
        <w:rPr>
          <w:rFonts w:ascii="Arial" w:cs="Arial" w:eastAsia="Arial" w:hAnsi="Arial"/>
          <w:sz w:val="18"/>
          <w:szCs w:val="18"/>
          <w:color w:val="auto"/>
        </w:rPr>
      </w:pPr>
    </w:p>
    <w:p>
      <w:pPr>
        <w:jc w:val="both"/>
        <w:ind w:left="644"/>
        <w:spacing w:after="0"/>
        <w:rPr>
          <w:rFonts w:ascii="Arial" w:cs="Arial" w:eastAsia="Arial" w:hAnsi="Arial"/>
          <w:sz w:val="18"/>
          <w:szCs w:val="18"/>
          <w:color w:val="auto"/>
        </w:rPr>
      </w:pPr>
      <w:r>
        <w:rPr>
          <w:rFonts w:ascii="Arial" w:cs="Arial" w:eastAsia="Arial" w:hAnsi="Arial"/>
          <w:sz w:val="20"/>
          <w:szCs w:val="20"/>
          <w:color w:val="auto"/>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spacing w:after="0" w:line="197" w:lineRule="exact"/>
        <w:rPr>
          <w:rFonts w:ascii="Arial" w:cs="Arial" w:eastAsia="Arial" w:hAnsi="Arial"/>
          <w:sz w:val="18"/>
          <w:szCs w:val="18"/>
          <w:color w:val="auto"/>
        </w:rPr>
      </w:pPr>
    </w:p>
    <w:p>
      <w:pPr>
        <w:ind w:left="644" w:right="20"/>
        <w:spacing w:after="0" w:line="260" w:lineRule="auto"/>
        <w:rPr>
          <w:rFonts w:ascii="Arial" w:cs="Arial" w:eastAsia="Arial" w:hAnsi="Arial"/>
          <w:sz w:val="18"/>
          <w:szCs w:val="18"/>
          <w:color w:val="auto"/>
        </w:rPr>
      </w:pPr>
      <w:r>
        <w:rPr>
          <w:rFonts w:ascii="Arial" w:cs="Arial" w:eastAsia="Arial" w:hAnsi="Arial"/>
          <w:sz w:val="20"/>
          <w:szCs w:val="20"/>
          <w:color w:val="auto"/>
        </w:rPr>
        <w:t>If you are not comfortable revealing your identity when making a report, you can also make an anonymous report with our Chief Compliance Officer, the hotline or our Audit Committee.</w:t>
      </w:r>
    </w:p>
    <w:p>
      <w:pPr>
        <w:spacing w:after="0" w:line="176" w:lineRule="exact"/>
        <w:rPr>
          <w:rFonts w:ascii="Arial" w:cs="Arial" w:eastAsia="Arial" w:hAnsi="Arial"/>
          <w:sz w:val="18"/>
          <w:szCs w:val="18"/>
          <w:color w:val="auto"/>
        </w:rPr>
      </w:pPr>
    </w:p>
    <w:p>
      <w:pPr>
        <w:jc w:val="both"/>
        <w:ind w:left="644"/>
        <w:spacing w:after="0" w:line="250" w:lineRule="auto"/>
        <w:rPr>
          <w:rFonts w:ascii="Arial" w:cs="Arial" w:eastAsia="Arial" w:hAnsi="Arial"/>
          <w:sz w:val="18"/>
          <w:szCs w:val="18"/>
          <w:color w:val="auto"/>
        </w:rPr>
      </w:pPr>
      <w:r>
        <w:rPr>
          <w:rFonts w:ascii="Arial" w:cs="Arial" w:eastAsia="Arial" w:hAnsi="Arial"/>
          <w:sz w:val="20"/>
          <w:szCs w:val="20"/>
          <w:color w:val="auto"/>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spacing w:after="0" w:line="186" w:lineRule="exact"/>
        <w:rPr>
          <w:rFonts w:ascii="Arial" w:cs="Arial" w:eastAsia="Arial" w:hAnsi="Arial"/>
          <w:sz w:val="18"/>
          <w:szCs w:val="18"/>
          <w:color w:val="auto"/>
        </w:rPr>
      </w:pPr>
    </w:p>
    <w:p>
      <w:pPr>
        <w:jc w:val="both"/>
        <w:ind w:left="644"/>
        <w:spacing w:after="0" w:line="250" w:lineRule="auto"/>
        <w:rPr>
          <w:rFonts w:ascii="Arial" w:cs="Arial" w:eastAsia="Arial" w:hAnsi="Arial"/>
          <w:sz w:val="18"/>
          <w:szCs w:val="18"/>
          <w:color w:val="auto"/>
        </w:rPr>
      </w:pPr>
      <w:r>
        <w:rPr>
          <w:rFonts w:ascii="Arial" w:cs="Arial" w:eastAsia="Arial" w:hAnsi="Arial"/>
          <w:sz w:val="20"/>
          <w:szCs w:val="20"/>
          <w:color w:val="auto"/>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spacing w:after="0" w:line="180" w:lineRule="exact"/>
        <w:rPr>
          <w:rFonts w:ascii="Arial" w:cs="Arial" w:eastAsia="Arial" w:hAnsi="Arial"/>
          <w:sz w:val="18"/>
          <w:szCs w:val="18"/>
          <w:color w:val="auto"/>
        </w:rPr>
      </w:pPr>
    </w:p>
    <w:p>
      <w:pPr>
        <w:ind w:left="644" w:hanging="644"/>
        <w:spacing w:after="0"/>
        <w:tabs>
          <w:tab w:leader="none" w:pos="644" w:val="left"/>
        </w:tabs>
        <w:numPr>
          <w:ilvl w:val="0"/>
          <w:numId w:val="57"/>
        </w:numPr>
        <w:rPr>
          <w:rFonts w:ascii="Arial" w:cs="Arial" w:eastAsia="Arial" w:hAnsi="Arial"/>
          <w:sz w:val="18"/>
          <w:szCs w:val="18"/>
          <w:color w:val="auto"/>
        </w:rPr>
      </w:pPr>
      <w:r>
        <w:rPr>
          <w:rFonts w:ascii="Arial" w:cs="Arial" w:eastAsia="Arial" w:hAnsi="Arial"/>
          <w:sz w:val="20"/>
          <w:szCs w:val="20"/>
          <w:b w:val="1"/>
          <w:bCs w:val="1"/>
          <w:color w:val="auto"/>
        </w:rPr>
        <w:t>NON-RETALIATION</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w:t>
      </w:r>
    </w:p>
    <w:p>
      <w:pPr>
        <w:spacing w:after="0" w:line="159" w:lineRule="exact"/>
        <w:rPr>
          <w:rFonts w:ascii="Arial" w:cs="Arial" w:eastAsia="Arial" w:hAnsi="Arial"/>
          <w:sz w:val="18"/>
          <w:szCs w:val="18"/>
          <w:color w:val="auto"/>
        </w:rPr>
      </w:pPr>
    </w:p>
    <w:p>
      <w:pPr>
        <w:jc w:val="both"/>
        <w:ind w:left="644"/>
        <w:spacing w:after="0" w:line="291" w:lineRule="auto"/>
        <w:rPr>
          <w:rFonts w:ascii="Arial" w:cs="Arial" w:eastAsia="Arial" w:hAnsi="Arial"/>
          <w:sz w:val="18"/>
          <w:szCs w:val="18"/>
          <w:color w:val="auto"/>
        </w:rPr>
      </w:pPr>
      <w:r>
        <w:rPr>
          <w:rFonts w:ascii="Arial" w:cs="Arial" w:eastAsia="Arial" w:hAnsi="Arial"/>
          <w:sz w:val="18"/>
          <w:szCs w:val="18"/>
          <w:color w:val="auto"/>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spacing w:after="0" w:line="145" w:lineRule="exact"/>
        <w:rPr>
          <w:rFonts w:ascii="Arial" w:cs="Arial" w:eastAsia="Arial" w:hAnsi="Arial"/>
          <w:sz w:val="18"/>
          <w:szCs w:val="18"/>
          <w:color w:val="auto"/>
        </w:rPr>
      </w:pPr>
    </w:p>
    <w:p>
      <w:pPr>
        <w:ind w:left="644" w:hanging="644"/>
        <w:spacing w:after="0"/>
        <w:tabs>
          <w:tab w:leader="none" w:pos="644" w:val="left"/>
        </w:tabs>
        <w:numPr>
          <w:ilvl w:val="0"/>
          <w:numId w:val="57"/>
        </w:numPr>
        <w:rPr>
          <w:rFonts w:ascii="Arial" w:cs="Arial" w:eastAsia="Arial" w:hAnsi="Arial"/>
          <w:sz w:val="18"/>
          <w:szCs w:val="18"/>
          <w:color w:val="auto"/>
        </w:rPr>
      </w:pPr>
      <w:r>
        <w:rPr>
          <w:rFonts w:ascii="Arial" w:cs="Arial" w:eastAsia="Arial" w:hAnsi="Arial"/>
          <w:sz w:val="20"/>
          <w:szCs w:val="20"/>
          <w:b w:val="1"/>
          <w:bCs w:val="1"/>
          <w:color w:val="auto"/>
        </w:rPr>
        <w:t>INVESTIGATION OF SUSPECTED VIOLATIONS</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spacing w:after="0" w:line="170" w:lineRule="exact"/>
        <w:rPr>
          <w:rFonts w:ascii="Arial" w:cs="Arial" w:eastAsia="Arial" w:hAnsi="Arial"/>
          <w:sz w:val="18"/>
          <w:szCs w:val="18"/>
          <w:color w:val="auto"/>
        </w:rPr>
      </w:pPr>
    </w:p>
    <w:p>
      <w:pPr>
        <w:jc w:val="both"/>
        <w:ind w:left="644"/>
        <w:spacing w:after="0" w:line="260" w:lineRule="auto"/>
        <w:rPr>
          <w:rFonts w:ascii="Arial" w:cs="Arial" w:eastAsia="Arial" w:hAnsi="Arial"/>
          <w:sz w:val="18"/>
          <w:szCs w:val="18"/>
          <w:color w:val="auto"/>
        </w:rPr>
      </w:pPr>
      <w:r>
        <w:rPr>
          <w:rFonts w:ascii="Arial" w:cs="Arial" w:eastAsia="Arial" w:hAnsi="Arial"/>
          <w:sz w:val="19"/>
          <w:szCs w:val="19"/>
          <w:color w:val="auto"/>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of Directors (the “Board”) has ultimate responsibility for final interpretation of this Code and for determining whether any violations of this Code have occurred.</w:t>
      </w:r>
    </w:p>
    <w:p>
      <w:pPr>
        <w:spacing w:after="0" w:line="174" w:lineRule="exact"/>
        <w:rPr>
          <w:rFonts w:ascii="Arial" w:cs="Arial" w:eastAsia="Arial" w:hAnsi="Arial"/>
          <w:sz w:val="18"/>
          <w:szCs w:val="18"/>
          <w:color w:val="auto"/>
        </w:rPr>
      </w:pPr>
    </w:p>
    <w:p>
      <w:pPr>
        <w:ind w:left="644" w:hanging="644"/>
        <w:spacing w:after="0"/>
        <w:tabs>
          <w:tab w:leader="none" w:pos="644" w:val="left"/>
        </w:tabs>
        <w:numPr>
          <w:ilvl w:val="0"/>
          <w:numId w:val="57"/>
        </w:numPr>
        <w:rPr>
          <w:rFonts w:ascii="Arial" w:cs="Arial" w:eastAsia="Arial" w:hAnsi="Arial"/>
          <w:sz w:val="18"/>
          <w:szCs w:val="18"/>
          <w:color w:val="auto"/>
        </w:rPr>
      </w:pPr>
      <w:r>
        <w:rPr>
          <w:rFonts w:ascii="Arial" w:cs="Arial" w:eastAsia="Arial" w:hAnsi="Arial"/>
          <w:sz w:val="20"/>
          <w:szCs w:val="20"/>
          <w:b w:val="1"/>
          <w:bCs w:val="1"/>
          <w:color w:val="auto"/>
        </w:rPr>
        <w:t>DISCIPLINARY ACTION</w:t>
      </w:r>
    </w:p>
    <w:p>
      <w:pPr>
        <w:spacing w:after="0" w:line="21" w:lineRule="exact"/>
        <w:rPr>
          <w:rFonts w:ascii="Arial" w:cs="Arial" w:eastAsia="Arial" w:hAnsi="Arial"/>
          <w:sz w:val="18"/>
          <w:szCs w:val="18"/>
          <w:color w:val="auto"/>
        </w:rPr>
      </w:pPr>
    </w:p>
    <w:p>
      <w:pPr>
        <w:ind w:left="644"/>
        <w:spacing w:after="0" w:line="244" w:lineRule="auto"/>
        <w:rPr>
          <w:rFonts w:ascii="Arial" w:cs="Arial" w:eastAsia="Arial" w:hAnsi="Arial"/>
          <w:sz w:val="18"/>
          <w:szCs w:val="18"/>
          <w:color w:val="auto"/>
        </w:rPr>
      </w:pPr>
      <w:r>
        <w:rPr>
          <w:rFonts w:ascii="Arial" w:cs="Arial" w:eastAsia="Arial" w:hAnsi="Arial"/>
          <w:sz w:val="20"/>
          <w:szCs w:val="20"/>
          <w:color w:val="auto"/>
        </w:rPr>
        <w:t>If our Chief Compliance Officer or our Board (or those acting under their supervision) determine, in their good faith discretion, that you have violated any provision of this Code, you may be subject to</w:t>
      </w:r>
    </w:p>
    <w:p>
      <w:pPr>
        <w:sectPr>
          <w:pgSz w:w="11900" w:h="16838" w:orient="portrait"/>
          <w:cols w:equalWidth="0" w:num="1">
            <w:col w:w="10764"/>
          </w:cols>
          <w:pgMar w:left="896" w:top="576" w:right="239" w:bottom="1440" w:gutter="0" w:footer="0" w:header="0"/>
        </w:sectPr>
      </w:pPr>
    </w:p>
    <w:bookmarkStart w:id="61" w:name="page62"/>
    <w:bookmarkEnd w:id="61"/>
    <w:p>
      <w:pPr>
        <w:ind w:left="644"/>
        <w:spacing w:after="0" w:line="260" w:lineRule="auto"/>
        <w:rPr>
          <w:sz w:val="20"/>
          <w:szCs w:val="20"/>
          <w:color w:val="auto"/>
        </w:rPr>
      </w:pPr>
      <w:r>
        <w:rPr>
          <w:rFonts w:ascii="Arial" w:cs="Arial" w:eastAsia="Arial" w:hAnsi="Arial"/>
          <w:sz w:val="20"/>
          <w:szCs w:val="20"/>
          <w:color w:val="auto"/>
        </w:rPr>
        <w:t>disciplinary action, up to and including termination of your employment or contract without prior warning and referral for criminal prosecution and fines.</w:t>
      </w:r>
    </w:p>
    <w:p>
      <w:pPr>
        <w:spacing w:after="0" w:line="171" w:lineRule="exact"/>
        <w:rPr>
          <w:sz w:val="20"/>
          <w:szCs w:val="20"/>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20"/>
          <w:szCs w:val="20"/>
          <w:b w:val="1"/>
          <w:bCs w:val="1"/>
          <w:color w:val="auto"/>
        </w:rPr>
        <w:t>SPECIAL PROVISIONS APPLICABLE TO CERTAIN FINANCIAL EXECUTIVES</w:t>
      </w:r>
    </w:p>
    <w:p>
      <w:pPr>
        <w:spacing w:after="0" w:line="21" w:lineRule="exact"/>
        <w:rPr>
          <w:rFonts w:ascii="Arial" w:cs="Arial" w:eastAsia="Arial" w:hAnsi="Arial"/>
          <w:sz w:val="18"/>
          <w:szCs w:val="18"/>
          <w:color w:val="auto"/>
        </w:rPr>
      </w:pPr>
    </w:p>
    <w:p>
      <w:pPr>
        <w:jc w:val="both"/>
        <w:ind w:left="644"/>
        <w:spacing w:after="0" w:line="271" w:lineRule="auto"/>
        <w:rPr>
          <w:rFonts w:ascii="Arial" w:cs="Arial" w:eastAsia="Arial" w:hAnsi="Arial"/>
          <w:sz w:val="18"/>
          <w:szCs w:val="18"/>
          <w:color w:val="auto"/>
        </w:rPr>
      </w:pPr>
      <w:r>
        <w:rPr>
          <w:rFonts w:ascii="Arial" w:cs="Arial" w:eastAsia="Arial" w:hAnsi="Arial"/>
          <w:sz w:val="18"/>
          <w:szCs w:val="18"/>
          <w:color w:val="auto"/>
        </w:rPr>
        <w:t>Given the important position of trust and authority that they occupy, our Chief Executive Officer, President, Chief Operating Officer, Chief Investment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spacing w:after="0" w:line="171" w:lineRule="exact"/>
        <w:rPr>
          <w:rFonts w:ascii="Arial" w:cs="Arial" w:eastAsia="Arial" w:hAnsi="Arial"/>
          <w:sz w:val="18"/>
          <w:szCs w:val="18"/>
          <w:color w:val="auto"/>
        </w:rPr>
      </w:pPr>
    </w:p>
    <w:p>
      <w:pPr>
        <w:jc w:val="both"/>
        <w:ind w:left="644" w:right="20"/>
        <w:spacing w:after="0" w:line="246" w:lineRule="auto"/>
        <w:rPr>
          <w:rFonts w:ascii="Arial" w:cs="Arial" w:eastAsia="Arial" w:hAnsi="Arial"/>
          <w:sz w:val="18"/>
          <w:szCs w:val="18"/>
          <w:color w:val="auto"/>
        </w:rPr>
      </w:pPr>
      <w:r>
        <w:rPr>
          <w:rFonts w:ascii="Arial" w:cs="Arial" w:eastAsia="Arial" w:hAnsi="Arial"/>
          <w:sz w:val="20"/>
          <w:szCs w:val="20"/>
          <w:color w:val="auto"/>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spacing w:after="0" w:line="185" w:lineRule="exact"/>
        <w:rPr>
          <w:rFonts w:ascii="Arial" w:cs="Arial" w:eastAsia="Arial" w:hAnsi="Arial"/>
          <w:sz w:val="18"/>
          <w:szCs w:val="18"/>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20"/>
          <w:szCs w:val="20"/>
          <w:b w:val="1"/>
          <w:bCs w:val="1"/>
          <w:color w:val="auto"/>
        </w:rPr>
        <w:t>REVISIONS AND UPDATES TO THIS CODE</w:t>
      </w:r>
    </w:p>
    <w:p>
      <w:pPr>
        <w:spacing w:after="0" w:line="21" w:lineRule="exact"/>
        <w:rPr>
          <w:rFonts w:ascii="Arial" w:cs="Arial" w:eastAsia="Arial" w:hAnsi="Arial"/>
          <w:sz w:val="18"/>
          <w:szCs w:val="18"/>
          <w:color w:val="auto"/>
        </w:rPr>
      </w:pPr>
    </w:p>
    <w:p>
      <w:pPr>
        <w:jc w:val="both"/>
        <w:ind w:left="644"/>
        <w:spacing w:after="0" w:line="241" w:lineRule="auto"/>
        <w:rPr>
          <w:rFonts w:ascii="Arial" w:cs="Arial" w:eastAsia="Arial" w:hAnsi="Arial"/>
          <w:sz w:val="18"/>
          <w:szCs w:val="18"/>
          <w:color w:val="auto"/>
        </w:rPr>
      </w:pPr>
      <w:r>
        <w:rPr>
          <w:rFonts w:ascii="Arial" w:cs="Arial" w:eastAsia="Arial" w:hAnsi="Arial"/>
          <w:sz w:val="20"/>
          <w:szCs w:val="20"/>
          <w:color w:val="auto"/>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20"/>
          <w:szCs w:val="20"/>
          <w:b w:val="1"/>
          <w:bCs w:val="1"/>
          <w:color w:val="auto"/>
        </w:rPr>
        <w:t>IMPORTANT DISCLAIMERS</w:t>
      </w:r>
    </w:p>
    <w:p>
      <w:pPr>
        <w:spacing w:after="0" w:line="21" w:lineRule="exact"/>
        <w:rPr>
          <w:rFonts w:ascii="Arial" w:cs="Arial" w:eastAsia="Arial" w:hAnsi="Arial"/>
          <w:sz w:val="18"/>
          <w:szCs w:val="18"/>
          <w:color w:val="auto"/>
        </w:rPr>
      </w:pPr>
    </w:p>
    <w:p>
      <w:pPr>
        <w:jc w:val="both"/>
        <w:ind w:left="644"/>
        <w:spacing w:after="0" w:line="241" w:lineRule="auto"/>
        <w:rPr>
          <w:rFonts w:ascii="Arial" w:cs="Arial" w:eastAsia="Arial" w:hAnsi="Arial"/>
          <w:sz w:val="18"/>
          <w:szCs w:val="18"/>
          <w:color w:val="auto"/>
        </w:rPr>
      </w:pPr>
      <w:r>
        <w:rPr>
          <w:rFonts w:ascii="Arial" w:cs="Arial" w:eastAsia="Arial" w:hAnsi="Arial"/>
          <w:sz w:val="20"/>
          <w:szCs w:val="20"/>
          <w:color w:val="auto"/>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sectPr>
          <w:pgSz w:w="11900" w:h="16838" w:orient="portrait"/>
          <w:cols w:equalWidth="0" w:num="1">
            <w:col w:w="10764"/>
          </w:cols>
          <w:pgMar w:left="896" w:top="582" w:right="239" w:bottom="1440" w:gutter="0" w:footer="0" w:header="0"/>
        </w:sectPr>
      </w:pPr>
    </w:p>
    <w:bookmarkStart w:id="62" w:name="page63"/>
    <w:bookmarkEnd w:id="62"/>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00"/>
          </w:cols>
          <w:pgMar w:left="260" w:top="584" w:right="239" w:bottom="1440" w:gutter="0" w:footer="0" w:header="0"/>
        </w:sectPr>
      </w:pPr>
    </w:p>
    <w:bookmarkStart w:id="63" w:name="page64"/>
    <w:bookmarkEnd w:id="63"/>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2019</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60" w:top="58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3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2019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5, 2019</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5, 2019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lowerRoman"/>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3"/>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lvl w:ilvl="1">
      <w:lvlJc w:val="left"/>
      <w:lvlText w:val="(%2)"/>
      <w:numFmt w:val="lowerLetter"/>
      <w:start w:val="2"/>
    </w:lvl>
  </w:abstractNum>
  <w:abstractNum w:abstractNumId="38">
    <w:nsid w:val="749ABB43"/>
    <w:multiLevelType w:val="hybridMultilevel"/>
    <w:lvl w:ilvl="0">
      <w:lvlJc w:val="left"/>
      <w:lvlText w:val="%1."/>
      <w:numFmt w:val="upperLetter"/>
      <w:start w:val="1"/>
    </w:lvl>
    <w:lvl w:ilvl="1">
      <w:lvlJc w:val="left"/>
      <w:lvlText w:val="◦"/>
      <w:numFmt w:val="bullet"/>
      <w:start w:val="1"/>
    </w:lvl>
  </w:abstractNum>
  <w:abstractNum w:abstractNumId="39">
    <w:nsid w:val="3DC240FB"/>
    <w:multiLevelType w:val="hybridMultilevel"/>
    <w:lvl w:ilvl="0">
      <w:lvlJc w:val="left"/>
      <w:lvlText w:val="%1."/>
      <w:numFmt w:val="upperLetter"/>
      <w:start w:val="2"/>
    </w:lvl>
    <w:lvl w:ilvl="1">
      <w:lvlJc w:val="left"/>
      <w:lvlText w:val="%2."/>
      <w:numFmt w:val="decimal"/>
      <w:start w:val="1"/>
    </w:lvl>
  </w:abstractNum>
  <w:abstractNum w:abstractNumId="40">
    <w:nsid w:val="1BA026FA"/>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1">
    <w:nsid w:val="79A1DEA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2">
    <w:nsid w:val="75C6C3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3">
    <w:nsid w:val="12E685F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4">
    <w:nsid w:val="70C6A52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5">
    <w:nsid w:val="520EEDD1"/>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46">
    <w:nsid w:val="374A3FE6"/>
    <w:multiLevelType w:val="hybridMultilevel"/>
    <w:lvl w:ilvl="0">
      <w:lvlJc w:val="left"/>
      <w:lvlText w:val="%1."/>
      <w:numFmt w:val="decimal"/>
      <w:start w:val="2"/>
    </w:lvl>
  </w:abstractNum>
  <w:abstractNum w:abstractNumId="47">
    <w:nsid w:val="4F4EF00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8">
    <w:nsid w:val="23F9C13C"/>
    <w:multiLevelType w:val="hybridMultilevel"/>
    <w:lvl w:ilvl="0">
      <w:lvlJc w:val="left"/>
      <w:lvlText w:val="%1."/>
      <w:numFmt w:val="lowerLetter"/>
      <w:start w:val="2"/>
    </w:lvl>
    <w:lvl w:ilvl="1">
      <w:lvlJc w:val="left"/>
      <w:lvlText w:val="▪"/>
      <w:numFmt w:val="bullet"/>
      <w:start w:val="1"/>
    </w:lvl>
  </w:abstractNum>
  <w:abstractNum w:abstractNumId="49">
    <w:nsid w:val="649BB77C"/>
    <w:multiLevelType w:val="hybridMultilevel"/>
    <w:lvl w:ilvl="0">
      <w:lvlJc w:val="left"/>
      <w:lvlText w:val="%1."/>
      <w:numFmt w:val="upperLetter"/>
      <w:start w:val="4"/>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2"/>
    </w:lvl>
  </w:abstractNum>
  <w:abstractNum w:abstractNumId="52">
    <w:nsid w:val="1CF10FD8"/>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53">
    <w:nsid w:val="180115BE"/>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54">
    <w:nsid w:val="235BA861"/>
    <w:multiLevelType w:val="hybridMultilevel"/>
    <w:lvl w:ilvl="0">
      <w:lvlJc w:val="left"/>
      <w:lvlText w:val="%1"/>
      <w:numFmt w:val="upperLetter"/>
      <w:start w:val="1"/>
    </w:lvl>
    <w:lvl w:ilvl="1">
      <w:lvlJc w:val="left"/>
      <w:lvlText w:val="%2."/>
      <w:numFmt w:val="decimal"/>
      <w:start w:val="2"/>
    </w:lvl>
  </w:abstractNum>
  <w:abstractNum w:abstractNumId="55">
    <w:nsid w:val="47398C89"/>
    <w:multiLevelType w:val="hybridMultilevel"/>
    <w:lvl w:ilvl="0">
      <w:lvlJc w:val="left"/>
      <w:lvlText w:val="%1."/>
      <w:numFmt w:val="upperLetter"/>
      <w:start w:val="6"/>
    </w:lvl>
    <w:lvl w:ilvl="1">
      <w:lvlJc w:val="left"/>
      <w:lvlText w:val="%2."/>
      <w:numFmt w:val="decimal"/>
      <w:start w:val="1"/>
    </w:lvl>
  </w:abstractNum>
  <w:abstractNum w:abstractNumId="56">
    <w:nsid w:val="354FE9F9"/>
    <w:multiLevelType w:val="hybridMultilevel"/>
    <w:lvl w:ilvl="0">
      <w:lvlJc w:val="left"/>
      <w:lvlText w:val="%1."/>
      <w:numFmt w:val="decimal"/>
      <w:start w:val="2"/>
    </w:lvl>
  </w:abstractNum>
  <w:abstractNum w:abstractNumId="57">
    <w:nsid w:val="15B5AF5C"/>
    <w:multiLevelType w:val="hybridMultilevel"/>
    <w:lvl w:ilvl="0">
      <w:lvlJc w:val="left"/>
      <w:lvlText w:val="%1."/>
      <w:numFmt w:val="decimal"/>
      <w:start w:val="6"/>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33" Type="http://schemas.openxmlformats.org/officeDocument/2006/relationships/hyperlink" Target="http://www.sec.gov/Archives/edgar/data/1423689/000142368918000016/agncexhibit313311810-q.htm" TargetMode="External"/><Relationship Id="rId34" Type="http://schemas.openxmlformats.org/officeDocument/2006/relationships/hyperlink" Target="http://www.sec.gov/Archives/edgar/data/1423689/000142368916000104/agncexhibit329301610-qbyla.htm" TargetMode="External"/><Relationship Id="rId35" Type="http://schemas.openxmlformats.org/officeDocument/2006/relationships/hyperlink" Target="http://www.sec.gov/Archives/edgar/data/1423689/000142368914000023/exh34certificateofdesignat.htm" TargetMode="External"/><Relationship Id="rId36" Type="http://schemas.openxmlformats.org/officeDocument/2006/relationships/hyperlink" Target="http://www.sec.gov/Archives/edgar/data/1423689/000142368917000044/ex35certificateofdesignati.htm" TargetMode="External"/><Relationship Id="rId37" Type="http://schemas.openxmlformats.org/officeDocument/2006/relationships/hyperlink" Target="http://www.sec.gov/Archives/edgar/data/1423689/000142368917000065/certificateofelimination.htm" TargetMode="External"/><Relationship Id="rId38" Type="http://schemas.openxmlformats.org/officeDocument/2006/relationships/hyperlink" Target="http://www.sec.gov/Archives/edgar/data/1423689/000142368919000019/certificateofdesignations.htm" TargetMode="External"/><Relationship Id="rId39" Type="http://schemas.openxmlformats.org/officeDocument/2006/relationships/hyperlink" Target="http://www.sec.gov/Archives/edgar/data/1423689/000142368916000104/agncexhibit43.htm" TargetMode="External"/><Relationship Id="rId40" Type="http://schemas.openxmlformats.org/officeDocument/2006/relationships/hyperlink" Target="http://www.sec.gov/Archives/edgar/data/1423689/000142368914000023/agncspecimenseriesbcumul.htm" TargetMode="External"/><Relationship Id="rId41" Type="http://schemas.openxmlformats.org/officeDocument/2006/relationships/hyperlink" Target="http://www.sec.gov/Archives/edgar/data/1423689/000142368917000044/exhibit41.htm" TargetMode="External"/><Relationship Id="rId42" Type="http://schemas.openxmlformats.org/officeDocument/2006/relationships/hyperlink" Target="http://www.sec.gov/Archives/edgar/data/1423689/000142368919000019/stockcertificateb98.htm" TargetMode="External"/><Relationship Id="rId43" Type="http://schemas.openxmlformats.org/officeDocument/2006/relationships/hyperlink" Target="http://www.sec.gov/Archives/edgar/data/1423689/000142368914000026/exhibit42depositagreement.htm" TargetMode="External"/><Relationship Id="rId44" Type="http://schemas.openxmlformats.org/officeDocument/2006/relationships/hyperlink" Target="http://www.sec.gov/Archives/edgar/data/1423689/000142368917000049/depositagreement.htm" TargetMode="External"/><Relationship Id="rId45" Type="http://schemas.openxmlformats.org/officeDocument/2006/relationships/hyperlink" Target="http://www.sec.gov/Archives/edgar/data/1423689/000142368919000021/prefddepositagmt.htm" TargetMode="External"/><Relationship Id="rId46" Type="http://schemas.openxmlformats.org/officeDocument/2006/relationships/hyperlink" Target="http://www.sec.gov/Archives/edgar/data/1423689/000142368919000036/a101ind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2019-12-28T08:43:56Z</dcterms:created>
  <dcterms:modified xsi:type="dcterms:W3CDTF">2019-12-28T08:43:56Z</dcterms:modified>
</cp:coreProperties>
</file>