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503" w:right="239" w:bottom="1440" w:gutter="0" w:footer="0" w:header="0"/>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000" w:space="720"/>
            <w:col w:w="4220" w:space="720"/>
            <w:col w:w="2520" w:space="720"/>
            <w:col w:w="520"/>
          </w:cols>
          <w:pgMar w:left="240" w:top="50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2000" w:space="720"/>
            <w:col w:w="160" w:space="180"/>
            <w:col w:w="3880" w:space="720"/>
            <w:col w:w="2520" w:space="720"/>
            <w:col w:w="520"/>
          </w:cols>
          <w:pgMar w:left="240" w:top="503" w:right="239" w:bottom="1440" w:gutter="0" w:footer="0" w:header="0"/>
          <w:type w:val="continuous"/>
        </w:sectPr>
      </w:pPr>
    </w:p>
    <w:p>
      <w:pPr>
        <w:ind w:left="440"/>
        <w:spacing w:after="0" w:line="196" w:lineRule="exact"/>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9300" w:space="180"/>
            <w:col w:w="220" w:space="100"/>
            <w:col w:w="1620"/>
          </w:cols>
          <w:pgMar w:left="240" w:top="503"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The number of shares of the issuer's common stock, $0.01 par value, outstanding as of October 31, 2014 was 352,788,707.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201295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114935</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spacing w:after="0"/>
              <w:rPr>
                <w:sz w:val="20"/>
                <w:szCs w:val="20"/>
                <w:color w:val="auto"/>
              </w:rPr>
            </w:pPr>
            <w:r>
              <w:rPr>
                <w:rFonts w:ascii="Arial" w:cs="Arial" w:eastAsia="Arial" w:hAnsi="Arial"/>
                <w:sz w:val="16"/>
                <w:szCs w:val="16"/>
                <w:b w:val="1"/>
                <w:bCs w:val="1"/>
                <w:color w:val="0000FF"/>
              </w:rPr>
              <w:t>PART I.</w:t>
            </w:r>
          </w:p>
        </w:tc>
        <w:tc>
          <w:tcPr>
            <w:tcW w:w="7660" w:type="dxa"/>
            <w:vAlign w:val="bottom"/>
            <w:gridSpan w:val="1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FINANCIAL INFORMATION</w:t>
              </w:r>
            </w:hyperlink>
          </w:p>
        </w:tc>
        <w:tc>
          <w:tcPr>
            <w:tcW w:w="2020" w:type="dxa"/>
            <w:vAlign w:val="bottom"/>
          </w:tcPr>
          <w:p>
            <w:pPr>
              <w:spacing w:after="0"/>
              <w:rPr>
                <w:sz w:val="16"/>
                <w:szCs w:val="16"/>
                <w:color w:val="auto"/>
              </w:rPr>
            </w:pPr>
          </w:p>
        </w:tc>
      </w:tr>
      <w:tr>
        <w:trPr>
          <w:trHeight w:val="534"/>
        </w:trPr>
        <w:tc>
          <w:tcPr>
            <w:tcW w:w="104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36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Financial Statements</w:t>
              </w:r>
            </w:hyperlink>
          </w:p>
        </w:tc>
        <w:tc>
          <w:tcPr>
            <w:tcW w:w="780" w:type="dxa"/>
            <w:vAlign w:val="bottom"/>
            <w:tcBorders>
              <w:top w:val="single" w:sz="8" w:color="0000EE"/>
            </w:tcBorders>
            <w:gridSpan w:val="5"/>
          </w:tcPr>
          <w:p>
            <w:pPr>
              <w:spacing w:after="0"/>
              <w:rPr>
                <w:sz w:val="24"/>
                <w:szCs w:val="24"/>
                <w:color w:val="auto"/>
              </w:rPr>
            </w:pPr>
          </w:p>
        </w:tc>
        <w:tc>
          <w:tcPr>
            <w:tcW w:w="5520" w:type="dxa"/>
            <w:vAlign w:val="bottom"/>
            <w:gridSpan w:val="4"/>
          </w:tcPr>
          <w:p>
            <w:pPr>
              <w:spacing w:after="0"/>
              <w:rPr>
                <w:sz w:val="24"/>
                <w:szCs w:val="24"/>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5800" w:type="dxa"/>
            <w:vAlign w:val="bottom"/>
            <w:tcBorders>
              <w:bottom w:val="single" w:sz="8" w:color="0000EE"/>
            </w:tcBorders>
            <w:gridSpan w:val="13"/>
          </w:tcPr>
          <w:p>
            <w:pPr>
              <w:spacing w:after="0"/>
              <w:rPr>
                <w:rFonts w:ascii="Arial" w:cs="Arial" w:eastAsia="Arial" w:hAnsi="Arial"/>
                <w:sz w:val="16"/>
                <w:szCs w:val="16"/>
                <w:color w:val="0000EE"/>
                <w:w w:val="91"/>
              </w:rPr>
            </w:pPr>
            <w:hyperlink w:anchor="page27">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27</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3940" w:type="dxa"/>
            <w:vAlign w:val="bottom"/>
            <w:tcBorders>
              <w:bottom w:val="single" w:sz="8" w:color="0000EE"/>
            </w:tcBorders>
            <w:gridSpan w:val="12"/>
          </w:tcPr>
          <w:p>
            <w:pPr>
              <w:spacing w:after="0"/>
              <w:rPr>
                <w:rFonts w:ascii="Arial" w:cs="Arial" w:eastAsia="Arial" w:hAnsi="Arial"/>
                <w:sz w:val="16"/>
                <w:szCs w:val="16"/>
                <w:color w:val="0000EE"/>
                <w:w w:val="93"/>
              </w:rPr>
            </w:pPr>
            <w:hyperlink w:anchor="page51">
              <w:r>
                <w:rPr>
                  <w:rFonts w:ascii="Arial" w:cs="Arial" w:eastAsia="Arial" w:hAnsi="Arial"/>
                  <w:sz w:val="16"/>
                  <w:szCs w:val="16"/>
                  <w:color w:val="0000EE"/>
                  <w:w w:val="93"/>
                </w:rPr>
                <w:t>Quantitative and Qualitative Disclosures About Market Risk</w:t>
              </w:r>
            </w:hyperlink>
          </w:p>
        </w:tc>
        <w:tc>
          <w:tcPr>
            <w:tcW w:w="3720" w:type="dxa"/>
            <w:vAlign w:val="bottom"/>
            <w:gridSpan w:val="2"/>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4.</w:t>
            </w:r>
          </w:p>
        </w:tc>
        <w:tc>
          <w:tcPr>
            <w:tcW w:w="1600" w:type="dxa"/>
            <w:vAlign w:val="bottom"/>
            <w:tcBorders>
              <w:bottom w:val="single" w:sz="8" w:color="0000EE"/>
            </w:tcBorders>
            <w:gridSpan w:val="7"/>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Controls and Procedures</w:t>
              </w:r>
            </w:hyperlink>
          </w:p>
        </w:tc>
        <w:tc>
          <w:tcPr>
            <w:tcW w:w="6060" w:type="dxa"/>
            <w:vAlign w:val="bottom"/>
            <w:gridSpan w:val="7"/>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54</w:t>
              </w:r>
            </w:hyperlink>
          </w:p>
        </w:tc>
      </w:tr>
      <w:tr>
        <w:trPr>
          <w:trHeight w:val="547"/>
        </w:trPr>
        <w:tc>
          <w:tcPr>
            <w:tcW w:w="1040" w:type="dxa"/>
            <w:vAlign w:val="bottom"/>
            <w:gridSpan w:val="2"/>
          </w:tcPr>
          <w:p>
            <w:pPr>
              <w:spacing w:after="0"/>
              <w:rPr>
                <w:sz w:val="20"/>
                <w:szCs w:val="20"/>
                <w:color w:val="auto"/>
              </w:rPr>
            </w:pPr>
            <w:r>
              <w:rPr>
                <w:rFonts w:ascii="Arial" w:cs="Arial" w:eastAsia="Arial" w:hAnsi="Arial"/>
                <w:sz w:val="16"/>
                <w:szCs w:val="16"/>
                <w:b w:val="1"/>
                <w:bCs w:val="1"/>
                <w:color w:val="0000FF"/>
              </w:rPr>
              <w:t>PART II.</w:t>
            </w:r>
          </w:p>
        </w:tc>
        <w:tc>
          <w:tcPr>
            <w:tcW w:w="1820" w:type="dxa"/>
            <w:vAlign w:val="bottom"/>
            <w:tcBorders>
              <w:bottom w:val="single" w:sz="8" w:color="0000EE"/>
            </w:tcBorders>
            <w:gridSpan w:val="8"/>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INFORMATION</w:t>
              </w:r>
            </w:hyperlink>
          </w:p>
        </w:tc>
        <w:tc>
          <w:tcPr>
            <w:tcW w:w="5840" w:type="dxa"/>
            <w:vAlign w:val="bottom"/>
            <w:gridSpan w:val="6"/>
          </w:tcPr>
          <w:p>
            <w:pPr>
              <w:spacing w:after="0"/>
              <w:rPr>
                <w:sz w:val="24"/>
                <w:szCs w:val="24"/>
                <w:color w:val="auto"/>
              </w:rPr>
            </w:pPr>
          </w:p>
        </w:tc>
        <w:tc>
          <w:tcPr>
            <w:tcW w:w="2020" w:type="dxa"/>
            <w:vAlign w:val="bottom"/>
          </w:tcPr>
          <w:p>
            <w:pPr>
              <w:spacing w:after="0"/>
              <w:rPr>
                <w:sz w:val="24"/>
                <w:szCs w:val="24"/>
                <w:color w:val="auto"/>
              </w:rPr>
            </w:pPr>
          </w:p>
        </w:tc>
      </w:tr>
      <w:tr>
        <w:trPr>
          <w:trHeight w:val="534"/>
        </w:trPr>
        <w:tc>
          <w:tcPr>
            <w:tcW w:w="104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20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Legal Proceedings</w:t>
              </w:r>
            </w:hyperlink>
          </w:p>
        </w:tc>
        <w:tc>
          <w:tcPr>
            <w:tcW w:w="6460" w:type="dxa"/>
            <w:vAlign w:val="bottom"/>
            <w:gridSpan w:val="10"/>
          </w:tcPr>
          <w:p>
            <w:pPr>
              <w:spacing w:after="0"/>
              <w:rPr>
                <w:sz w:val="24"/>
                <w:szCs w:val="24"/>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7660" w:type="dxa"/>
            <w:vAlign w:val="bottom"/>
            <w:gridSpan w:val="1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Risk Factors</w:t>
              </w:r>
            </w:hyperlink>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92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56">
              <w:r>
                <w:rPr>
                  <w:rFonts w:ascii="Arial" w:cs="Arial" w:eastAsia="Arial" w:hAnsi="Arial"/>
                  <w:sz w:val="16"/>
                  <w:szCs w:val="16"/>
                  <w:color w:val="0000EE"/>
                  <w:w w:val="90"/>
                </w:rPr>
                <w:t>Unregistered Sales of Equity Securities and Use of Proceeds</w:t>
              </w:r>
            </w:hyperlink>
          </w:p>
        </w:tc>
        <w:tc>
          <w:tcPr>
            <w:tcW w:w="3740" w:type="dxa"/>
            <w:vAlign w:val="bottom"/>
            <w:gridSpan w:val="3"/>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206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56">
              <w:r>
                <w:rPr>
                  <w:rFonts w:ascii="Arial" w:cs="Arial" w:eastAsia="Arial" w:hAnsi="Arial"/>
                  <w:sz w:val="16"/>
                  <w:szCs w:val="16"/>
                  <w:color w:val="0000EE"/>
                  <w:w w:val="91"/>
                </w:rPr>
                <w:t>Defaults upon Senior Securities</w:t>
              </w:r>
            </w:hyperlink>
          </w:p>
        </w:tc>
        <w:tc>
          <w:tcPr>
            <w:tcW w:w="5600" w:type="dxa"/>
            <w:vAlign w:val="bottom"/>
            <w:gridSpan w:val="5"/>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4.</w:t>
            </w:r>
          </w:p>
        </w:tc>
        <w:tc>
          <w:tcPr>
            <w:tcW w:w="7660" w:type="dxa"/>
            <w:vAlign w:val="bottom"/>
            <w:gridSpan w:val="1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Mine Safety Disclosures</w:t>
              </w:r>
            </w:hyperlink>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5.</w:t>
            </w: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6">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3"/>
          </w:tcPr>
          <w:p>
            <w:pPr>
              <w:spacing w:after="0"/>
              <w:rPr>
                <w:sz w:val="20"/>
                <w:szCs w:val="20"/>
                <w:color w:val="auto"/>
              </w:rPr>
            </w:pPr>
          </w:p>
        </w:tc>
        <w:tc>
          <w:tcPr>
            <w:tcW w:w="6080" w:type="dxa"/>
            <w:vAlign w:val="bottom"/>
            <w:gridSpan w:val="8"/>
          </w:tcPr>
          <w:p>
            <w:pPr>
              <w:spacing w:after="0"/>
              <w:rPr>
                <w:sz w:val="20"/>
                <w:szCs w:val="20"/>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237"/>
        </w:trPr>
        <w:tc>
          <w:tcPr>
            <w:tcW w:w="1040" w:type="dxa"/>
            <w:vAlign w:val="bottom"/>
            <w:gridSpan w:val="2"/>
          </w:tcPr>
          <w:p>
            <w:pPr>
              <w:spacing w:after="0"/>
              <w:rPr>
                <w:sz w:val="20"/>
                <w:szCs w:val="20"/>
                <w:color w:val="auto"/>
              </w:rPr>
            </w:pPr>
            <w:r>
              <w:rPr>
                <w:rFonts w:ascii="Arial" w:cs="Arial" w:eastAsia="Arial" w:hAnsi="Arial"/>
                <w:sz w:val="16"/>
                <w:szCs w:val="16"/>
                <w:color w:val="0000FF"/>
              </w:rPr>
              <w:t>Item 6.</w:t>
            </w:r>
          </w:p>
        </w:tc>
        <w:tc>
          <w:tcPr>
            <w:tcW w:w="7660" w:type="dxa"/>
            <w:vAlign w:val="bottom"/>
            <w:gridSpan w:val="14"/>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Exhibits</w:t>
              </w:r>
            </w:hyperlink>
          </w:p>
        </w:tc>
        <w:tc>
          <w:tcPr>
            <w:tcW w:w="2020" w:type="dxa"/>
            <w:vAlign w:val="bottom"/>
          </w:tcPr>
          <w:p>
            <w:pPr>
              <w:jc w:val="center"/>
              <w:ind w:left="1779"/>
              <w:spacing w:after="0"/>
              <w:rPr>
                <w:rFonts w:ascii="Arial" w:cs="Arial" w:eastAsia="Arial" w:hAnsi="Arial"/>
                <w:sz w:val="16"/>
                <w:szCs w:val="16"/>
                <w:color w:val="0000EE"/>
                <w:w w:val="89"/>
              </w:rPr>
            </w:pPr>
            <w:hyperlink w:anchor="page56">
              <w:r>
                <w:rPr>
                  <w:rFonts w:ascii="Arial" w:cs="Arial" w:eastAsia="Arial" w:hAnsi="Arial"/>
                  <w:sz w:val="16"/>
                  <w:szCs w:val="16"/>
                  <w:color w:val="0000EE"/>
                  <w:w w:val="89"/>
                </w:rPr>
                <w:t>55</w:t>
              </w:r>
            </w:hyperlink>
          </w:p>
        </w:tc>
      </w:tr>
      <w:tr>
        <w:trPr>
          <w:trHeight w:val="534"/>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57">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center"/>
              <w:ind w:left="1779"/>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57</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271780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$46,162 and $62,205,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Treasury securities, at fair value (including pledged securities of $1,214 and $3,778,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for securities sold (including pledged securities of $694 and $622, respectively)</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62,348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 and $173,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352.8 and 356.2 shares issued and outstanding,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62,348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2160" w:type="dxa"/>
            <w:vAlign w:val="bottom"/>
            <w:gridSpan w:val="6"/>
          </w:tcPr>
          <w:p>
            <w:pPr>
              <w:ind w:left="40"/>
              <w:spacing w:after="0"/>
              <w:rPr>
                <w:sz w:val="20"/>
                <w:szCs w:val="20"/>
                <w:color w:val="auto"/>
              </w:rPr>
            </w:pPr>
            <w:r>
              <w:rPr>
                <w:rFonts w:ascii="Arial" w:cs="Arial" w:eastAsia="Arial" w:hAnsi="Arial"/>
                <w:sz w:val="16"/>
                <w:szCs w:val="16"/>
                <w:b w:val="1"/>
                <w:bCs w:val="1"/>
                <w:color w:val="auto"/>
                <w:w w:val="89"/>
              </w:rPr>
              <w:t>Nine months ended September</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89"/>
              </w:rPr>
              <w:t>30,</w:t>
            </w:r>
          </w:p>
        </w:tc>
        <w:tc>
          <w:tcPr>
            <w:tcW w:w="80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Gain (loss) on sale of agency securities,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derivative instruments and other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(loss) income,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Provision for income tax, net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(loss) income (attributable) available to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381.2</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(loss) income per common share -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51"/>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4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September 30, 2013</w:t>
            </w: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311"/>
        </w:trPr>
        <w:tc>
          <w:tcPr>
            <w:tcW w:w="35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Issuance of preferred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September 30, 2014</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1,359</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Amortization of accumulated other comprehensive loss on interest rate swaps de-designated as qualifying hedges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(Gain) loss on sale of agency securities, net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742</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derivative instruments and other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Decrease (increase) in other assets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1,484</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agency securities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(71,313)</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57,992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8,201</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(59,799)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34,203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45,496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proceeds from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(9,787)</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216,945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421,185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(235,151)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(413,190)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(18,933)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8,002</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2,430</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2,129</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subsidiary, American Capital Agency TRS,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preserve our net asset value (also referred to as "net book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 reported at fair value, with unrealized gains and losses reported in accumulated other comprehensive income (loss) ("OCI"),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on a market approach using "Level 1" inputs based on quoted market prices.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agency securities as available-for-sale securities with unrealized gains and losses recognized in OCI, any impairment loss for non-credit components is already recognized in OCI.</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liquidity of the agency securities market allows us to obtain competitive bids and execute on a sale transaction typically within a day of making the decision to sell a security and, therefore, we generally do not make decisions to sell specific agency securities until shortly prior to initiating a sell order. In some instances, we may sell specific agency securities by delivering the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of the 48-hour deadline.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interest method in accordance with ASC Subtopic 310-20, </w:t>
      </w:r>
      <w:r>
        <w:rPr>
          <w:rFonts w:ascii="Arial" w:cs="Arial" w:eastAsia="Arial" w:hAnsi="Arial"/>
          <w:sz w:val="18"/>
          <w:szCs w:val="18"/>
          <w:i w:val="1"/>
          <w:iCs w:val="1"/>
          <w:color w:val="auto"/>
        </w:rPr>
        <w:t>Receivables—Nonrefundable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its estimates. Actual and anticipated prepayment experience is reviewed quarterly and effective yields are recalculated when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are privately negotiated in the over−the−counter ("OTC") market and may be centrally cleared through a registered commodities exchange ("centrally cleared swaps").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to help mitigate the potential impact of larger changes in interest rates on the performance of our investment portfolio (referred to as "convexity risk").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and December 31, 2013, our investment portfolio consisted of $51.7 billion and $65.9 billion of agency MBS, respectively, and a $17.7 billion and $2.3 billion net long TBA position, at fair value, respectively.</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TBA positions are reported at their net carrying value of $(21) million and $(5) million,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Notes 3 and 6 for further details of our net TBA position as of September 30, 2014 and December 31, 2013.)</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2014 and December 31, 2013, the net unamortized premium balance on our agency MBS was $2.3 billion and $3.0 billion, respectively, including interest and principal-only strips.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agency MBS as of September 30, 2014 and December 31, 2013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September 30,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49,236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49,170</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2013</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64,057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242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62,961</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38,757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10,289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49,222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2,165</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40,372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51,344</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446</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40,373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10,758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51,316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386</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40,758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10,787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51,730</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September 30,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September 30, 2014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quarter ended September 30, 2014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209"/>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660" w:right="20" w:hanging="328"/>
        <w:spacing w:after="0" w:line="260"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underlying unamortized principal balance ("UPB" or "par value") of our interest-only agency MBS strips was $1.2 billion and the weighted average contractual interest we are entitled to receive was 5.48% of this amount as of September 30, 2014. The par value of our principal-only agency MBS strips was $250 million as of September 30, 2014.</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September 30, 2014.</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September 30, 2014.</w:t>
      </w:r>
    </w:p>
    <w:p>
      <w:pPr>
        <w:spacing w:after="0" w:line="37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23495</wp:posOffset>
            </wp:positionV>
            <wp:extent cx="3155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50,914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12,640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63,777</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2,848</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53,099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66,593</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260</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52,289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12,980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65,504</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52,693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65,941</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2013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2013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2013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209"/>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660" w:hanging="328"/>
        <w:spacing w:after="0" w:line="25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UPB of our interest-only agency MBS strips was $1.4 billion and the weighted average contractual interest we are entitled to receive was 5.50% of this amount as of December 31, 2013. The par value of our principal-only agency MBS strips was $271 million as of December 31,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ind w:left="660" w:hanging="328"/>
        <w:spacing w:after="0" w:line="250"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2013.</w:t>
      </w: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 based on forward rates as of December 31, 2013.</w:t>
      </w:r>
    </w:p>
    <w:p>
      <w:pPr>
        <w:spacing w:after="0" w:line="15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September 30, 2014 and December 31, 2013, our weighted average expected constant prepayment rate ("CPR") over the remaining life of our aggregate agency MBS portfolio was 8% and 7%, respectively. Our estimates differ materially for different types of securities and thus individual holdings have a wide range of projected CPRs. We estimate long-term prepayment assumptions for different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reasonableness. As market conditions may change rapidly, we may make adjustments for different securities based on our Manager's judgment. Various market participants could use materially different assumptions.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September 30, 2014 and December 31, 2013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Agency MBS Classified as Available-for-</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4.19%</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19,687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29,536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29,769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3.65%</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1,645</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3.11%</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51,344</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weighted average life of our interest-only strips was 6.5 and 6.3 years as of September 30, 2014 and December 31, 2013, respectively. The weighted average life of our principal-only strips was 8.7 and 8.6 years as of September 30, 2014 and December 31, 2013,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The following table summarizes changes in accumulated OCI, a separate component of stockholders' equity, for our available-for-sale securities for the three and nine months ended September 30, 2014 and 2013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Beginning</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Reversal of</w:t>
            </w:r>
          </w:p>
        </w:tc>
        <w:tc>
          <w:tcPr>
            <w:tcW w:w="20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Agency Securities Classified as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Net on Realization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 September 30, 2014</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Three months ended September 30, 2013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Nine months ended September 30, 2014</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Nine months ended September 30, 2013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September 30, 2014 and December 31, 2013 (in millions):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5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960" w:type="dxa"/>
            <w:vAlign w:val="bottom"/>
            <w:tcBorders>
              <w:bottom w:val="single" w:sz="8" w:color="auto"/>
            </w:tcBorders>
          </w:tcPr>
          <w:p>
            <w:pPr>
              <w:spacing w:after="0"/>
              <w:rPr>
                <w:sz w:val="22"/>
                <w:szCs w:val="22"/>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Estimated Fair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258"/>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44,439</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of the end of each respective reporting period,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and nine months ended September 30, 2014 and 2013. However, as we continue to actively manage our portfolio, we may recognize additional realized losses on our agency securities upon selecting specific securities to sell.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agency securities classified as available-for-sale for the three and nine months ended September 30, 2014 and 2013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13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vMerge w:val="restart"/>
          </w:tcPr>
          <w:p>
            <w:pPr>
              <w:spacing w:after="0"/>
              <w:rPr>
                <w:sz w:val="12"/>
                <w:szCs w:val="12"/>
                <w:color w:val="auto"/>
              </w:rPr>
            </w:pPr>
          </w:p>
        </w:tc>
        <w:tc>
          <w:tcPr>
            <w:tcW w:w="13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7"/>
              </w:rPr>
              <w:t>September 30, 2013</w:t>
            </w:r>
          </w:p>
        </w:tc>
        <w:tc>
          <w:tcPr>
            <w:tcW w:w="120" w:type="dxa"/>
            <w:vAlign w:val="bottom"/>
            <w:vMerge w:val="restart"/>
          </w:tcPr>
          <w:p>
            <w:pPr>
              <w:spacing w:after="0"/>
              <w:rPr>
                <w:sz w:val="12"/>
                <w:szCs w:val="12"/>
                <w:color w:val="auto"/>
              </w:rPr>
            </w:pPr>
          </w:p>
        </w:tc>
        <w:tc>
          <w:tcPr>
            <w:tcW w:w="13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4"/>
              </w:rPr>
              <w:t>September 30, 2014</w:t>
            </w:r>
          </w:p>
        </w:tc>
        <w:tc>
          <w:tcPr>
            <w:tcW w:w="100" w:type="dxa"/>
            <w:vAlign w:val="bottom"/>
            <w:vMerge w:val="restart"/>
          </w:tcPr>
          <w:p>
            <w:pPr>
              <w:spacing w:after="0"/>
              <w:rPr>
                <w:sz w:val="12"/>
                <w:szCs w:val="12"/>
                <w:color w:val="auto"/>
              </w:rPr>
            </w:pPr>
          </w:p>
        </w:tc>
        <w:tc>
          <w:tcPr>
            <w:tcW w:w="13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6"/>
              </w:rPr>
              <w:t>September 30, 2013</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25,657</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59,799</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Gross loss on sale of agency MBS</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For the three and nine months ended September 30, 2014, we recognized a net unrealized gain of $4 million and $31 million, respectively, and for the three and nine months ended September 30, 2013 we recognized an unrealized gain of $14 million and an unrealized loss of $8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September 30, 2014 and December 31, 2013,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$1.3 billion and $1.5 billion as of September 30, 2014 and December 31, 2013, respectively, and debt, at fair value, of $796 million and $910 million, respectively, in our accompanying consolidated balance sheets. As of September 30, 2014 and December 31, 2013, the agency securities had an aggregate unpaid principal balance of $1.2 billion and $1.4 billion, respectively, and the debt had an aggregate unpaid principal balance of $780 million and $900 million, respectively. We re-measure our consolidated debt at fair value through earnings in gain (loss) on derivative instruments and other securities, net in our consolidated statements of comprehensive income. For the three and nine months ended September 30, 2014, we recognized a net gain and a net loss of $6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million, respectively, and for the nine months ended September 30, 2013 we recognized a net gain of $33 million associated with our consolidated debt. We did not recognize a net gain or loss for the three months ended September 30, 2013.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September 30, 2014 and December 31, 2013, the fair value of our CMO securities and interest and principal-only securities was $1.6 billion and $1.7 billion, respectively, excluding the consolidated CMO trusts discussed above, or $2.2 billion and $2.3 billion, respectively, including the net asset value of our consolidated CMO trusts. Our maximum exposure to loss related to our CMO securities and interest and principal-only securities, including our consolidated CMO trusts, was $270 million and $246 million as of September 30, 2014 and December 31, 2013,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pledge certain of our securities as collateral under repurchase arrangements with financial institutions, the terms and conditions of which are negotiated on a transaction-by-transaction basis. For additional information regarding our pledged assets please refer to Note 7. Interest rates on these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2014, we have met all margin call requirements.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September 30, 2014 and December 31, 2013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8"/>
              </w:rPr>
              <w:t>December 31, 2013</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15,024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0.33 %</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23,577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6,042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0.46 %</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6,946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0.51 %</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3,607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0.68 %</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37"/>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0.68 %</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1"/>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Total /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45,327</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0.35 %</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63,533</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2014 and December 31, 2013, debt of consolidated VIEs, at fair value ("other debt") was $796 million and $910 million, respectively. As of September 30, 2014 and December 31, 2013, our other debt had a weighted average interest rate of LIBOR plus 43 and 42 basis points and a principal balance of $780 million and $900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September 30, 2014 was 6.2 years.</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2014 and December 31, 2013, we also had outstanding forward commitments to purchase and sell agency securities through the TBA market (see Notes 3 and 6). These transactions, also referred to as TBA dollar roll transactions, represent a form of off-balance sheet financing and serve to either increase, in the case of forward purchases, or decrease, in the case of forward sales, our "at risk" leverage. However, pursuant to ASC 815, we account for such transactions as one or more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series of derivative transactions and, consequently, they are not included in our on-balance sheet debt or measurement of commensurate leverage ratios.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We may also purchase or short TBA and U.S. Treasury securities, purchase or write put or call options on TBA securities or we may invest in other types of mortgage derivative securities, such as interest and principal-only securities.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nine months ended September 30, 2014, we reclassified $38 million and $121 million, respectively, and for the three and nine months ended September 30, 2013, we reclassified $47 million and $144 million, respectively, of net deferred losses from accumulated OCI into interest expense related to our de-designated interest rate swaps and recognized an equal, but offsetting, amount in other comprehensive income. Our total net periodic interest costs on our swap portfolio was $120 million and $373 million for the three and nine months ended September 30, 2014, respectively, and $178 million and $464 million for the three and nine months ended September 30, 2013, respectively. The difference between our total net periodic interest costs on our swap portfolio and the amount recorded in interest expense related to our de-designated hedges is reported in our accompanying consolidated statements of comprehensive income in gain (loss) on derivative instruments and other securities, net (totaling $82 million and $252 million for the three and nine months ended September 30, 2014, respectively, and $131 million and $320 million for the three and nine months ended September 30, 2013, respectively). As of September 30, 2014, the remaining net deferred loss in accumulated OCI related to de-designated interest rate swaps was $175 million and will be reclassified from OCI into interest expense over a remaining weighted average period of 1.6 years. As of September 30, 2014, the net deferred loss expected to be reclassified from OCI into interest expense over the next twelve months was $115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Assets (Liabilities), at Fair Value</w:t>
      </w:r>
    </w:p>
    <w:p>
      <w:pPr>
        <w:spacing w:after="0" w:line="22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assets and liabilities as of September 30, 2014 and December 31, 2013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4"/>
                <w:szCs w:val="14"/>
                <w:color w:val="auto"/>
              </w:rPr>
            </w:pPr>
          </w:p>
        </w:tc>
        <w:tc>
          <w:tcPr>
            <w:tcW w:w="434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73"/>
        </w:trPr>
        <w:tc>
          <w:tcPr>
            <w:tcW w:w="42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3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538"/>
        <w:spacing w:after="0" w:line="257" w:lineRule="auto"/>
        <w:rPr>
          <w:sz w:val="20"/>
          <w:szCs w:val="20"/>
          <w:color w:val="auto"/>
        </w:rPr>
      </w:pPr>
      <w:r>
        <w:rPr>
          <w:rFonts w:ascii="Arial" w:cs="Arial" w:eastAsia="Arial" w:hAnsi="Arial"/>
          <w:sz w:val="18"/>
          <w:szCs w:val="18"/>
          <w:color w:val="auto"/>
        </w:rPr>
        <w:t>Additionally, as of September 30, 2014 and December 31, 2013, we had obligations to return U.S. Treasury securities borrowed under reverse repurchase agreements accounted for as securities borrowing transactions at a fair value of $4.7 billion and $1.8 billion, respectively. The borrowed securities were used to cover short sales of U.S. Treasury securities from which we received total proceeds of $4.7 billion and $1.9 billion, respectively. The change in fair value of the borrowed securities is recorded in gain (loss) on derivative instruments and other securities, net in our consolidated statements of comprehensive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ind w:left="400"/>
        <w:spacing w:after="0"/>
        <w:rPr>
          <w:sz w:val="20"/>
          <w:szCs w:val="20"/>
          <w:color w:val="auto"/>
        </w:rPr>
      </w:pPr>
      <w:r>
        <w:rPr>
          <w:rFonts w:ascii="Arial" w:cs="Arial" w:eastAsia="Arial" w:hAnsi="Arial"/>
          <w:sz w:val="16"/>
          <w:szCs w:val="16"/>
          <w:color w:val="auto"/>
        </w:rPr>
        <w:t>The following tables summarize our interest rate swap agreements outstanding as of September 30, 2014 and December 31, 2013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September 30, 2014</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9,350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7,175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12,850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5,650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4"/>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40,225</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00" w:hanging="328"/>
        <w:spacing w:after="0"/>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$13.2 billion with an average forward start date of 1.4 years and an average maturity of 8.3 years from September 30, 2014.</w:t>
      </w:r>
    </w:p>
    <w:p>
      <w:pPr>
        <w:spacing w:after="0" w:line="12" w:lineRule="exact"/>
        <w:rPr>
          <w:rFonts w:ascii="Arial" w:cs="Arial" w:eastAsia="Arial" w:hAnsi="Arial"/>
          <w:sz w:val="13"/>
          <w:szCs w:val="13"/>
          <w:color w:val="auto"/>
        </w:rPr>
      </w:pPr>
    </w:p>
    <w:p>
      <w:pPr>
        <w:ind w:left="600" w:hanging="328"/>
        <w:spacing w:after="0"/>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1.82% as of September 30, 2014.</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maturity measured from September 30, 2014 through stated maturity date.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2013</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16,750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1.57%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1.07%</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1.97%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2.28%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2.79%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1.70%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00" w:hanging="328"/>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$4.0 billion with an average forward start date of 1.9 years from December 31, 2013.</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1.57% as of December 31, 2013.</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maturity measured from December 31, 2013 through stated maturity date.</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300" w:top="584" w:right="239" w:bottom="1440" w:gutter="0" w:footer="0" w:header="0"/>
        </w:sectPr>
      </w:pPr>
    </w:p>
    <w:bookmarkStart w:id="17" w:name="page18"/>
    <w:bookmarkEnd w:id="17"/>
    <w:p>
      <w:pPr>
        <w:ind w:firstLine="432"/>
        <w:spacing w:after="0" w:line="277" w:lineRule="auto"/>
        <w:rPr>
          <w:sz w:val="20"/>
          <w:szCs w:val="20"/>
          <w:color w:val="auto"/>
        </w:rPr>
      </w:pPr>
      <w:r>
        <w:rPr>
          <w:rFonts w:ascii="Arial" w:cs="Arial" w:eastAsia="Arial" w:hAnsi="Arial"/>
          <w:sz w:val="18"/>
          <w:szCs w:val="18"/>
          <w:color w:val="auto"/>
        </w:rPr>
        <w:t>The following tables summarize our interest rate swaption agreements outstanding as of September 30, 2014 and December 31, 2013 (dollars in millions):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Years to Expiration</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Payer Swaptions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1 year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&gt; 1 to ≤ 2 years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Total Payer Swaptions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Receiver Swaptions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Years to Expiration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23495</wp:posOffset>
            </wp:positionV>
            <wp:extent cx="4845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Underlying Payer Swap</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Notional</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Pay</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gridSpan w:val="2"/>
          </w:tcPr>
          <w:p>
            <w:pPr>
              <w:spacing w:after="0"/>
              <w:rPr>
                <w:sz w:val="16"/>
                <w:szCs w:val="16"/>
                <w:color w:val="auto"/>
              </w:rPr>
            </w:pPr>
          </w:p>
        </w:tc>
        <w:tc>
          <w:tcPr>
            <w:tcW w:w="90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Expiration</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507"/>
        </w:trPr>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2.96%</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3.89%</w:t>
            </w:r>
          </w:p>
        </w:tc>
        <w:tc>
          <w:tcPr>
            <w:tcW w:w="120" w:type="dxa"/>
            <w:vAlign w:val="bottom"/>
          </w:tcPr>
          <w:p>
            <w:pPr>
              <w:spacing w:after="0"/>
              <w:rPr>
                <w:sz w:val="23"/>
                <w:szCs w:val="2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6,150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3.19%</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Underlying Receiver Swap</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Notional</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Receive</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gridSpan w:val="2"/>
          </w:tcPr>
          <w:p>
            <w:pPr>
              <w:spacing w:after="0"/>
              <w:rPr>
                <w:sz w:val="16"/>
                <w:szCs w:val="16"/>
                <w:color w:val="auto"/>
              </w:rPr>
            </w:pPr>
          </w:p>
        </w:tc>
        <w:tc>
          <w:tcPr>
            <w:tcW w:w="90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Expiration</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4"/>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2.08%</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8"/>
              </w:rPr>
              <w:t>December 31, 2013</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Underlying Payer Swap</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Notional</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Cost</w:t>
            </w:r>
          </w:p>
        </w:tc>
        <w:tc>
          <w:tcPr>
            <w:tcW w:w="12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Pay</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Expiration</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-2494915</wp:posOffset>
            </wp:positionV>
            <wp:extent cx="71348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-2846705</wp:posOffset>
            </wp:positionV>
            <wp:extent cx="713486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8034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-1165860</wp:posOffset>
            </wp:positionV>
            <wp:extent cx="713486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8034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-8255</wp:posOffset>
            </wp:positionV>
            <wp:extent cx="713486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920" w:space="720"/>
            <w:col w:w="7780"/>
          </w:cols>
          <w:pgMar w:left="240" w:top="908" w:right="23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Payer Swaptions</w:t>
      </w: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3500" w:type="dxa"/>
            <w:vAlign w:val="bottom"/>
          </w:tcPr>
          <w:p>
            <w:pPr>
              <w:ind w:left="20"/>
              <w:spacing w:after="0"/>
              <w:rPr>
                <w:sz w:val="20"/>
                <w:szCs w:val="20"/>
                <w:color w:val="auto"/>
              </w:rPr>
            </w:pPr>
            <w:r>
              <w:rPr>
                <w:rFonts w:ascii="Arial" w:cs="Arial" w:eastAsia="Arial" w:hAnsi="Arial"/>
                <w:sz w:val="16"/>
                <w:szCs w:val="16"/>
                <w:color w:val="auto"/>
              </w:rPr>
              <w:t>≤ 1 year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7"/>
                <w:szCs w:val="17"/>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7"/>
                <w:szCs w:val="17"/>
                <w:color w:val="auto"/>
              </w:rPr>
            </w:pPr>
          </w:p>
        </w:tc>
        <w:tc>
          <w:tcPr>
            <w:tcW w:w="1100" w:type="dxa"/>
            <w:vAlign w:val="bottom"/>
            <w:gridSpan w:val="2"/>
          </w:tcPr>
          <w:p>
            <w:pPr>
              <w:ind w:left="380"/>
              <w:spacing w:after="0"/>
              <w:rPr>
                <w:sz w:val="20"/>
                <w:szCs w:val="20"/>
                <w:color w:val="auto"/>
              </w:rPr>
            </w:pPr>
            <w:r>
              <w:rPr>
                <w:rFonts w:ascii="Arial" w:cs="Arial" w:eastAsia="Arial" w:hAnsi="Arial"/>
                <w:sz w:val="16"/>
                <w:szCs w:val="16"/>
                <w:color w:val="auto"/>
              </w:rPr>
              <w:t>3M</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7.8</w:t>
            </w:r>
          </w:p>
        </w:tc>
      </w:tr>
      <w:tr>
        <w:trPr>
          <w:trHeight w:val="33"/>
        </w:trPr>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&gt; 1 to ≤ 2 years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3M</w:t>
            </w:r>
          </w:p>
        </w:tc>
        <w:tc>
          <w:tcPr>
            <w:tcW w:w="10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5.6</w:t>
            </w:r>
          </w:p>
        </w:tc>
      </w:tr>
      <w:tr>
        <w:trPr>
          <w:trHeight w:val="237"/>
        </w:trPr>
        <w:tc>
          <w:tcPr>
            <w:tcW w:w="3500" w:type="dxa"/>
            <w:vAlign w:val="bottom"/>
          </w:tcPr>
          <w:p>
            <w:pPr>
              <w:ind w:left="20"/>
              <w:spacing w:after="0"/>
              <w:rPr>
                <w:sz w:val="20"/>
                <w:szCs w:val="20"/>
                <w:color w:val="auto"/>
              </w:rPr>
            </w:pPr>
            <w:r>
              <w:rPr>
                <w:rFonts w:ascii="Arial" w:cs="Arial" w:eastAsia="Arial" w:hAnsi="Arial"/>
                <w:sz w:val="16"/>
                <w:szCs w:val="16"/>
                <w:color w:val="auto"/>
              </w:rPr>
              <w:t>&gt; 2 to ≤ 3 years</w:t>
            </w:r>
          </w:p>
        </w:tc>
        <w:tc>
          <w:tcPr>
            <w:tcW w:w="3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0"/>
                <w:szCs w:val="20"/>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100" w:type="dxa"/>
            <w:vAlign w:val="bottom"/>
            <w:gridSpan w:val="2"/>
          </w:tcPr>
          <w:p>
            <w:pPr>
              <w:ind w:left="380"/>
              <w:spacing w:after="0"/>
              <w:rPr>
                <w:sz w:val="20"/>
                <w:szCs w:val="20"/>
                <w:color w:val="auto"/>
              </w:rPr>
            </w:pPr>
            <w:r>
              <w:rPr>
                <w:rFonts w:ascii="Arial" w:cs="Arial" w:eastAsia="Arial" w:hAnsi="Arial"/>
                <w:sz w:val="16"/>
                <w:szCs w:val="16"/>
                <w:color w:val="auto"/>
              </w:rPr>
              <w:t>3M</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5.8</w:t>
            </w:r>
          </w:p>
        </w:tc>
      </w:tr>
      <w:tr>
        <w:trPr>
          <w:trHeight w:val="33"/>
        </w:trPr>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&gt; 3 to ≤ 5 years</w:t>
            </w: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3M</w:t>
            </w:r>
          </w:p>
        </w:tc>
        <w:tc>
          <w:tcPr>
            <w:tcW w:w="10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7.0</w:t>
            </w:r>
          </w:p>
        </w:tc>
      </w:tr>
      <w:tr>
        <w:trPr>
          <w:trHeight w:val="244"/>
        </w:trPr>
        <w:tc>
          <w:tcPr>
            <w:tcW w:w="3500" w:type="dxa"/>
            <w:vAlign w:val="bottom"/>
          </w:tcPr>
          <w:p>
            <w:pPr>
              <w:ind w:left="20"/>
              <w:spacing w:after="0"/>
              <w:rPr>
                <w:sz w:val="20"/>
                <w:szCs w:val="20"/>
                <w:color w:val="auto"/>
              </w:rPr>
            </w:pPr>
            <w:r>
              <w:rPr>
                <w:rFonts w:ascii="Arial" w:cs="Arial" w:eastAsia="Arial" w:hAnsi="Arial"/>
                <w:sz w:val="16"/>
                <w:szCs w:val="16"/>
                <w:color w:val="auto"/>
              </w:rPr>
              <w:t>Total Payer Swaptions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14,250</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3M</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7.0</w:t>
            </w:r>
          </w:p>
        </w:tc>
      </w:tr>
      <w:tr>
        <w:trPr>
          <w:trHeight w:val="20"/>
        </w:trPr>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have any receiver swaptions outstanding as of December 31, 2013.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contracts to purchase and sell TBA contracts as of September 30, 2014 and December 31,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Notional</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Notional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
              <w:spacing w:after="0" w:line="144"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Purchase and Sale Contracts for TBAs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7"/>
              </w:rPr>
              <w:t xml:space="preserve">Amount </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2"/>
              </w:rPr>
              <w:t xml:space="preserve">Cost Basis </w:t>
            </w:r>
            <w:r>
              <w:rPr>
                <w:rFonts w:ascii="Arial" w:cs="Arial" w:eastAsia="Arial" w:hAnsi="Arial"/>
                <w:sz w:val="8"/>
                <w:szCs w:val="8"/>
                <w:b w:val="1"/>
                <w:bCs w:val="1"/>
                <w:color w:val="auto"/>
                <w:w w:val="82"/>
              </w:rPr>
              <w:t>2</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 xml:space="preserve">Market Value </w:t>
            </w:r>
            <w:r>
              <w:rPr>
                <w:rFonts w:ascii="Arial" w:cs="Arial" w:eastAsia="Arial" w:hAnsi="Arial"/>
                <w:sz w:val="8"/>
                <w:szCs w:val="8"/>
                <w:b w:val="1"/>
                <w:bCs w:val="1"/>
                <w:color w:val="auto"/>
                <w:w w:val="97"/>
              </w:rPr>
              <w:t>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w w:val="94"/>
              </w:rPr>
              <w:t xml:space="preserve">Amount </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4"/>
              </w:rPr>
              <w:t xml:space="preserve">Cost Basis </w:t>
            </w:r>
            <w:r>
              <w:rPr>
                <w:rFonts w:ascii="Arial" w:cs="Arial" w:eastAsia="Arial" w:hAnsi="Arial"/>
                <w:sz w:val="8"/>
                <w:szCs w:val="8"/>
                <w:b w:val="1"/>
                <w:bCs w:val="1"/>
                <w:color w:val="auto"/>
                <w:w w:val="84"/>
              </w:rPr>
              <w:t>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 xml:space="preserve">Market Value </w:t>
            </w:r>
            <w:r>
              <w:rPr>
                <w:rFonts w:ascii="Arial" w:cs="Arial" w:eastAsia="Arial" w:hAnsi="Arial"/>
                <w:sz w:val="8"/>
                <w:szCs w:val="8"/>
                <w:b w:val="1"/>
                <w:bCs w:val="1"/>
                <w:color w:val="auto"/>
                <w:w w:val="95"/>
              </w:rPr>
              <w:t>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380"/>
              <w:spacing w:after="0"/>
              <w:rPr>
                <w:sz w:val="20"/>
                <w:szCs w:val="20"/>
                <w:color w:val="auto"/>
              </w:rPr>
            </w:pPr>
            <w:r>
              <w:rPr>
                <w:rFonts w:ascii="Arial" w:cs="Arial" w:eastAsia="Arial" w:hAnsi="Arial"/>
                <w:sz w:val="16"/>
                <w:szCs w:val="16"/>
                <w:color w:val="auto"/>
              </w:rPr>
              <w:t>Purchase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6"/>
              <w:spacing w:after="0"/>
              <w:rPr>
                <w:sz w:val="20"/>
                <w:szCs w:val="20"/>
                <w:color w:val="auto"/>
              </w:rPr>
            </w:pPr>
            <w:r>
              <w:rPr>
                <w:rFonts w:ascii="Arial" w:cs="Arial" w:eastAsia="Arial" w:hAnsi="Arial"/>
                <w:sz w:val="16"/>
                <w:szCs w:val="16"/>
                <w:color w:val="auto"/>
              </w:rPr>
              <w:t>20,385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21,029</w:t>
            </w:r>
          </w:p>
        </w:tc>
        <w:tc>
          <w:tcPr>
            <w:tcW w:w="120" w:type="dxa"/>
            <w:vAlign w:val="bottom"/>
          </w:tcPr>
          <w:p>
            <w:pPr>
              <w:spacing w:after="0"/>
              <w:rPr>
                <w:sz w:val="20"/>
                <w:szCs w:val="20"/>
                <w:color w:val="auto"/>
              </w:rPr>
            </w:pP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21,006</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6"/>
              <w:spacing w:after="0"/>
              <w:rPr>
                <w:sz w:val="20"/>
                <w:szCs w:val="20"/>
                <w:color w:val="auto"/>
              </w:rPr>
            </w:pPr>
            <w:r>
              <w:rPr>
                <w:rFonts w:ascii="Arial" w:cs="Arial" w:eastAsia="Arial" w:hAnsi="Arial"/>
                <w:sz w:val="16"/>
                <w:szCs w:val="16"/>
                <w:color w:val="auto"/>
              </w:rPr>
              <w:t>6,660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6,882</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20"/>
                <w:szCs w:val="20"/>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Sale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(3,260)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(3,258)</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 xml:space="preserve">TBA securities, net </w:t>
            </w:r>
            <w:r>
              <w:rPr>
                <w:rFonts w:ascii="Arial" w:cs="Arial" w:eastAsia="Arial" w:hAnsi="Arial"/>
                <w:sz w:val="21"/>
                <w:szCs w:val="21"/>
                <w:color w:val="auto"/>
                <w:vertAlign w:val="superscript"/>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17,259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17,769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17,748</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15-year and 30-year TBA securities of varying coupons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08"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and nine months ended September 30, 2014 and 2013 (in millions):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 September 30, 2014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Notional Amount</w:t>
            </w:r>
          </w:p>
        </w:tc>
        <w:tc>
          <w:tcPr>
            <w:tcW w:w="160" w:type="dxa"/>
            <w:vAlign w:val="bottom"/>
          </w:tcPr>
          <w:p>
            <w:pPr>
              <w:spacing w:after="0"/>
              <w:rPr>
                <w:sz w:val="13"/>
                <w:szCs w:val="13"/>
                <w:color w:val="auto"/>
              </w:rPr>
            </w:pPr>
          </w:p>
        </w:tc>
        <w:tc>
          <w:tcPr>
            <w:tcW w:w="108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60" w:type="dxa"/>
            <w:vAlign w:val="bottom"/>
          </w:tcPr>
          <w:p>
            <w:pPr>
              <w:spacing w:after="0"/>
              <w:rPr>
                <w:sz w:val="12"/>
                <w:szCs w:val="12"/>
                <w:color w:val="auto"/>
              </w:rPr>
            </w:pPr>
          </w:p>
        </w:tc>
        <w:tc>
          <w:tcPr>
            <w:tcW w:w="10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Long/(Short)</w:t>
            </w:r>
          </w:p>
        </w:tc>
        <w:tc>
          <w:tcPr>
            <w:tcW w:w="9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5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2"/>
              </w:rPr>
              <w:t>June 30, 2014</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17,811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44,438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(47,900)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5,028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right="20" w:hanging="568"/>
        <w:spacing w:after="0" w:line="255" w:lineRule="auto"/>
        <w:tabs>
          <w:tab w:leader="none" w:pos="657"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loss of $2 million from investments in REIT equity securities, a net gain of $6 million from debt of consolidated VIEs and a net gain of $4 million from interest and principal-only securities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Three Months Ended September 30, 2013</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Settlement,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Notional</w:t>
            </w: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Long/(Short)</w:t>
            </w:r>
          </w:p>
        </w:tc>
        <w:tc>
          <w:tcPr>
            <w:tcW w:w="9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Expiration 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TBA and forward settling agency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14,408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(33,697)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(55,650)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(23,750)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(10,477)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(11,266)</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19,833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4,430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 net gain of $14 million from interest and principal-only securities and other miscellaneous net losses of $2 million recognized in gain (loss) from derivative instruments and other securities, net in our consolidated statements of comprehensive income.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Nine Months Ended September 30, 2014</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Notional Amount</w:t>
            </w:r>
          </w:p>
        </w:tc>
        <w:tc>
          <w:tcPr>
            <w:tcW w:w="160" w:type="dxa"/>
            <w:vAlign w:val="bottom"/>
          </w:tcPr>
          <w:p>
            <w:pPr>
              <w:spacing w:after="0"/>
              <w:rPr>
                <w:sz w:val="13"/>
                <w:szCs w:val="13"/>
                <w:color w:val="auto"/>
              </w:rPr>
            </w:pPr>
          </w:p>
        </w:tc>
        <w:tc>
          <w:tcPr>
            <w:tcW w:w="108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Long/(Short)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60" w:type="dxa"/>
            <w:vAlign w:val="bottom"/>
          </w:tcPr>
          <w:p>
            <w:pPr>
              <w:spacing w:after="0"/>
              <w:rPr>
                <w:sz w:val="12"/>
                <w:szCs w:val="12"/>
                <w:color w:val="auto"/>
              </w:rPr>
            </w:pPr>
          </w:p>
        </w:tc>
        <w:tc>
          <w:tcPr>
            <w:tcW w:w="10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5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134,760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(12,325)</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15,350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9,963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48" w:lineRule="auto"/>
        <w:tabs>
          <w:tab w:leader="none" w:pos="657"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gain of $71 million from investments in REIT equity securities, a net loss of $6 million from debt of consolidated VIEs, a net gain of $31 million from interest and principal-only securities and other miscellaneous net losses of $7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Nine Months Ended September 30, 2013</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Settlement,</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Long/(Short)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Expiration 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TBA and forward settling agency securities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74,996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(46,850)</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(16,700)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13,350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(14,450)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(11,835)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(31,408)</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41,333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 position</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19,654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5,629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put option</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a net loss of $8 million from interest and principal-only securities, a net gain of $33 million from debt of consolidated VIEs and other miscellaneous net losses of $3 million recognized in gain (loss) on derivative instruments and other securities, net in our consolidated statements of comprehensive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repurchase agreements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 agreements and TBA contracts. If we breach any of these provisions, we will be required to fully settle our obligations under the agreements, which could include a forced liquidation of our pledged collateral.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repurchase agreement and derivative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Consequently, the use of repurchase agreements and derivative instruments exposes us to credit risk relating to potential losses that could be recognized in the event that our counterparties fail to perform their obligations under such agreements. We minimize this risk by limiting our repurchase agreement and derivative counterparties to major financial institutions with acceptable credit ratings or to a registered clearinghouse, and we monitor our positions with individual counterparties. In the event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September 30, 2014,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2014, our amount at risk with any counterparty related to our repurchase agreements was less than 4% of our stockholders' equity and our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tables summarize our assets pledged as collateral under our repurchase agreements, debt of consolidated VIEs, derivative agreements and prime broker agreements by type, including securities pledged related to securities sold but not yet settled, as of September 30, 2014 and December 31, 2013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 2014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0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Debt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43"/>
        </w:trPr>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50,308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0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Debt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64,286</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3,778</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4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68,360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following table summarizes our securities pledged as collateral under repurchase agreements and debt of consolidated VIEs by remaining maturity, including securities pledged related to sold but not yet settled securities, as of September 30, 2014 and December 31, 2013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Agency Securities Pledged by Remaining Maturity of</w:t>
            </w:r>
          </w:p>
        </w:tc>
        <w:tc>
          <w:tcPr>
            <w:tcW w:w="180" w:type="dxa"/>
            <w:vAlign w:val="bottom"/>
          </w:tcPr>
          <w:p>
            <w:pPr>
              <w:spacing w:after="0"/>
              <w:rPr>
                <w:sz w:val="12"/>
                <w:szCs w:val="12"/>
                <w:color w:val="auto"/>
              </w:rPr>
            </w:pPr>
          </w:p>
        </w:tc>
        <w:tc>
          <w:tcPr>
            <w:tcW w:w="10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Repurchase Agreements and Debt of Consolidated VIEs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15,623</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15,611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27,694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5,067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02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47,132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47,139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64,167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65,248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48,850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69,008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2014 and December 31, 2013, none of our repurchase agreement borrowings backed by agency MBS were due on demand or mature overnight.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2014 and December 31, 2013,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4,849</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88"/>
              </w:rPr>
              <w:t>Reverse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Repurchase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1,848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September 30, 2014 and December 31, 2013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3"/>
          </w:tcPr>
          <w:p>
            <w:pPr>
              <w:ind w:left="800"/>
              <w:spacing w:after="0"/>
              <w:rPr>
                <w:sz w:val="20"/>
                <w:szCs w:val="20"/>
                <w:color w:val="auto"/>
              </w:rPr>
            </w:pPr>
            <w:r>
              <w:rPr>
                <w:rFonts w:ascii="Arial" w:cs="Arial" w:eastAsia="Arial" w:hAnsi="Arial"/>
                <w:sz w:val="14"/>
                <w:szCs w:val="14"/>
                <w:b w:val="1"/>
                <w:bCs w:val="1"/>
                <w:color w:val="auto"/>
              </w:rPr>
              <w:t>Offsetting of Financial Assets and Derivative Assets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4"/>
              </w:rPr>
              <w:t>414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1"/>
              </w:rPr>
              <w:t>5,258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9"/>
              </w:rPr>
              <w:t>Total derivative, other hedging instruments and other assets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1"/>
              </w:rPr>
              <w:t>5,672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ind w:left="520"/>
              <w:spacing w:after="0"/>
              <w:rPr>
                <w:sz w:val="20"/>
                <w:szCs w:val="20"/>
                <w:color w:val="auto"/>
              </w:rPr>
            </w:pPr>
            <w:r>
              <w:rPr>
                <w:rFonts w:ascii="Arial" w:cs="Arial" w:eastAsia="Arial" w:hAnsi="Arial"/>
                <w:sz w:val="14"/>
                <w:szCs w:val="14"/>
                <w:color w:val="auto"/>
                <w:w w:val="91"/>
              </w:rPr>
              <w:t>1,138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w w:val="91"/>
              </w:rPr>
              <w:t>1,881</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4"/>
                <w:szCs w:val="14"/>
                <w:color w:val="auto"/>
                <w:w w:val="99"/>
              </w:rPr>
              <w:t>Total derivative, other hedging instruments and other assets</w:t>
            </w:r>
          </w:p>
        </w:tc>
        <w:tc>
          <w:tcPr>
            <w:tcW w:w="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1"/>
              </w:rPr>
              <w:t>3,019</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3"/>
          </w:tcPr>
          <w:p>
            <w:pPr>
              <w:ind w:left="52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45,327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45,774</w:t>
            </w: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3"/>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45,774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(4,892)</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3"/>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63,533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40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ind w:left="340"/>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gridSpan w:val="3"/>
            <w:vMerge w:val="restart"/>
          </w:tcPr>
          <w:p>
            <w:pPr>
              <w:ind w:left="8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(61,721)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than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nine months ended September 30, 2014.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6"/>
          <w:szCs w:val="16"/>
          <w:color w:val="auto"/>
        </w:rPr>
        <w:t>The following table provides a summary of our assets and liabilities that are measured at fair value on a recurring basis as of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September 30, 2014</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Agency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Agency securities transferred to consolidated VIEs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Swaptions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REIT equity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futures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 of consolidated VIEs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Obligation to return U.S. Treasury securities borrowed under reverse repurchase agreements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Agency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Agency securities transferred to consolidated VIEs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Swaptions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REIT equity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futures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 of consolidated VIEs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Obligation to return U.S. Treasury securities borrowed under reverse repurchase agreements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a market approach using Level 2 inputs from third-party pricing services and dealer quotes.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September 30, 2014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April 2012, we completed a public offering in which 6.9 million shares of our Series A Preferred Stock were sold to the underwriters at a price of $24.2125 per share. Upon completion of the offering we received proceeds, net of offering expenses, of approximately $167 million. Our Series A Preferred Stock has no stated maturity and is not subject to any sinking fund or mandatory redemption. Under certain circumstances upon a change of control, our Series A Preferred Stock is convertible to shares of our common stock. Holders of Series A Preferred Stock have no voting rights, except under limited conditions, and holders are entitled to receive cumulative cash dividends at a rate of 8.000% per annum of the $25.00 per share liquidation preference before holders of our common stock are entitled to receive any dividends. Shares of our Series A Preferred Stock are redeemable at $25.00 per share plus accumulated and unpaid dividends (whether or not declared) exclusively at our option commencing on April 5, 2017, or earlier under certain circumstances intended to preserve our qualification as a REIT for Federal income tax purposes. Dividends are payable quarterly in arrears on the 15th day of each January, April, July and October. As of September 30, 2014, we had declared all required quarterly dividends on the Series A Preferred Stock.</w:t>
      </w:r>
    </w:p>
    <w:p>
      <w:pPr>
        <w:spacing w:after="0" w:line="11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Our Series B Preferred Stock has no stated maturity, is not subject to any sinking fund or mandatory redemption and ranks on parity with our Series A Preferred Stock. Under certain circumstances upon a change of control, our Series B Preferred Stock is convertible to shares of our common stock. Holders of depositary shares have no voting rights, except under limited conditions, and are entitled to receive cumulative cash dividends at a rate of 7.750% per annum of the $25.00 per depositary share liquidation preference before holders of our common stock are entitled to receive any dividends. Dividends are payable quarterly in arrears on the 15th day of each January, April, July and October. Depositary shares are redeemable at $25.00 per depositary share plus accumulated and unpaid dividends (whether or not declared) exclusively at our option commencing on May 8, 2019 or earlier under certain circumstances intended to preserve our qualification as a REIT for federal income tax purposes. As of September 30, 2014, we had declared all required quarterly dividends on the Series B Preferred Stock underlying our depositary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In October 2014, our Board of Directors extended its authorization through December 31, 2015.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did not repurchase any shares of our common stock during the three months ended September 30, 2014. During the nine months ended September 30, 2014, we repurchased approximately 3.4 million shares of our common stock at an average repurchase price of $22.10 per share, including expenses, totaling $74 million. As of September 30, 2014, the total remaining amount authorized for repurchases of our common stock was $992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changes to accumulated OCI for the three and nine months ended September 30, 2014 and 2013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Three Months Ended September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June 30,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Three Months Ended September 30, 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June 30,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Nine Months Ended September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Nine Months Ended September 30, 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tables summarize reclassifications out of accumulated OCI for the three and nine months ended September 30, 2014 and 2013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Gain amounts reclassified from accumulated OCI for available-for-sale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16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line="20" w:lineRule="exact"/>
              <w:rPr>
                <w:sz w:val="1"/>
                <w:szCs w:val="1"/>
                <w:color w:val="auto"/>
              </w:rPr>
            </w:pPr>
          </w:p>
        </w:tc>
      </w:tr>
      <w:tr>
        <w:trPr>
          <w:trHeight w:val="500"/>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(Gain) loss amounts reclassified from accumulated OCI for available-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for-sale MBS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16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6"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preserve our net book value (also referred to as "net asset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349" w:lineRule="exact"/>
        <w:rPr>
          <w:sz w:val="20"/>
          <w:szCs w:val="20"/>
          <w:color w:val="auto"/>
        </w:rPr>
      </w:pPr>
    </w:p>
    <w:p>
      <w:pPr>
        <w:jc w:val="both"/>
        <w:ind w:left="660" w:hanging="328"/>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77"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8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65"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3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will not protect our net book value against spread risk and, therefore, the value of our agency securities and our net book value could decline.</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fixed income markets were relatively stable during the first three quarters of 2014, a sharp contrast to the extreme interest rate volatility and price deterioration experienced in 2013. The consensus view at the start of 2014 was that interest rates would continue to increase and agency MBS spreads would widen as the Fed exited its third quantitative easing program ("QE3"). Weaker economic data and lower inflation expectations both domestically and abroad, however, led to a significant rally in interest rates and a flattening of the yield curve. Despite this unexpected movement in interest rates and the Fed’s gradual reduction of asset purchases, agency MBS outperformed other fixed income products over the first three quarters of 2014.</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relative outperformance of agency MBS was the primary driver of our aggregate economic return of 14.9% for the first three quarters of 2014, comprised of $1.95 dividends per common share and a $1.61 increase in our net book value per common share. The strong performance of agency MBS over this time period was driven by historically low mortgage origination volume, conservative portfolio positioning by fixed income investors who remain underweight agency MBS and the favorable "stock effect" of the Fed's ownership of approximately one third, or nearly $1.8 trillion of the agency MBS market as of September 30, 2014. Our performance also benefited from our active approach to portfolio management, which included repositioning our asset portfolio, modifying the composition of our hedge portfolio and operating with a larger duration gap (the estimated difference between the interest rate sensitivity of our assets and our liabilities and hedges).</w:t>
      </w:r>
    </w:p>
    <w:p>
      <w:pPr>
        <w:spacing w:after="0" w:line="13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By the start of 2014, we had increased our 15 year fixed rate mortgage position to just over 50% of our portfolio, which benefited our first quarter performance as 15 year MBS generally outperformed 30 year MBS during the first quarter on a hedge adjusted basis. In the second quarter, the price of higher coupon 15 year agency MBS increased significantly relative to other agency MBS instruments. In response to this strong relative performance, we reduced our 15 year position in favor of 30 year mortgages over the second and third quarters. As of September 30, 2014, 30 year mortgages represented 65% of our portfolio, a significant increase from 46% as of March 31, 2014.</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performance during the first three quarters of 2014 also benefited from favorable financing terms available in the TBA dollar roll market. Given the attractiveness of TBA investments, we allocated a larger portion of our portfolio to TBA securities, rather than holding our investments in pool form funded by repurchase agreements. For the first three quarters of 2014, our average TBA dollar roll position was $11.4 billion, or approximately 17% of our investment portfolio, compared to $2.3 billion, or approximately 3% of our investment portfolio as of December 31, 2013.</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Our decision to operate with a slightly larger duration gap during the first three quarters of 2014 was consistent with our moderate leverage profile, the asymmetry of our duration gap between contraction and extension risks and our assessment of the correlation between mortgage spreads and interest rates. When extension risk is viewed as more significant, we will tend to operate with a smaller duration gap. When extension risk is deemed less significant, we will tend to operate with a larger duration gap. (For further discussion of our interest rate sensitivity, refer to </w:t>
      </w:r>
      <w:r>
        <w:rPr>
          <w:rFonts w:ascii="Arial" w:cs="Arial" w:eastAsia="Arial" w:hAnsi="Arial"/>
          <w:sz w:val="17"/>
          <w:szCs w:val="17"/>
          <w:i w:val="1"/>
          <w:iCs w:val="1"/>
          <w:color w:val="auto"/>
        </w:rPr>
        <w:t>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in this Form 10-Q.) In contrast to the spread correlation that we experienced in 2013, agency MBS performance has generally been inversely</w:t>
      </w:r>
      <w:r>
        <w:rPr>
          <w:rFonts w:ascii="Arial" w:cs="Arial" w:eastAsia="Arial" w:hAnsi="Arial"/>
          <w:sz w:val="17"/>
          <w:szCs w:val="17"/>
          <w:i w:val="1"/>
          <w:iCs w:val="1"/>
          <w:color w:val="auto"/>
        </w:rPr>
        <w:t xml:space="preserve"> </w:t>
      </w:r>
      <w:r>
        <w:rPr>
          <w:rFonts w:ascii="Arial" w:cs="Arial" w:eastAsia="Arial" w:hAnsi="Arial"/>
          <w:sz w:val="17"/>
          <w:szCs w:val="17"/>
          <w:color w:val="auto"/>
        </w:rPr>
        <w:t>correlated with interest rate changes through the first three quarters of 2014, as spreads have widened when rates fell and tightened when rates rose. When agency MBS spreads are inversely correlated with interest rates, we tend to operate with a positive duration gap and when spreads are positively correlated with interest rates, we tend to operate with a very small or negative duration gap.</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Looking ahead, we believe our portfolio is well positioned for a wide range of interest rate scenarios. In a declining rate environment, our significant holding of assets with favorable prepayment characteristics should gain in value relative to other mortgage investments. As of September 30, 2014, 75% of our fixed-rate securities, or 55% including net TBA mortgage positions, were comprised of loans with slower prepayment attributes (e.g., loans originated under the U.S. Government sponsored Home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Affordable Refinance Program, or “HARP”, and mortgage pools backed by lower loan balances), providing our portfolio with a significant amount of prepayment protection in a lower rate environment. In a rising rate environment, agency MBS valuations should benefit from lower supply dynamics. In addition, we believe that the Fed will remain a significant purchaser of agency MBS given its stated policy to reinvest paydowns on its portfolio into new agency MBS holdings for a considerable time following the conclusion of QE3 in the fourth quarter of 2014. Finally, we believe TBA dollar roll financing will remain attractive for some period of time, even if funding rates were to rise above, or become less “special” than, levels experienced during the first three quarters of 2014.</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However, if conditions change resulting in higher interest rates and/or wider mortgage spreads, it would likely have an adverse impact on our net book value, assuming we took no further portfolio rebalancing actions. (For the estimated impact of changes in interests rates and mortgage spreads on our net book value please refer to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Furthermore, since we employ an active management strategy, the size and composition of our assets, liabilities and hedges will evolve based on our Manager’s view of the current market environment and relative risks and rewards and, consequently, the actual impact of changes in interest rates and mortgage spreads could differ materially from our estimates.</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interest rates and prices of generic fixed rate agency mortgage-backed securities as of each date presented below:</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Sept 30, 2014</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Sept 30, 2014</w:t>
            </w:r>
          </w:p>
        </w:tc>
        <w:tc>
          <w:tcPr>
            <w:tcW w:w="0" w:type="dxa"/>
            <w:vAlign w:val="bottom"/>
          </w:tcPr>
          <w:p>
            <w:pPr>
              <w:spacing w:after="0"/>
              <w:rPr>
                <w:sz w:val="1"/>
                <w:szCs w:val="1"/>
                <w:color w:val="auto"/>
              </w:rPr>
            </w:pPr>
          </w:p>
        </w:tc>
      </w:tr>
      <w:tr>
        <w:trPr>
          <w:trHeight w:val="149"/>
        </w:trPr>
        <w:tc>
          <w:tcPr>
            <w:tcW w:w="42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1"/>
                <w:szCs w:val="11"/>
                <w:b w:val="1"/>
                <w:bCs w:val="1"/>
                <w:color w:val="auto"/>
              </w:rPr>
              <w:t>1</w:t>
            </w:r>
          </w:p>
        </w:tc>
        <w:tc>
          <w:tcPr>
            <w:tcW w:w="12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 31,</w:t>
            </w: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77"/>
              </w:rPr>
              <w:t>vs.</w:t>
            </w:r>
          </w:p>
        </w:tc>
        <w:tc>
          <w:tcPr>
            <w:tcW w:w="480" w:type="dxa"/>
            <w:vAlign w:val="bottom"/>
          </w:tcPr>
          <w:p>
            <w:pPr>
              <w:spacing w:after="0"/>
              <w:rPr>
                <w:sz w:val="12"/>
                <w:szCs w:val="12"/>
                <w:color w:val="auto"/>
              </w:rPr>
            </w:pPr>
          </w:p>
        </w:tc>
        <w:tc>
          <w:tcPr>
            <w:tcW w:w="640" w:type="dxa"/>
            <w:vAlign w:val="bottom"/>
          </w:tcPr>
          <w:p>
            <w:pPr>
              <w:jc w:val="center"/>
              <w:ind w:right="371"/>
              <w:spacing w:after="0"/>
              <w:rPr>
                <w:sz w:val="20"/>
                <w:szCs w:val="20"/>
                <w:color w:val="auto"/>
              </w:rPr>
            </w:pPr>
            <w:r>
              <w:rPr>
                <w:rFonts w:ascii="Arial" w:cs="Arial" w:eastAsia="Arial" w:hAnsi="Arial"/>
                <w:sz w:val="13"/>
                <w:szCs w:val="13"/>
                <w:b w:val="1"/>
                <w:bCs w:val="1"/>
                <w:color w:val="auto"/>
                <w:w w:val="88"/>
              </w:rPr>
              <w:t>vs.</w:t>
            </w:r>
          </w:p>
        </w:tc>
        <w:tc>
          <w:tcPr>
            <w:tcW w:w="0" w:type="dxa"/>
            <w:vAlign w:val="bottom"/>
          </w:tcPr>
          <w:p>
            <w:pPr>
              <w:spacing w:after="0"/>
              <w:rPr>
                <w:sz w:val="1"/>
                <w:szCs w:val="1"/>
                <w:color w:val="auto"/>
              </w:rPr>
            </w:pPr>
          </w:p>
        </w:tc>
      </w:tr>
      <w:tr>
        <w:trPr>
          <w:trHeight w:val="178"/>
        </w:trPr>
        <w:tc>
          <w:tcPr>
            <w:tcW w:w="42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Sept 30, 2013</w:t>
            </w:r>
          </w:p>
        </w:tc>
        <w:tc>
          <w:tcPr>
            <w:tcW w:w="120" w:type="dxa"/>
            <w:vAlign w:val="bottom"/>
          </w:tcPr>
          <w:p>
            <w:pPr>
              <w:spacing w:after="0"/>
              <w:rPr>
                <w:sz w:val="15"/>
                <w:szCs w:val="15"/>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Dec. 31, 2013</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Sept 30, 2014</w:t>
            </w:r>
          </w:p>
        </w:tc>
        <w:tc>
          <w:tcPr>
            <w:tcW w:w="12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June 30, 2014</w:t>
            </w:r>
          </w:p>
        </w:tc>
        <w:tc>
          <w:tcPr>
            <w:tcW w:w="10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 31, 2013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LIBOR:</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480" w:type="dxa"/>
            <w:vAlign w:val="bottom"/>
          </w:tcPr>
          <w:p>
            <w:pPr>
              <w:jc w:val="right"/>
              <w:spacing w:after="0"/>
              <w:rPr>
                <w:sz w:val="20"/>
                <w:szCs w:val="20"/>
                <w:color w:val="auto"/>
              </w:rPr>
            </w:pPr>
            <w:r>
              <w:rPr>
                <w:rFonts w:ascii="Arial" w:cs="Arial" w:eastAsia="Arial" w:hAnsi="Arial"/>
                <w:sz w:val="14"/>
                <w:szCs w:val="14"/>
                <w:color w:val="auto"/>
              </w:rPr>
              <w:t>--0.01</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Security Rate:</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0.57%</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0.63%</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0.78%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0.90%</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0.87%</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+0.17</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480" w:type="dxa"/>
            <w:vAlign w:val="bottom"/>
          </w:tcPr>
          <w:p>
            <w:pPr>
              <w:jc w:val="right"/>
              <w:spacing w:after="0"/>
              <w:rPr>
                <w:sz w:val="20"/>
                <w:szCs w:val="20"/>
                <w:color w:val="auto"/>
              </w:rPr>
            </w:pPr>
            <w:r>
              <w:rPr>
                <w:rFonts w:ascii="Arial" w:cs="Arial" w:eastAsia="Arial" w:hAnsi="Arial"/>
                <w:sz w:val="14"/>
                <w:szCs w:val="14"/>
                <w:color w:val="auto"/>
              </w:rPr>
              <w:t>+0.26</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2.61%</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3.03%</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2.49%</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480" w:type="dxa"/>
            <w:vAlign w:val="bottom"/>
          </w:tcPr>
          <w:p>
            <w:pPr>
              <w:jc w:val="right"/>
              <w:spacing w:after="0"/>
              <w:rPr>
                <w:sz w:val="20"/>
                <w:szCs w:val="20"/>
                <w:color w:val="auto"/>
              </w:rPr>
            </w:pPr>
            <w:r>
              <w:rPr>
                <w:rFonts w:ascii="Arial" w:cs="Arial" w:eastAsia="Arial" w:hAnsi="Arial"/>
                <w:sz w:val="14"/>
                <w:szCs w:val="14"/>
                <w:color w:val="auto"/>
              </w:rPr>
              <w:t>--0.54</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Swap Rate:</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0.76%</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1.30%</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+0.30</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480" w:type="dxa"/>
            <w:vAlign w:val="bottom"/>
          </w:tcPr>
          <w:p>
            <w:pPr>
              <w:jc w:val="right"/>
              <w:spacing w:after="0"/>
              <w:rPr>
                <w:sz w:val="20"/>
                <w:szCs w:val="20"/>
                <w:color w:val="auto"/>
              </w:rPr>
            </w:pPr>
            <w:r>
              <w:rPr>
                <w:rFonts w:ascii="Arial" w:cs="Arial" w:eastAsia="Arial" w:hAnsi="Arial"/>
                <w:sz w:val="14"/>
                <w:szCs w:val="14"/>
                <w:color w:val="auto"/>
              </w:rPr>
              <w:t>+0.42</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2.77%</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3.09%</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2.63%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2.64%</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720" w:type="dxa"/>
            <w:vAlign w:val="bottom"/>
            <w:gridSpan w:val="2"/>
          </w:tcPr>
          <w:p>
            <w:pPr>
              <w:ind w:left="80"/>
              <w:spacing w:after="0"/>
              <w:rPr>
                <w:sz w:val="20"/>
                <w:szCs w:val="20"/>
                <w:color w:val="auto"/>
              </w:rPr>
            </w:pPr>
            <w:r>
              <w:rPr>
                <w:rFonts w:ascii="Arial" w:cs="Arial" w:eastAsia="Arial" w:hAnsi="Arial"/>
                <w:sz w:val="14"/>
                <w:szCs w:val="14"/>
                <w:color w:val="auto"/>
              </w:rPr>
              <w:t>bps</w:t>
            </w:r>
          </w:p>
        </w:tc>
        <w:tc>
          <w:tcPr>
            <w:tcW w:w="480" w:type="dxa"/>
            <w:vAlign w:val="bottom"/>
          </w:tcPr>
          <w:p>
            <w:pPr>
              <w:jc w:val="right"/>
              <w:spacing w:after="0"/>
              <w:rPr>
                <w:sz w:val="20"/>
                <w:szCs w:val="20"/>
                <w:color w:val="auto"/>
              </w:rPr>
            </w:pPr>
            <w:r>
              <w:rPr>
                <w:rFonts w:ascii="Arial" w:cs="Arial" w:eastAsia="Arial" w:hAnsi="Arial"/>
                <w:sz w:val="14"/>
                <w:szCs w:val="14"/>
                <w:color w:val="auto"/>
              </w:rPr>
              <w:t>--0.45</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bps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30-Year Fixed Rate MBS Price:</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$95.11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$98.59</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-$0.18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+$3.48</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$101.83</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$99.48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$100.59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$102.92</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$102.23</w:t>
            </w:r>
          </w:p>
        </w:tc>
        <w:tc>
          <w:tcPr>
            <w:tcW w:w="12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-$0.69</w:t>
            </w:r>
          </w:p>
        </w:tc>
        <w:tc>
          <w:tcPr>
            <w:tcW w:w="100" w:type="dxa"/>
            <w:vAlign w:val="bottom"/>
          </w:tcPr>
          <w:p>
            <w:pPr>
              <w:spacing w:after="0"/>
              <w:rPr>
                <w:sz w:val="22"/>
                <w:szCs w:val="22"/>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+$2.75</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$104.86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$103.94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$106.11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$105.41</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-$0.70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+$2.30</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$106.80</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$106.69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$108.30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$107.91</w:t>
            </w:r>
          </w:p>
        </w:tc>
        <w:tc>
          <w:tcPr>
            <w:tcW w:w="12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-$0.39</w:t>
            </w:r>
          </w:p>
        </w:tc>
        <w:tc>
          <w:tcPr>
            <w:tcW w:w="100" w:type="dxa"/>
            <w:vAlign w:val="bottom"/>
          </w:tcPr>
          <w:p>
            <w:pPr>
              <w:spacing w:after="0"/>
              <w:rPr>
                <w:sz w:val="22"/>
                <w:szCs w:val="22"/>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+$1.85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15-Year Fixed Rate MBS Price:</w:t>
            </w: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$100.61</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$99.00</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$99.92</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$101.59</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$100.55</w:t>
            </w:r>
          </w:p>
        </w:tc>
        <w:tc>
          <w:tcPr>
            <w:tcW w:w="12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-$1.04</w:t>
            </w:r>
          </w:p>
        </w:tc>
        <w:tc>
          <w:tcPr>
            <w:tcW w:w="100" w:type="dxa"/>
            <w:vAlign w:val="bottom"/>
          </w:tcPr>
          <w:p>
            <w:pPr>
              <w:spacing w:after="0"/>
              <w:rPr>
                <w:sz w:val="22"/>
                <w:szCs w:val="22"/>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+$1.55</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$102.05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$102.72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$102.98</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-$0.90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+$0.93</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$105.58</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$104.58</w:t>
            </w:r>
          </w:p>
        </w:tc>
        <w:tc>
          <w:tcPr>
            <w:tcW w:w="1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$104.83</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$105.11</w:t>
            </w:r>
          </w:p>
        </w:tc>
        <w:tc>
          <w:tcPr>
            <w:tcW w:w="12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-$0.87</w:t>
            </w:r>
          </w:p>
        </w:tc>
        <w:tc>
          <w:tcPr>
            <w:tcW w:w="100" w:type="dxa"/>
            <w:vAlign w:val="bottom"/>
          </w:tcPr>
          <w:p>
            <w:pPr>
              <w:spacing w:after="0"/>
              <w:rPr>
                <w:sz w:val="22"/>
                <w:szCs w:val="22"/>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2"/>
              </w:rPr>
              <w:t>+$0.53</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$106.25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$105.78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$105.69</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-$0.48</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-$0.25</w:t>
            </w:r>
          </w:p>
        </w:tc>
        <w:tc>
          <w:tcPr>
            <w:tcW w:w="0" w:type="dxa"/>
            <w:vAlign w:val="bottom"/>
          </w:tcPr>
          <w:p>
            <w:pPr>
              <w:spacing w:after="0"/>
              <w:rPr>
                <w:sz w:val="1"/>
                <w:szCs w:val="1"/>
                <w:color w:val="auto"/>
              </w:rPr>
            </w:pPr>
          </w:p>
        </w:tc>
      </w:tr>
      <w:tr>
        <w:trPr>
          <w:trHeight w:val="209"/>
        </w:trPr>
        <w:tc>
          <w:tcPr>
            <w:tcW w:w="422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336"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can vary by source. Prices in the table above were obtained from a combination of Bloomberg and dealer indications. Interest rates were obtained from Bloomberg.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Sept.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AGNC portfolio</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jc w:val="right"/>
              <w:ind w:right="2322"/>
              <w:spacing w:after="0"/>
              <w:rPr>
                <w:sz w:val="20"/>
                <w:szCs w:val="20"/>
                <w:color w:val="auto"/>
              </w:rPr>
            </w:pPr>
            <w:r>
              <w:rPr>
                <w:rFonts w:ascii="Arial" w:cs="Arial" w:eastAsia="Arial" w:hAnsi="Arial"/>
                <w:sz w:val="18"/>
                <w:szCs w:val="18"/>
                <w:color w:val="auto"/>
                <w:w w:val="88"/>
              </w:rPr>
              <w:t>________________________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and December 31, 2013, our investment portfolio consisted of $51.7 billion and $65.9 billion of agency MBS, respectively, and a $17.7 billion and $2.3 billion net long TBA position, at fair value, respectively.</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September 30, 2014 and December 31, 2013, our TBA position had a net carrying value of $(21) million and $(5)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certain characteristics of our agency MBS investment portfolio and our net TBA position as of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2014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Lower</w:t>
            </w:r>
          </w:p>
        </w:tc>
        <w:tc>
          <w:tcPr>
            <w:tcW w:w="660" w:type="dxa"/>
            <w:vAlign w:val="bottom"/>
          </w:tcPr>
          <w:p>
            <w:pPr>
              <w:spacing w:after="0"/>
              <w:rPr>
                <w:sz w:val="18"/>
                <w:szCs w:val="18"/>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Weighted Average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4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Agency MBS Classified as Available-</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Projected Life</w:t>
            </w:r>
          </w:p>
        </w:tc>
        <w:tc>
          <w:tcPr>
            <w:tcW w:w="0" w:type="dxa"/>
            <w:vAlign w:val="bottom"/>
          </w:tcPr>
          <w:p>
            <w:pPr>
              <w:spacing w:after="0"/>
              <w:rPr>
                <w:sz w:val="1"/>
                <w:szCs w:val="1"/>
                <w:color w:val="auto"/>
              </w:rPr>
            </w:pPr>
          </w:p>
        </w:tc>
      </w:tr>
      <w:tr>
        <w:trPr>
          <w:trHeight w:val="65"/>
        </w:trPr>
        <w:tc>
          <w:tcPr>
            <w:tcW w:w="2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2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for-Sale ("AFS")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2,3</w:t>
            </w:r>
          </w:p>
        </w:tc>
        <w:tc>
          <w:tcPr>
            <w:tcW w:w="1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4,546</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3.49%</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3.93%</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5,212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6.47%</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81</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22,578</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22,745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3.69%</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64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4.53%</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4.89%</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5.91%</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64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55%</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4.04%</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98.9%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3.58%</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4.03%</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11,054</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4.37%</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4.96%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5.45%</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77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6.23%</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25,390</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105.5%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25,132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79%</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4.27%</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29</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49,236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4.00%</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3.75%</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4.28%</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Total / Weighted Average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49,225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51,344</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104.3%</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51,316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71%</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7"/>
              </w:rPr>
              <w:t>September 30, 2014</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Amortized</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5.48%</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900" w:type="dxa"/>
            <w:vAlign w:val="bottom"/>
            <w:gridSpan w:val="2"/>
          </w:tcPr>
          <w:p>
            <w:pPr>
              <w:jc w:val="center"/>
              <w:ind w:right="48"/>
              <w:spacing w:after="0"/>
              <w:rPr>
                <w:sz w:val="20"/>
                <w:szCs w:val="20"/>
                <w:color w:val="auto"/>
              </w:rPr>
            </w:pPr>
            <w:r>
              <w:rPr>
                <w:rFonts w:ascii="Arial" w:cs="Arial" w:eastAsia="Arial" w:hAnsi="Arial"/>
                <w:sz w:val="14"/>
                <w:szCs w:val="14"/>
                <w:color w:val="auto"/>
                <w:w w:val="98"/>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3.28%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was 3.53% and the weighted average coupon on our total agency MBS portfolio, including agency MBS remeasured at fair value through earnings, was 3.65% as of September 30, 2014.</w:t>
      </w:r>
    </w:p>
    <w:p>
      <w:pPr>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$98,000 and $96,000 for 15-year and 30-year securities, respectively, as of September 30, 2014.</w:t>
      </w:r>
    </w:p>
    <w:p>
      <w:pPr>
        <w:jc w:val="both"/>
        <w:ind w:left="660" w:hanging="328"/>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108% and 113% for 15-year and 30-year securities, respectively, as of September 30, 2014. Includes $938 million and $2.9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September 30, 2014.</w:t>
      </w:r>
    </w:p>
    <w:p>
      <w:pPr>
        <w:spacing w:after="0" w:line="200" w:lineRule="exact"/>
        <w:rPr>
          <w:sz w:val="20"/>
          <w:szCs w:val="20"/>
          <w:color w:val="auto"/>
        </w:rPr>
      </w:pPr>
    </w:p>
    <w:p>
      <w:pPr>
        <w:spacing w:after="0" w:line="393"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Notional</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 Long</w:t>
            </w:r>
          </w:p>
        </w:tc>
        <w:tc>
          <w:tcPr>
            <w:tcW w:w="160" w:type="dxa"/>
            <w:vAlign w:val="bottom"/>
          </w:tcPr>
          <w:p>
            <w:pPr>
              <w:spacing w:after="0"/>
              <w:rPr>
                <w:sz w:val="12"/>
                <w:szCs w:val="12"/>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2</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 xml:space="preserve">(Short)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10,837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20,030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68" w:right="2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 2013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Lower</w:t>
            </w:r>
          </w:p>
        </w:tc>
        <w:tc>
          <w:tcPr>
            <w:tcW w:w="680" w:type="dxa"/>
            <w:vAlign w:val="bottom"/>
          </w:tcPr>
          <w:p>
            <w:pPr>
              <w:spacing w:after="0"/>
              <w:rPr>
                <w:sz w:val="18"/>
                <w:szCs w:val="18"/>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20" w:type="dxa"/>
            <w:vAlign w:val="bottom"/>
            <w:gridSpan w:val="2"/>
            <w:vMerge w:val="restart"/>
          </w:tcPr>
          <w:p>
            <w:pPr>
              <w:ind w:left="160"/>
              <w:spacing w:after="0" w:line="139"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 Classified as AFS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0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5"/>
                <w:szCs w:val="5"/>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2,3</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70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70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11,189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11,400</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2.96%</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6,220</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3.48%</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14,632</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3.93%</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5,981</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4.40%</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619</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4.87%</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74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38,861</w:t>
            </w:r>
          </w:p>
        </w:tc>
        <w:tc>
          <w:tcPr>
            <w:tcW w:w="1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55%</w:t>
            </w:r>
          </w:p>
        </w:tc>
        <w:tc>
          <w:tcPr>
            <w:tcW w:w="12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3.66%</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99.2%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3.55%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4.05%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4.53%</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4.89%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67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4.05%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58"/>
        </w:trPr>
        <w:tc>
          <w:tcPr>
            <w:tcW w:w="274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3.69%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9,051</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8,477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4.02%</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9,669</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4.46%</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4,355</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4.95%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5.46%</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108.8%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23,832</w:t>
            </w:r>
          </w:p>
        </w:tc>
        <w:tc>
          <w:tcPr>
            <w:tcW w:w="14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22,915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50"/>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Total Fixed Rate</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64,057</w:t>
            </w:r>
          </w:p>
        </w:tc>
        <w:tc>
          <w:tcPr>
            <w:tcW w:w="1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62,961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3.95%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2.58%</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66,593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3.93%</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vMerge w:val="restart"/>
          </w:tcPr>
          <w:p>
            <w:pPr>
              <w:jc w:val="center"/>
              <w:ind w:right="688"/>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4"/>
              </w:rPr>
              <w:t xml:space="preserve">Coupon </w:t>
            </w:r>
            <w:r>
              <w:rPr>
                <w:rFonts w:ascii="Arial" w:cs="Arial" w:eastAsia="Arial" w:hAnsi="Arial"/>
                <w:sz w:val="8"/>
                <w:szCs w:val="8"/>
                <w:b w:val="1"/>
                <w:bCs w:val="1"/>
                <w:color w:val="auto"/>
                <w:w w:val="94"/>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 xml:space="preserve">Yield </w:t>
            </w:r>
            <w:r>
              <w:rPr>
                <w:rFonts w:ascii="Arial" w:cs="Arial" w:eastAsia="Arial" w:hAnsi="Arial"/>
                <w:sz w:val="8"/>
                <w:szCs w:val="8"/>
                <w:b w:val="1"/>
                <w:bCs w:val="1"/>
                <w:color w:val="auto"/>
                <w:w w:val="90"/>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Projected Life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5.50%</w:t>
            </w:r>
          </w:p>
        </w:tc>
        <w:tc>
          <w:tcPr>
            <w:tcW w:w="920" w:type="dxa"/>
            <w:vAlign w:val="bottom"/>
            <w:gridSpan w:val="3"/>
            <w:shd w:val="clear" w:color="auto" w:fill="CCEEFF"/>
          </w:tcPr>
          <w:p>
            <w:pPr>
              <w:jc w:val="center"/>
              <w:ind w:left="148"/>
              <w:spacing w:after="0"/>
              <w:rPr>
                <w:sz w:val="20"/>
                <w:szCs w:val="20"/>
                <w:color w:val="auto"/>
              </w:rPr>
            </w:pPr>
            <w:r>
              <w:rPr>
                <w:rFonts w:ascii="Arial" w:cs="Arial" w:eastAsia="Arial" w:hAnsi="Arial"/>
                <w:sz w:val="14"/>
                <w:szCs w:val="14"/>
                <w:color w:val="auto"/>
                <w:w w:val="95"/>
              </w:rPr>
              <w:t>7.63%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Principal-Only Strips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3.84%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4.59%</w:t>
            </w:r>
          </w:p>
        </w:tc>
        <w:tc>
          <w:tcPr>
            <w:tcW w:w="920" w:type="dxa"/>
            <w:vAlign w:val="bottom"/>
            <w:gridSpan w:val="3"/>
            <w:shd w:val="clear" w:color="auto" w:fill="CCEEFF"/>
          </w:tcPr>
          <w:p>
            <w:pPr>
              <w:jc w:val="center"/>
              <w:ind w:left="148"/>
              <w:spacing w:after="0"/>
              <w:rPr>
                <w:sz w:val="20"/>
                <w:szCs w:val="20"/>
                <w:color w:val="auto"/>
              </w:rPr>
            </w:pPr>
            <w:r>
              <w:rPr>
                <w:rFonts w:ascii="Arial" w:cs="Arial" w:eastAsia="Arial" w:hAnsi="Arial"/>
                <w:sz w:val="14"/>
                <w:szCs w:val="14"/>
                <w:color w:val="auto"/>
                <w:w w:val="95"/>
              </w:rPr>
              <w:t>5.80%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held as of December 31, 2013 was 3.47% and the weighted average coupon on our total agency MBS portfolio, including agency MBS remeasured at fair value through earnings, held as of December 31, 2013 was 3.58%.</w:t>
      </w: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up to ≤ $150,000. Our lower loan balance securities had a weighted average original loan balance of $100,000 and $95,000 for 15-year and 30-year securities, respectively, as of December 31, 2013.</w:t>
      </w: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106% and 105% for 15-year and 30-year securities, respectively, as of December 31, 2013.</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5" w:name="page36"/>
    <w:bookmarkEnd w:id="35"/>
    <w:tbl>
      <w:tblPr>
        <w:tblLayout w:type="fixed"/>
        <w:tblInd w:w="174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Notional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8"/>
                <w:szCs w:val="8"/>
                <w:b w:val="1"/>
                <w:bCs w:val="1"/>
                <w:color w:val="auto"/>
                <w:w w:val="91"/>
              </w:rPr>
              <w:t>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 xml:space="preserve">Long / (Short)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2014 and December 31, 2013, the combined weighted average yield of our agency MBS portfolio, inclusive of interest and principal-only strips, was 2.78% and 2.70%, respectively.</w:t>
      </w:r>
    </w:p>
    <w:p>
      <w:pPr>
        <w:spacing w:after="0" w:line="116"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stated contractual final maturity of the mortgage loans underlying our agency MBS portfolio ranges up to 40 years. As of September 30, 2014 and December 31, 2013, the weighted average final contractual maturity of our agency MBS portfolio was 21 and 19 years, respectively.</w:t>
      </w:r>
    </w:p>
    <w:p>
      <w:pPr>
        <w:spacing w:after="0" w:line="9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actual maturities of agency MBS are generally shorter than their stated contractual maturities primarily as a result of prepayments of principal of the underlying mortgages. The weighted average expected maturity of our agency MBS portfolio was 6.8 and 6.5 years as of September 30, 2014 and December 31, 2013, respectively. In determining the estimated weighted average years to maturity of our agency MBS and the yield on our agency MBS, we have assumed a weighted average CPR over the remaining life of our agency MBS portfolio of 8% and 7% as of September 30, 2014 and December 31, 2013, respectively. We amortize or accrete premiums and discounts associated with purchases of our agency MBS into interest income over the estimated life of our securities based on actual and projected CPRs, using the effective yield method. Since the weighted average cost basis of our agency MBS portfolio, including principal and interest-only strips, was 104.6% of par value as of September 30, 2014, slower actual and projected prepayments can have a meaningful positive impact on our asset yields, while faster actual or projected prepayments can have a meaningful negative impact on our asset yields.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at fair value, according to their estimated weighted average life classifications as of September 30, 2014 and December 31, 2013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Estimated Weighted Average Life of Agency MBS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Classified as Available-for-Sale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2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4.19%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19,687</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2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29,536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29,769</w:t>
            </w:r>
          </w:p>
        </w:tc>
        <w:tc>
          <w:tcPr>
            <w:tcW w:w="1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3.65%</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1,645</w:t>
            </w:r>
          </w:p>
        </w:tc>
        <w:tc>
          <w:tcPr>
            <w:tcW w:w="14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3.11%</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51,344</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3.53%</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2.76%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8" w:right="239" w:bottom="1440" w:gutter="0" w:footer="0" w:header="0"/>
        </w:sectPr>
      </w:pPr>
    </w:p>
    <w:bookmarkStart w:id="36" w:name="page37"/>
    <w:bookmarkEnd w:id="36"/>
    <w:p>
      <w:pPr>
        <w:jc w:val="both"/>
        <w:ind w:firstLine="432"/>
        <w:spacing w:after="0" w:line="308" w:lineRule="auto"/>
        <w:rPr>
          <w:sz w:val="20"/>
          <w:szCs w:val="20"/>
          <w:color w:val="auto"/>
        </w:rPr>
      </w:pPr>
      <w:r>
        <w:rPr>
          <w:rFonts w:ascii="Arial" w:cs="Arial" w:eastAsia="Arial" w:hAnsi="Arial"/>
          <w:sz w:val="17"/>
          <w:szCs w:val="17"/>
          <w:color w:val="auto"/>
        </w:rPr>
        <w:t>The weighted average life of our interest-only strips was 6.5 and 6.3 years as of September 30, 2014 and December 31, 2013, respectively, and the weighted average life of our principal-only strips was 8.7 and 8.6 years as of September 30, 2014 and December 31, 2013, respectively.</w:t>
      </w:r>
    </w:p>
    <w:p>
      <w:pPr>
        <w:spacing w:after="0" w:line="93"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pass-through agency MBS collateralized by adjustable rate mortgage loans ("ARMs") have coupons linked to various indices. As of September 30, 2014 and December 31, 2013, our ARM securities had a weighted average next reset date of 55 months and 64 months, respectively.</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September 30, 2014 and December 31, 2013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6"/>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r>
      <w:tr>
        <w:trPr>
          <w:trHeight w:val="153"/>
        </w:trPr>
        <w:tc>
          <w:tcPr>
            <w:tcW w:w="4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00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258"/>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42,853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44,439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September 30, 2014,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and nine months ended September 30, 2014. However, as we continue to actively manage our portfolio, we may recognize additional realized losses on our agency securities upon selecting specific securities to sell.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 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w:t>
      </w:r>
    </w:p>
    <w:p>
      <w:pPr>
        <w:spacing w:after="0" w:line="1" w:lineRule="exact"/>
        <w:rPr>
          <w:sz w:val="20"/>
          <w:szCs w:val="20"/>
          <w:color w:val="auto"/>
        </w:rPr>
      </w:pPr>
    </w:p>
    <w:p>
      <w:pPr>
        <w:jc w:val="both"/>
        <w:ind w:firstLine="8"/>
        <w:spacing w:after="0" w:line="252" w:lineRule="auto"/>
        <w:tabs>
          <w:tab w:leader="none" w:pos="2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2014 and December 31, 2013 and our condensed consolidated statements of comprehensive income and key statistics for the three and nine months ended September 30, 2014 and 2013 (in millions,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portfolio,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51,730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65,941</w:t>
            </w:r>
          </w:p>
        </w:tc>
        <w:tc>
          <w:tcPr>
            <w:tcW w:w="0" w:type="dxa"/>
            <w:vAlign w:val="bottom"/>
          </w:tcPr>
          <w:p>
            <w:pPr>
              <w:spacing w:after="0"/>
              <w:rPr>
                <w:sz w:val="1"/>
                <w:szCs w:val="1"/>
                <w:color w:val="auto"/>
              </w:rPr>
            </w:pPr>
          </w:p>
        </w:tc>
      </w:tr>
      <w:tr>
        <w:trPr>
          <w:trHeight w:val="237"/>
        </w:trPr>
        <w:tc>
          <w:tcPr>
            <w:tcW w:w="882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62,348</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76,255</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46,123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64,443</w:t>
            </w:r>
          </w:p>
        </w:tc>
        <w:tc>
          <w:tcPr>
            <w:tcW w:w="0" w:type="dxa"/>
            <w:vAlign w:val="bottom"/>
          </w:tcPr>
          <w:p>
            <w:pPr>
              <w:spacing w:after="0"/>
              <w:rPr>
                <w:sz w:val="1"/>
                <w:szCs w:val="1"/>
                <w:color w:val="auto"/>
              </w:rPr>
            </w:pPr>
          </w:p>
        </w:tc>
      </w:tr>
      <w:tr>
        <w:trPr>
          <w:trHeight w:val="237"/>
        </w:trPr>
        <w:tc>
          <w:tcPr>
            <w:tcW w:w="882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52,991</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67,558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8,697</w:t>
            </w:r>
          </w:p>
        </w:tc>
        <w:tc>
          <w:tcPr>
            <w:tcW w:w="0" w:type="dxa"/>
            <w:vAlign w:val="bottom"/>
          </w:tcPr>
          <w:p>
            <w:pPr>
              <w:spacing w:after="0"/>
              <w:rPr>
                <w:sz w:val="1"/>
                <w:szCs w:val="1"/>
                <w:color w:val="auto"/>
              </w:rPr>
            </w:pPr>
          </w:p>
        </w:tc>
      </w:tr>
      <w:tr>
        <w:trPr>
          <w:trHeight w:val="311"/>
        </w:trPr>
        <w:tc>
          <w:tcPr>
            <w:tcW w:w="8820" w:type="dxa"/>
            <w:vAlign w:val="bottom"/>
            <w:gridSpan w:val="2"/>
          </w:tcPr>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20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r>
      <w:tr>
        <w:trPr>
          <w:trHeight w:val="23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4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3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r>
      <w:tr>
        <w:trPr>
          <w:trHeight w:val="270"/>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r>
      <w:tr>
        <w:trPr>
          <w:trHeight w:val="250"/>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 xml:space="preserve">Other (loss) income, net </w:t>
            </w:r>
            <w:r>
              <w:rPr>
                <w:rFonts w:ascii="Arial" w:cs="Arial" w:eastAsia="Arial" w:hAnsi="Arial"/>
                <w:sz w:val="21"/>
                <w:szCs w:val="21"/>
                <w:color w:val="auto"/>
                <w:vertAlign w:val="superscript"/>
              </w:rPr>
              <w:t>2</w:t>
            </w: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 net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1,359</w:t>
            </w: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84"/>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 available (attributable) to common shareholders</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1,349</w:t>
            </w:r>
          </w:p>
        </w:tc>
      </w:tr>
      <w:tr>
        <w:trPr>
          <w:trHeight w:val="284"/>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197</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1,359</w:t>
            </w: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comprehensive (loss) income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Comprehensive (loss)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84"/>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(loss) income (attributable) available to common shareholders</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(1,324)</w:t>
            </w:r>
          </w:p>
        </w:tc>
      </w:tr>
      <w:tr>
        <w:trPr>
          <w:trHeight w:val="284"/>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90"/>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381.2</w:t>
            </w:r>
          </w:p>
        </w:tc>
      </w:tr>
      <w:tr>
        <w:trPr>
          <w:trHeight w:val="237"/>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 - basic and diluted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(loss) income per common share - basic and diluted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237"/>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Three Months Ended September 30,</w:t>
            </w: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36"/>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agency securities, at par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$50,498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$82,751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$54,955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$75,841</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Average agency securities, at cost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$52,767</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$86,407</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$57,469</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$79,744</w:t>
            </w:r>
          </w:p>
        </w:tc>
      </w:tr>
      <w:tr>
        <w:trPr>
          <w:trHeight w:val="33"/>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total assets, at fair value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$64,061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$109,309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$68,438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$101,964</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Average net TBA dollar roll position, at cost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$15,680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$131</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$11,433</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$15,577</w:t>
            </w:r>
          </w:p>
        </w:tc>
      </w:tr>
      <w:tr>
        <w:trPr>
          <w:trHeight w:val="33"/>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repurchase agreements and other debt </w:t>
            </w:r>
            <w:r>
              <w:rPr>
                <w:rFonts w:ascii="Arial" w:cs="Arial" w:eastAsia="Arial" w:hAnsi="Arial"/>
                <w:sz w:val="21"/>
                <w:szCs w:val="21"/>
                <w:color w:val="auto"/>
                <w:vertAlign w:val="superscript"/>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$46,694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$78,845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$51,516</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$71,862</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$9,455</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$10,064</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$9,256</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$10,718</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6</w:t>
            </w:r>
          </w:p>
        </w:tc>
        <w:tc>
          <w:tcPr>
            <w:tcW w:w="1120" w:type="dxa"/>
            <w:vAlign w:val="bottom"/>
          </w:tcPr>
          <w:p>
            <w:pPr>
              <w:jc w:val="right"/>
              <w:spacing w:after="0"/>
              <w:rPr>
                <w:sz w:val="20"/>
                <w:szCs w:val="20"/>
                <w:color w:val="auto"/>
              </w:rPr>
            </w:pPr>
            <w:r>
              <w:rPr>
                <w:rFonts w:ascii="Arial" w:cs="Arial" w:eastAsia="Arial" w:hAnsi="Arial"/>
                <w:sz w:val="16"/>
                <w:szCs w:val="16"/>
                <w:color w:val="auto"/>
              </w:rPr>
              <w:t>2.71 %</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2.75 %</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Average net interest rate spread</w:t>
            </w:r>
          </w:p>
        </w:tc>
        <w:tc>
          <w:tcPr>
            <w:tcW w:w="112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33"/>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1120" w:type="dxa"/>
            <w:vAlign w:val="bottom"/>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3.54 %</w:t>
            </w:r>
          </w:p>
        </w:tc>
      </w:tr>
      <w:tr>
        <w:trPr>
          <w:trHeight w:val="33"/>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Net comprehensive (loss) income return on average common equity - annualized </w:t>
            </w:r>
            <w:r>
              <w:rPr>
                <w:rFonts w:ascii="Arial" w:cs="Arial" w:eastAsia="Arial" w:hAnsi="Arial"/>
                <w:sz w:val="21"/>
                <w:szCs w:val="21"/>
                <w:color w:val="auto"/>
                <w:vertAlign w:val="superscript"/>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Economic (loss) return on common equity - annualized </w:t>
            </w:r>
            <w:r>
              <w:rPr>
                <w:rFonts w:ascii="Arial" w:cs="Arial" w:eastAsia="Arial" w:hAnsi="Arial"/>
                <w:sz w:val="21"/>
                <w:szCs w:val="21"/>
                <w:color w:val="auto"/>
                <w:vertAlign w:val="superscript"/>
              </w:rPr>
              <w:t>11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12</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6.7:1</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13</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8.2:1</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7.9:1</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7.2:1</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Expenses % of average total assets - annualized</w:t>
            </w:r>
          </w:p>
        </w:tc>
        <w:tc>
          <w:tcPr>
            <w:tcW w:w="1120" w:type="dxa"/>
            <w:vAlign w:val="bottom"/>
          </w:tcPr>
          <w:p>
            <w:pPr>
              <w:jc w:val="right"/>
              <w:spacing w:after="0"/>
              <w:rPr>
                <w:sz w:val="20"/>
                <w:szCs w:val="20"/>
                <w:color w:val="auto"/>
              </w:rPr>
            </w:pPr>
            <w:r>
              <w:rPr>
                <w:rFonts w:ascii="Arial" w:cs="Arial" w:eastAsia="Arial" w:hAnsi="Arial"/>
                <w:sz w:val="16"/>
                <w:szCs w:val="16"/>
                <w:color w:val="auto"/>
              </w:rPr>
              <w:t>0.22 %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0.15 %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0.21 %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0.17 %</w:t>
            </w:r>
          </w:p>
        </w:tc>
      </w:tr>
      <w:tr>
        <w:trPr>
          <w:trHeight w:val="33"/>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 % of average assets, including average net TBA dollar roll position - annualized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6"/>
                <w:szCs w:val="16"/>
                <w:color w:val="auto"/>
              </w:rPr>
              <w:t>Expenses % of average stockholders' equity - annualized</w:t>
            </w:r>
          </w:p>
        </w:tc>
        <w:tc>
          <w:tcPr>
            <w:tcW w:w="1120" w:type="dxa"/>
            <w:vAlign w:val="bottom"/>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1.62 %</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420" w:hanging="412"/>
        <w:spacing w:after="0" w:line="250"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voluntarily discontinued hedge accounting for our interest rate swaps as of September 30, 2011. Please refer to our Interest Expense and Cost of Funds discussion further below and Notes 3 and 6 of our Consolidated Financial Statements in this Form 10-Q for additional information regarding our discontinuance of hedge accounting.</w:t>
      </w: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jc w:val="both"/>
        <w:ind w:left="420" w:right="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cost of funds includes agency MBS repurchase agreements, debt of consolidated variable interest entities ("VIEs") and interest rate swaps, but excludes interest rate swap termination fees and costs associated with other supplemental hedges such as interest rate swaptions and short U.S. Treasury or TBA positions. Average cost of funds for the period was calculated by dividing our total cost of funds by our average repurchase agreements and debt of consolidated VIEs outstanding for the period.</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jc w:val="both"/>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MBS repurchase agreements and debt of consolidated VIEs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shareholders by our average stockholders' equity, net of the Series A and Series B Preferred Stock aggregate liquidation preference.</w:t>
      </w: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420" w:right="20" w:hanging="412"/>
        <w:spacing w:after="0" w:line="293" w:lineRule="auto"/>
        <w:tabs>
          <w:tab w:leader="none" w:pos="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Average leverage during the period was calculated by dividing our daily weighted average agency MBS repurchase agreements and debt of consolidated VIEs outstanding for the period by the sum of our average stockholders' equity less our average investment in REIT equity securities for the period. Leverage excludes U.S. Treasury repurchase agreements.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6" w:right="239" w:bottom="1440" w:gutter="0" w:footer="0" w:header="0"/>
        </w:sectPr>
      </w:pPr>
    </w:p>
    <w:bookmarkStart w:id="39" w:name="page40"/>
    <w:bookmarkEnd w:id="39"/>
    <w:p>
      <w:pPr>
        <w:ind w:left="420" w:hanging="412"/>
        <w:spacing w:after="0" w:line="250"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leverage, including net TBA dollar roll position, during the period includes the components of "leverage (average during the period)" plus our daily weighted average net TBA dollar position (at cost) during the period.</w:t>
      </w:r>
    </w:p>
    <w:p>
      <w:pPr>
        <w:jc w:val="both"/>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the amount outstanding under our agency MBS repurchase agreements, net receivable / payable for unsettled agency securities and debt of consolidated VIEs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Leverage at period end, including net TBA dollar roll position, includes the components of "leverage (as of period end)" plus our net TBA position outstanding as of period end, at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interest income for the three and nine months ended September 30, 2014 and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w w:val="94"/>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ind w:left="640"/>
              <w:spacing w:after="0"/>
              <w:rPr>
                <w:sz w:val="20"/>
                <w:szCs w:val="20"/>
                <w:color w:val="auto"/>
              </w:rPr>
            </w:pPr>
            <w:r>
              <w:rPr>
                <w:rFonts w:ascii="Arial" w:cs="Arial" w:eastAsia="Arial" w:hAnsi="Arial"/>
                <w:sz w:val="14"/>
                <w:szCs w:val="14"/>
                <w:b w:val="1"/>
                <w:bCs w:val="1"/>
                <w:color w:val="auto"/>
                <w:w w:val="96"/>
              </w:rPr>
              <w:t>Nine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(0.85)%</w:t>
            </w: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2.75 %</w:t>
            </w: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5"/>
        </w:trPr>
        <w:tc>
          <w:tcPr>
            <w:tcW w:w="392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09"/>
        </w:trPr>
        <w:tc>
          <w:tcPr>
            <w:tcW w:w="3920" w:type="dxa"/>
            <w:vAlign w:val="bottom"/>
          </w:tcPr>
          <w:p>
            <w:pPr>
              <w:ind w:left="40"/>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2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our average agency MBS portfolio size and the yield on our investments. The following is a summary of the estimated impact of each of these elements on the decline in interest income between the current and prior year periods ended September 30, 2014 and 2013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Principal Elements Impacting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13335</wp:posOffset>
            </wp:positionV>
            <wp:extent cx="6929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 Ended September 30, 2014 vs.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9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3"/>
                <w:szCs w:val="13"/>
                <w:color w:val="auto"/>
              </w:rPr>
            </w:pPr>
          </w:p>
        </w:tc>
        <w:tc>
          <w:tcPr>
            <w:tcW w:w="15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Portfolio</w:t>
            </w:r>
          </w:p>
        </w:tc>
        <w:tc>
          <w:tcPr>
            <w:tcW w:w="420" w:type="dxa"/>
            <w:vAlign w:val="bottom"/>
          </w:tcPr>
          <w:p>
            <w:pPr>
              <w:spacing w:after="0"/>
              <w:rPr>
                <w:sz w:val="13"/>
                <w:szCs w:val="13"/>
                <w:color w:val="auto"/>
              </w:rPr>
            </w:pPr>
          </w:p>
        </w:tc>
        <w:tc>
          <w:tcPr>
            <w:tcW w:w="1440" w:type="dxa"/>
            <w:vAlign w:val="bottom"/>
          </w:tcPr>
          <w:p>
            <w:pPr>
              <w:jc w:val="right"/>
              <w:ind w:right="70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Size</w:t>
            </w:r>
          </w:p>
        </w:tc>
        <w:tc>
          <w:tcPr>
            <w:tcW w:w="420" w:type="dxa"/>
            <w:vAlign w:val="bottom"/>
          </w:tcPr>
          <w:p>
            <w:pPr>
              <w:spacing w:after="0"/>
              <w:rPr>
                <w:sz w:val="16"/>
                <w:szCs w:val="16"/>
                <w:color w:val="auto"/>
              </w:rPr>
            </w:pPr>
          </w:p>
        </w:tc>
        <w:tc>
          <w:tcPr>
            <w:tcW w:w="1440" w:type="dxa"/>
            <w:vAlign w:val="bottom"/>
          </w:tcPr>
          <w:p>
            <w:pPr>
              <w:jc w:val="right"/>
              <w:ind w:right="708"/>
              <w:spacing w:after="0"/>
              <w:rPr>
                <w:sz w:val="20"/>
                <w:szCs w:val="20"/>
                <w:color w:val="auto"/>
              </w:rPr>
            </w:pPr>
            <w:r>
              <w:rPr>
                <w:rFonts w:ascii="Arial" w:cs="Arial" w:eastAsia="Arial" w:hAnsi="Arial"/>
                <w:sz w:val="14"/>
                <w:szCs w:val="14"/>
                <w:b w:val="1"/>
                <w:bCs w:val="1"/>
                <w:color w:val="auto"/>
              </w:rPr>
              <w:t>Yield</w:t>
            </w:r>
          </w:p>
        </w:tc>
      </w:tr>
      <w:tr>
        <w:trPr>
          <w:trHeight w:val="250"/>
        </w:trPr>
        <w:tc>
          <w:tcPr>
            <w:tcW w:w="5140" w:type="dxa"/>
            <w:vAlign w:val="bottom"/>
          </w:tcPr>
          <w:p>
            <w:pPr>
              <w:ind w:left="20"/>
              <w:spacing w:after="0"/>
              <w:rPr>
                <w:sz w:val="20"/>
                <w:szCs w:val="20"/>
                <w:color w:val="auto"/>
              </w:rPr>
            </w:pPr>
            <w:r>
              <w:rPr>
                <w:rFonts w:ascii="Arial" w:cs="Arial" w:eastAsia="Arial" w:hAnsi="Arial"/>
                <w:sz w:val="14"/>
                <w:szCs w:val="14"/>
                <w:color w:val="auto"/>
              </w:rPr>
              <w:t>Three months ended</w:t>
            </w: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7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Nine months ended</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31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average par value of our agency MBS portfolio decreased by 39% and 28% for the three and nine months ended September 30, 2014 over the prior year period, respectively, reflective of a shift from agency MBS repo funded assets to TBA dollar roll funded assets and a smaller capital base due to common stock share repurchases and portfolio losses incurred during the second half of 2013. Because we recognize TBA dollar rolls as derivative instruments under GAAP, our reported interest income does not include our TBA dollar roll income, which we report in gain/loss on derivative instruments and other securities, net in our accompanying consolidated financial statements in this Form 10-Q.</w:t>
      </w:r>
    </w:p>
    <w:p>
      <w:pPr>
        <w:spacing w:after="0" w:line="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asset yield for the three and nine months ended September 30, 2014 was also impacted by changes in our asset composition and fluctuations in "catch-up" premium amortization adjustments recognized due to changes in our projected life CPR forecasts. Excluding "catch-up" premium amortization adjustments, our average asset yield for the three and nine months ended September 30, 2014 was 2.73% and 2.71%, respectively, compared to 2.65% and 2.62% for the three and nine months ended September 30, 2013,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leverage was 4.8 times and 7.3 times our stockholders' equity as of September 30, 2014 and December 31, 2013, respectively, measured as the sum of our agency MBS repo agreements, net receivable / payable for unsettled agency securities and debt of consolidated VIEs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Inclusive of our net TBA position, our total "at risk" leverage was 6.7 times and 7.5 times our stockholders' equity as of September 30, 2014 and December 31, 2013, respectively. Since we recognize our TBA commitments as derivatives under GAAP, they are not included in our repo and other debt leverage calculations; however, a long TBA position carries similar risks as if we had purchased the underlying MBS assets and funded such purchases with on-balance sheet repo agreements. Similarly, a short TBA position has substantially the same effect as selling the underlying MBS assets and reducing our on-balance sheet repurchase commitments.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further discussion of TBA dollar roll positions). Therefore, we commonly refer to our leverage adjusted for TBA positions as our "at risk" leverage.</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Agency MBS Repurchase Agreements</w:t>
            </w: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 xml:space="preserve">and Other Debt </w:t>
            </w:r>
            <w:r>
              <w:rPr>
                <w:rFonts w:ascii="Arial" w:cs="Arial" w:eastAsia="Arial" w:hAnsi="Arial"/>
                <w:sz w:val="8"/>
                <w:szCs w:val="8"/>
                <w:b w:val="1"/>
                <w:bCs w:val="1"/>
                <w:color w:val="auto"/>
                <w:w w:val="98"/>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50,989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44,368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15,680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17,769</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50,448</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52,945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48,362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13,963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18,184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57,544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14,127</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71,260</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80,706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62,124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2,276</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7.6:1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78,845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83,859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79,117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(7,060)</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June 30,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66,060</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71,102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71,102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28,904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15,285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8.5:1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70,591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75,580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67,122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17,892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27,294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6.5:1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5.7:1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decline in our "at risk" leverage from December 31, 2013 to September 30, 2014 was a function of portfolio deleveraging and net portfolio gains recognized during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expense is primarily comprised of interest expense on our repurchase agreements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"adjusted net interest expense," also referred to as our "cost of funds" when stated as a percentage of our outstanding repurchase agreements and other debt balance, includes periodic interest costs on our interest rate swaps reported in gain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on derivatives and other securities, net in our consolidated statements of comprehensive income. Our cost of funds does not include swap termination fees and costs associated with our other supplemental hedges, such as swaptions and short U.S. Treasury positions. Our cost of funds also does not include the implied financing cost/benefit of our net TBA dollar roll position, but does however include interest rate swap hedge costs related to our TBA dollar roll funded assets. Consequently, relative to our repo funded assets, our cost of funds is higher than if we allocated our swap hedge costs to our TBA dollar roll funded assets.</w:t>
      </w:r>
    </w:p>
    <w:p>
      <w:pPr>
        <w:spacing w:after="0" w:line="13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table below presents a reconciliation of our interest expense (the most comparable GAAP financial measure) to our adjusted net interest expense and cost of funds (non-GAAP financial measures) for the three and nine months ended September 30, 2014 and 2013 (dollars in millions):</w:t>
      </w: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11"/>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10"/>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280" w:type="dxa"/>
            <w:vAlign w:val="bottom"/>
            <w:gridSpan w:val="2"/>
          </w:tcPr>
          <w:p>
            <w:pPr>
              <w:ind w:left="360"/>
              <w:spacing w:after="0" w:line="157" w:lineRule="exact"/>
              <w:rPr>
                <w:sz w:val="20"/>
                <w:szCs w:val="20"/>
                <w:color w:val="auto"/>
              </w:rPr>
            </w:pPr>
            <w:r>
              <w:rPr>
                <w:rFonts w:ascii="Arial" w:cs="Arial" w:eastAsia="Arial" w:hAnsi="Arial"/>
                <w:sz w:val="14"/>
                <w:szCs w:val="14"/>
                <w:color w:val="auto"/>
                <w:w w:val="99"/>
              </w:rPr>
              <w:t>Repurchase agreement and other debt interest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gridSpan w:val="2"/>
          </w:tcPr>
          <w:p>
            <w:pPr>
              <w:ind w:left="680"/>
              <w:spacing w:after="0"/>
              <w:rPr>
                <w:sz w:val="20"/>
                <w:szCs w:val="20"/>
                <w:color w:val="auto"/>
              </w:rPr>
            </w:pPr>
            <w:r>
              <w:rPr>
                <w:rFonts w:ascii="Arial" w:cs="Arial" w:eastAsia="Arial" w:hAnsi="Arial"/>
                <w:sz w:val="14"/>
                <w:szCs w:val="14"/>
                <w:color w:val="auto"/>
              </w:rPr>
              <w:t>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ind w:left="140"/>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Other 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33"/>
        </w:trPr>
        <w:tc>
          <w:tcPr>
            <w:tcW w:w="32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5"/>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2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adjusted net interest expense are the average amount of repurchase agreements and interest rate swaps outstanding and our cost of funds. The following is a summary of the estimated impact of these elements on changes in our adjusted net interest expense for the three and nine months ended September 30, 2014 and 2013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Principle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 Ended September 30, 2014 vs.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6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Repo / Swap Balance</w:t>
            </w:r>
          </w:p>
        </w:tc>
        <w:tc>
          <w:tcPr>
            <w:tcW w:w="1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Repo / Swap Rate</w:t>
            </w: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6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ind w:left="660" w:hanging="328"/>
        <w:spacing w:after="0" w:line="255"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decline in our adjusted net interest expense was primarily a function of a smaller average repo and other debt balance outstanding in correlation with a smaller agency MBS portfolio balance. Despite a decline in our average repo rate of 8 bps and 7 bps for the three and nine months ended September 30, 2014, respectively, our average average cost of funds increased due to a higher ratio of interest rate swaps in effect to repo outstanding and an increase in our weighted average swap rate. The table below presents a summary of our average repo and interest rates swaps in effect outstanding for the three and nine months ended September 30, 2014 and 2013 (dollars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Debt and Interest Rate Swaps Outstanding</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repurchase agreements and other debt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78,845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51,516</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71,862</w:t>
            </w:r>
          </w:p>
        </w:tc>
      </w:tr>
      <w:tr>
        <w:trPr>
          <w:trHeight w:val="264"/>
        </w:trPr>
        <w:tc>
          <w:tcPr>
            <w:tcW w:w="736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notional amount of interest rate swaps </w:t>
            </w:r>
            <w:r>
              <w:rPr>
                <w:rFonts w:ascii="Arial" w:cs="Arial" w:eastAsia="Arial" w:hAnsi="Arial"/>
                <w:sz w:val="8"/>
                <w:szCs w:val="8"/>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50,370</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35,331</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ind w:left="40"/>
              <w:spacing w:after="0"/>
              <w:rPr>
                <w:sz w:val="20"/>
                <w:szCs w:val="20"/>
                <w:color w:val="auto"/>
              </w:rPr>
            </w:pPr>
            <w:r>
              <w:rPr>
                <w:rFonts w:ascii="Arial" w:cs="Arial" w:eastAsia="Arial" w:hAnsi="Arial"/>
                <w:sz w:val="14"/>
                <w:szCs w:val="14"/>
                <w:color w:val="auto"/>
              </w:rPr>
              <w:t>Average ratio of interest rate swaps to repurchase agreements and other debt outstanding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pay rate on interest rate swaps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receive rate on interest rate swaps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net pay rate on interest rate swaps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Average notional amount of interest rate swaps excludes forward starting swaps not in effect during the periods presented.</w:t>
      </w:r>
    </w:p>
    <w:p>
      <w:pPr>
        <w:spacing w:after="0" w:line="156" w:lineRule="exact"/>
        <w:rPr>
          <w:sz w:val="20"/>
          <w:szCs w:val="20"/>
          <w:color w:val="auto"/>
        </w:rPr>
      </w:pPr>
    </w:p>
    <w:p>
      <w:pPr>
        <w:jc w:val="both"/>
        <w:ind w:left="60" w:firstLine="486"/>
        <w:spacing w:after="0" w:line="291" w:lineRule="auto"/>
        <w:rPr>
          <w:sz w:val="20"/>
          <w:szCs w:val="20"/>
          <w:color w:val="auto"/>
        </w:rPr>
      </w:pPr>
      <w:r>
        <w:rPr>
          <w:rFonts w:ascii="Arial" w:cs="Arial" w:eastAsia="Arial" w:hAnsi="Arial"/>
          <w:sz w:val="16"/>
          <w:szCs w:val="16"/>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Manager's view of the forward yield curve and the timing of potential changes in short-term interest rates, time to deploy new capital, amount and timing of expirations of our existing interest swap portfolio, current and anticipated swap spreads and our desire to mitigate our exposure to specific sectors of the yield curve. As of September 30, 2014, we had $13.2 billion of forward starting interest rate swaps outstanding with a weighted average forward start date of 1.4 years through April 2019 and a weighted average fixed pay rate of 3.05%. As of September 30, 2013, we had no forward starting interest rate swaps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three and nine months ended September 30, 2014 and 2013 (dollars in millions):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264"/>
        </w:trPr>
        <w:tc>
          <w:tcPr>
            <w:tcW w:w="566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76"/>
        </w:trPr>
        <w:tc>
          <w:tcPr>
            <w:tcW w:w="5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8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10"/>
        </w:trPr>
        <w:tc>
          <w:tcPr>
            <w:tcW w:w="56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for the three months ended September 30, 2014 increased by $0.25 per common share, despite a 14% decrease in average "at risk" leverage compared to the prior year period. Net spread income for the three months ended September 30, 2014 benefited from a larger TBA position and favorable implied financing rates available in the TBA dollar roll market. Our average net interest rate spread, inclusive of TBA dollar roll income,</w:t>
      </w:r>
    </w:p>
    <w:p>
      <w:pPr>
        <w:sectPr>
          <w:pgSz w:w="11900" w:h="16838" w:orient="portrait"/>
          <w:cols w:equalWidth="0" w:num="1">
            <w:col w:w="11420"/>
          </w:cols>
          <w:pgMar w:left="240" w:top="88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888" w:right="239" w:bottom="1440" w:gutter="0" w:footer="0" w:header="0"/>
          <w:type w:val="continuous"/>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was 1.90% for the three months ended September 30, 2014, compared to 1.14% for the prior year period (or 1.92% and 1.20%, excluding "catch-up" amortization, respectively).</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for the nine months ended September 30, 2014 decreased by $(0.26) per common share due to a 15% decrease in average "at risk" leverage, while TBA dollar roll income was largely unchanged over the prior year period. Our average net interest rate spread, inclusive of TBA dollar roll income, was 1.73% for the nine months ended September 30, 2014, compared to 1.86% for the prior year period (or 1.79% and 1.73%, excluding catch-up amortization,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a summary of our net gain (loss) on sale of agency MBS for the three and nine months ended September 30, 2014 and 2013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59,799</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Asset sales were primarily a function of shifting our portfolio to TBA dollar roll funded assets, reducing leverage and repositioning our investment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2013 (in millions):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7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r>
      <w:tr>
        <w:trPr>
          <w:trHeight w:val="256"/>
        </w:trPr>
        <w:tc>
          <w:tcPr>
            <w:tcW w:w="6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258"/>
        </w:trPr>
        <w:tc>
          <w:tcPr>
            <w:tcW w:w="6160" w:type="dxa"/>
            <w:vAlign w:val="bottom"/>
          </w:tcPr>
          <w:p>
            <w:pPr>
              <w:ind w:left="40"/>
              <w:spacing w:after="0"/>
              <w:rPr>
                <w:sz w:val="20"/>
                <w:szCs w:val="20"/>
                <w:color w:val="auto"/>
              </w:rPr>
            </w:pPr>
            <w:r>
              <w:rPr>
                <w:rFonts w:ascii="Arial" w:cs="Arial" w:eastAsia="Arial" w:hAnsi="Arial"/>
                <w:sz w:val="14"/>
                <w:szCs w:val="14"/>
                <w:color w:val="auto"/>
              </w:rPr>
              <w:t>Realized gain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dollar roll income/(expense)</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160" w:type="dxa"/>
            <w:vAlign w:val="bottom"/>
          </w:tcPr>
          <w:p>
            <w:pPr>
              <w:ind w:left="28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Unrealized (loss) gain on derivative instruments and other securities, net: </w:t>
            </w:r>
            <w:r>
              <w:rPr>
                <w:rFonts w:ascii="Arial" w:cs="Arial" w:eastAsia="Arial" w:hAnsi="Arial"/>
                <w:sz w:val="8"/>
                <w:szCs w:val="8"/>
                <w:color w:val="auto"/>
              </w:rPr>
              <w:t>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6"/>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6160" w:type="dxa"/>
            <w:vAlign w:val="bottom"/>
          </w:tcPr>
          <w:p>
            <w:pPr>
              <w:ind w:left="112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16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(loss) gain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1,065</w:t>
            </w:r>
          </w:p>
        </w:tc>
      </w:tr>
      <w:tr>
        <w:trPr>
          <w:trHeight w:val="24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(loss) gain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1,007</w:t>
            </w: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pay our Manager a base management fee payable monthly in arrears in an amount equal to one twelfth of 1.25% of our Equity. Our Equity is defined as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$30 million and $35 million for the three months ended September 30, 2014 and 2013, respectively, and $89 million and $105 million for the nine months ended September 30, 2014 and 2013, respectively. The decline in our management fees was a function of our smaller capital base due to the combination of share repurchases and net realized losses on our portfolio during the second half of calendar year 2013.</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General and administrative expenses were $5 million and $7 million for the three months ended September 30, 2014 and 2013, respectively, and $17 million and $25 million for the nine months ended September 30, 2014 and 2013, respectively. Our general and administrative expenses primarily consisted of prime broker fees, information technology costs, accounting fees, legal fees, Board of Director fees, insurance expense and general overhead expense. The decline in our general and administrative expenses was largely due to a smaller average portfolio size.</w:t>
      </w:r>
    </w:p>
    <w:p>
      <w:pPr>
        <w:sectPr>
          <w:pgSz w:w="11900" w:h="16838" w:orient="portrait"/>
          <w:cols w:equalWidth="0" w:num="1">
            <w:col w:w="11420"/>
          </w:cols>
          <w:pgMar w:left="240" w:top="584"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4" w:right="239" w:bottom="1440" w:gutter="0" w:footer="0" w:header="0"/>
          <w:type w:val="continuous"/>
        </w:sectPr>
      </w:pPr>
    </w:p>
    <w:bookmarkStart w:id="45" w:name="page46"/>
    <w:bookmarkEnd w:id="45"/>
    <w:p>
      <w:pPr>
        <w:jc w:val="both"/>
        <w:ind w:right="20" w:firstLine="432"/>
        <w:spacing w:after="0" w:line="277" w:lineRule="auto"/>
        <w:rPr>
          <w:sz w:val="20"/>
          <w:szCs w:val="20"/>
          <w:color w:val="auto"/>
        </w:rPr>
      </w:pPr>
      <w:r>
        <w:rPr>
          <w:rFonts w:ascii="Arial" w:cs="Arial" w:eastAsia="Arial" w:hAnsi="Arial"/>
          <w:sz w:val="18"/>
          <w:szCs w:val="18"/>
          <w:color w:val="auto"/>
        </w:rPr>
        <w:t>Our total operating expense as a percentage of our average stockholders' equity was 1.47% and 1.66% for the three months ended September 30, 2014 and 2013, respectively, and 1.53% and 1.62% for the nine months ended September 30,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months ended September 30, 2014 and 2013, we had estimated taxable income available to common shareholders of $85 million and $113 million (or $0.24 and $0.29 per common share), respectively, and for the nine months ended September 30, 2014 and 2013, we had estimated taxable income available to common shareholders of $352 million and $700 million (or $1.00 and $1.84 per common share), respectively.</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right="20" w:firstLine="8"/>
        <w:spacing w:after="0" w:line="261"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and nine months ended September 30, 2014 and 2013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1,359</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Premium amortization, net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Realized losses (gains),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loss (carryforward) / in excess of capital gain</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losses (gains),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50"/>
        </w:trPr>
        <w:tc>
          <w:tcPr>
            <w:tcW w:w="744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Estimated REIT taxable income</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710</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available to common shareholders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r>
      <w:tr>
        <w:trPr>
          <w:trHeight w:val="21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381.2</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64"/>
        </w:trPr>
        <w:tc>
          <w:tcPr>
            <w:tcW w:w="7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Beginning cumulative non-deductible capital losses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Non-deductible capital losses in excess of capital gains</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849</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Utilization of capital loss carryforward</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capital losses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849</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Ending cumulative non-deductible capital losses per common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Taxable income for the three and nine months ended September 30, 2013 excludes $849 million of estimated net capital losses, which were not deductible from our ordinary taxable income. Taxable income for the three and nine months ended September 30, 2014 excludes $246 million and $658 million of estimated net capital gains, respectively, which were applied against our prior year net capital loss carryforward. Net capital losses can be carried forward and applied against future net capital gains for up five years.</w:t>
      </w:r>
    </w:p>
    <w:p>
      <w:pPr>
        <w:spacing w:after="0" w:line="24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ordinary taxable income determines our minimum dividend distribution requirement to maintain our qualification as a REIT. We have distributed all of our 2013 taxable income within the allowable time frame, including the available spill-back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color w:val="auto"/>
        </w:rPr>
        <w:t>provision, so that we will not be subject to U.S. federal or state corporate income tax. As of September 30, 2014, we have distributed an estimated $130 million in excess of our estimated cumulative taxable income, including our dividends payable.</w:t>
      </w:r>
    </w:p>
    <w:p>
      <w:pPr>
        <w:spacing w:after="0" w:line="2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"Earnings and Profits" (or "E&amp;P") determines the character of our dividend distributions for shareholders (i.e. whether our dividend distributions are characterized as "ordinary income" or a "return of capital" for shareholders). E&amp;P generally conforms to taxable income; however, the utilization of net capital loss carryforwards does not reduce our current year E&amp;P. Therefore, although our 2014 dividend distributions are anticipated to exceed our 2014 taxable income, we do not anticipate that our distributions will exceed our current year E&amp;P and, as such, we anticipate that our 2014 dividend distributions will represent "ordinary income" for shareholders when the final character of our dividends is determined and reported to shareholders on Form 1099-DIV after the end of the calendar year.</w:t>
      </w:r>
    </w:p>
    <w:p>
      <w:pPr>
        <w:spacing w:after="0" w:line="13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following table summarizes dividends declared on our Series A Preferred Stock, Series B Preferred Stock (each underlying depositary share representing a 1/1000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interest in a share of our Series B Preferred Stock) and common stock during the nine months ended September 30, 2014 and 2013:</w:t>
      </w:r>
    </w:p>
    <w:p>
      <w:pPr>
        <w:spacing w:after="0" w:line="148"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70"/>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 xml:space="preserve">June 30, 2014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84"/>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0.844965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311"/>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2013</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Series B Preferred Stock depositary share dividend amount includes dividends payable for a partial dividend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TRS is subject to corporate federal and state income taxes at the combined federal and state corporate statutory tax rate of 39.5%. For the three and nine months ended September 30, 2014 and three months ended September 30, 2013, we recorded no provision for income taxes attributable to our TRS. For the nine months ended September 30, 2013, we recorded an income tax provision of $10 million attributable to our TRS, which is included in our net income tax provision on our accompanying consolidated statements of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for the three and nine months ended September 30, 2014 and 2013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gain on AFS securities, net: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120"/>
              <w:spacing w:after="0"/>
              <w:rPr>
                <w:sz w:val="20"/>
                <w:szCs w:val="20"/>
                <w:color w:val="auto"/>
              </w:rPr>
            </w:pPr>
            <w:r>
              <w:rPr>
                <w:rFonts w:ascii="Arial" w:cs="Arial" w:eastAsia="Arial" w:hAnsi="Arial"/>
                <w:sz w:val="14"/>
                <w:szCs w:val="14"/>
                <w:color w:val="auto"/>
              </w:rPr>
              <w:t>Unrealized (loss) gain,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(3,559)</w:t>
            </w:r>
          </w:p>
        </w:tc>
      </w:tr>
      <w:tr>
        <w:trPr>
          <w:trHeight w:val="270"/>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(loss) gain on AFS securities, net: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(loss)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5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To the extent we raise additional equity capital through follow-on equity offerings, through our at-the-market offering program or under our dividend reinvestment and direct stock purchase plan, we currently anticipate using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Preferred Stock Offering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Our Series B Preferred Stock has no stated maturity, is not subject to any sinking fund or mandatory redemption and ranks on parity with our Series A Preferred Stock. Holders of depositary shares have no voting rights, except under limited conditions, and are entitled to receive cumulative cash dividends at a rate of 7.750% per annum of the $25.00 per depositary share liquidation preference before holders of our common stock are entitled to receive any dividends. For further details regarding our Series A and Series B Preferred Stock please refer to Note 9 of our consolidated financial statements in this Form 10-Q.</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In October 2014, our Board of Directors extended its authorization through December 31, 2015.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did not repurchase any shares of our common stock during the three months ended September 30, 2014. During the nine months ended September 30, 2014, we repurchased approximately 3.4 million shares of our common stock at an average repurchase price of $22.10 per share, including expenses, totaling $74 million. As of September 30, 2014, the total remaining amount authorized for repurchases of our common stock was $992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 Our leverage as of September 30, 2014 was 4.8 times our stockholders' equity, measured as the sum of our agency MBS repurchase agreements, net receivable / payable for unsettled agency securities and debt of consolidated VIEs divided by the sum of our total stockholders' equity less the fair value of our investment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2014, our agency MBS repurchase agreements had a weighted average cost of funds of 0.41% and a weighted average remaining days-to-maturity of 152 days, excluding amounts borrowed under U.S. Treasury repurchase agreements.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September 30, 2014, we had master repurchase agreements with 36 financial institutions located throughout North America, Europe and Asia. As of September 30, 2014, less than 4% of our stockholders' equity was at risk with any one repo counterparty, with the top five repo counterparties representing approximately 11% of our stockholders' equity. The table below includes a summary of our repurchase agreement funding by number of repo counterparties and counterparty region as of September 30, 2014. For further details regarding our borrowings under repurchase agreements and other debt as of September 30, 2014, please refer to Note 5 to our consolidated financial statements in this Form 10-Q.</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62%</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nine months ended September 30, 2014, haircuts on our pledged collateral remained stable and as of September 30, 2014, our weighted average haircut was approximately 5% of the value of our collateral.</w:t>
      </w:r>
    </w:p>
    <w:p>
      <w:pPr>
        <w:spacing w:after="0" w:line="1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 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color w:val="auto"/>
        </w:rPr>
        <w:t>of a margin call, we must provide additional securities or cash on the same business day that a margin call is made if the lender provides us notice prior to the margin notice deadline on such day.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2014, we had met all of our margin requirements and we had unrestricted cash and cash equivalents of $1.7 billion and unpledged securities of approximately $3.9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September 30, 2014,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also enter into TBA dollar roll transactions as a means of leveraging (long TBAs) or deleveraging (short TBAs) our investment portfolio. TBA dollar roll transactions represent a form of off-balance sheet financing and are accounted for as derivative instruments in our accompanying consolidated financial statements in this Form 10-Q. Inclusive of our net TBA position, as of September 30, 2014, our total "at risk" leverage was 6.7 times our stockholders' equity.</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2014, we had a net long TBA position with a market value and a total contract price of $17.7 billion and $17.8 billion, respectively, and a total net carrying value of $(21) million recognized in derivative assets/(liabilities), at fair value on our consolidated balance sheets in this Form 10-Q.</w:t>
      </w:r>
    </w:p>
    <w:p>
      <w:pPr>
        <w:spacing w:after="0" w:line="17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in a rising interest rate scenario at or above generic TBA prices. As of September 30, 2014, approximately 92% of our fixed rate agency MBS portfolio was eligible for TBA delivery.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2014,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September 30, 2014, we had not guaranteed any obligations of unconsolidated entities or entered into any commitment or intent to provide funding to any such entities.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options to enter into interest rate swaps.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Further, since we do not control the other agency mortgage REITs in which we invest in, we have limited transparency into their underlying investment and hedge portfolios. Therefore, our Manager must make certain assumptions to estimate the duration and convexity of the underlying portfolios and their sensitivity to changes in interest rates. Such estimates do not include the potential impact of other factors which may affect the fair value of our investments in other REITs, such as stock market volatility. Accordingly, actual results could differ from our estimates.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September 30, 2014 and December 31, 2013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All changes in income and value in the table below are measured as percentage changes from the projected net interest income, investment portfolio value and net asset value at the base interest rate scenario. The base interest rate scenario assumes interest rates and prepayment projections as of September 30, 2014 and December 31, 2013.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our overall management of our investment portfolio.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+2.9%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-12.3%</w:t>
            </w:r>
          </w:p>
        </w:tc>
        <w:tc>
          <w:tcPr>
            <w:tcW w:w="0" w:type="dxa"/>
            <w:vAlign w:val="bottom"/>
          </w:tcPr>
          <w:p>
            <w:pPr>
              <w:spacing w:after="0"/>
              <w:rPr>
                <w:sz w:val="1"/>
                <w:szCs w:val="1"/>
                <w:color w:val="auto"/>
              </w:rPr>
            </w:pPr>
          </w:p>
        </w:tc>
      </w:tr>
      <w:tr>
        <w:trPr>
          <w:trHeight w:val="33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+6.8%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+6.1%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-1.7%</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-13.1%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55"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2" w:name="page53"/>
    <w:bookmarkEnd w:id="52"/>
    <w:p>
      <w:pPr>
        <w:jc w:val="both"/>
        <w:ind w:left="660" w:hanging="328"/>
        <w:spacing w:after="0" w:line="262" w:lineRule="auto"/>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other supplemental hedges, such as swaptions and U.S. Treasury securities. Also excludes costs associated with our TBA position and TBA dollar roll income/loss. Base case scenario assumes interest rates and forecasted CPR of 8% and 7% as of September 30, 2014 and December 31, 2013, respectively. As of September 30, 2014, rate shock scenarios assume a forecasted CPR of 10%, 9%, 7% and 7% for the -100, -50, +50 and +100 basis points scenarios, respectively. As of December 31, 2013, rate shock scenarios assume a forecasted CPR of 10%, 8%, 7% and 6% for such scenarios, respectively. Estimated dollar change in net interest income does not include the one time impact of retroactive "catch-up" premium amortization benefit/cost due to a decrease/increase in the forecasted CPR and does not include dividend income from investments in other REITs. Down rate scenarios assume a floor of 0% for anticipated interest rates.</w:t>
      </w:r>
    </w:p>
    <w:p>
      <w:pPr>
        <w:spacing w:after="0" w:line="4" w:lineRule="exact"/>
        <w:rPr>
          <w:rFonts w:ascii="Arial" w:cs="Arial" w:eastAsia="Arial" w:hAnsi="Arial"/>
          <w:sz w:val="13"/>
          <w:szCs w:val="13"/>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our interest rate sensitivity as of September 30, 2014 compared to December 31, 2013 was a function of a flatter yield curve, partially mitigated by changes in the size and composition of our asset and hedge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table below quantifies the estimated changes in the fair value of our investment portfolio (including derivatives and other securities used for hedging purposes) and in our net asset value as of September 30, 2014 and December 31, 2013 should spreads between our mortgage assets and benchmark interest rates go up or down by 10 and 25 basis points. These estimated impacts of spread changes are in addition to our sensitivity to interest rate shocks included in the interest rate shock table above. The table below assumes a spread duration of 5.3 years and 5.5 years based on interest rates and MBS prices as of September 30, 2014 and December 31, 2013, respectively. However, our portfolio's sensitivity of mortgage spread changes will vary with changes in interest rates and will generally increase as interest rates rise and prepayments slow. Additionally, we have limited transparency into the underlying investment and hedge portfolios of the other agency mortgage REITs in which we invest. Therefore, actual results could differ materially from our estimates.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+4.3%</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-4.3%</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-1.4%</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-10.7%</w:t>
            </w:r>
          </w:p>
        </w:tc>
        <w:tc>
          <w:tcPr>
            <w:tcW w:w="0" w:type="dxa"/>
            <w:vAlign w:val="bottom"/>
          </w:tcPr>
          <w:p>
            <w:pPr>
              <w:spacing w:after="0"/>
              <w:rPr>
                <w:sz w:val="1"/>
                <w:szCs w:val="1"/>
                <w:color w:val="auto"/>
              </w:rPr>
            </w:pPr>
          </w:p>
        </w:tc>
      </w:tr>
      <w:tr>
        <w:trPr>
          <w:trHeight w:val="330"/>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+10.1%</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right="20" w:hanging="328"/>
        <w:spacing w:after="0" w:line="241"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stockholders' equity, net of the Series A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Our assets that are pledged to secure repurchase agreements are agency securities, U.S. Treasury securities and cash. As of September 30, 2014, we had unrestricted cash and cash equivalents of $1.7 billion and unpledged securities of approximately $3.9 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projected weighted-average life and the duration (or interest rate sensitivity) of our investments is based on our Manager's assumptions regarding the rate at which the borrowers will prepay the underlying mortgage loans. In general, we use 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However, if prepayment rates decrease in a rising interest rate environment, the average life or duration of our fixed rate assets or the fixed rate portion of the ARMs or other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agency securities collateralized by fixed rate mortgages or hybrid ARMs to decline by more than otherwise would be the case while most of our hedging instruments (with the exception of short TBA mortgage positions,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00"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only securities and certain other supplemental hedging instruments) would not receive any incremental offsetting gains. In extreme situations, we may be forced to sell assets to maintain adequate liquidity, which could cause us to incur realized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2014.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5" w:name="page56"/>
    <w:bookmarkEnd w:id="55"/>
    <w:p>
      <w:pPr>
        <w:jc w:val="center"/>
        <w:ind w:right="-4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Tables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240" w:top="580" w:right="659" w:bottom="1440" w:gutter="0" w:footer="0" w:header="0"/>
        </w:sectPr>
      </w:pPr>
    </w:p>
    <w:bookmarkStart w:id="56" w:name="page57"/>
    <w:bookmarkEnd w:id="56"/>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887" w:right="31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580" w:right="279" w:bottom="1440" w:gutter="0" w:footer="0" w:header="0"/>
        </w:sectPr>
      </w:pPr>
    </w:p>
    <w:bookmarkStart w:id="58" w:name="page59"/>
    <w:bookmarkEnd w:id="58"/>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00"/>
          </w:cols>
          <w:pgMar w:left="260" w:top="580" w:right="239" w:bottom="1440" w:gutter="0" w:footer="0" w:header="0"/>
        </w:sectPr>
      </w:pPr>
    </w:p>
    <w:bookmarkStart w:id="59" w:name="page60"/>
    <w:bookmarkEnd w:id="59"/>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00"/>
          </w:cols>
          <w:pgMar w:left="26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November 6, 2014</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November 6, 2014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815"/>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lowerRoman"/>
      <w:start w:val="2"/>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3"/>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lowerRoman"/>
      <w:start w:val="3"/>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32"/>
    </w:lvl>
  </w:abstractNum>
  <w:abstractNum w:abstractNumId="45">
    <w:nsid w:val="38437FDB"/>
    <w:multiLevelType w:val="hybridMultilevel"/>
    <w:lvl w:ilvl="0">
      <w:lvlJc w:val="left"/>
      <w:lvlText w:val="**"/>
      <w:numFmt w:val="bullet"/>
      <w:start w:val="1"/>
    </w:lvl>
    <w:lvl w:ilvl="1">
      <w:lvlJc w:val="left"/>
      <w:lvlText w:val="(%2)"/>
      <w:numFmt w:val="lowerLetter"/>
      <w:start w:val="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2019-12-07T18:12:03Z</dcterms:created>
  <dcterms:modified xsi:type="dcterms:W3CDTF">2019-12-07T18:12:03Z</dcterms:modified>
</cp:coreProperties>
</file>