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-224155</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800" w:hanging="765"/>
        <w:spacing w:after="0"/>
        <w:tabs>
          <w:tab w:leader="none" w:pos="8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March 31, 2018</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165" w:lineRule="exact"/>
        <w:rPr>
          <w:sz w:val="24"/>
          <w:szCs w:val="24"/>
          <w:color w:val="auto"/>
        </w:rPr>
      </w:pPr>
    </w:p>
    <w:p>
      <w:pPr>
        <w:ind w:left="780" w:hanging="745"/>
        <w:spacing w:after="0"/>
        <w:tabs>
          <w:tab w:leader="none" w:pos="78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Arial" w:cs="Arial" w:eastAsia="Arial" w:hAnsi="Arial"/>
          <w:sz w:val="21"/>
          <w:szCs w:val="21"/>
          <w:color w:val="auto"/>
        </w:rPr>
      </w:pPr>
    </w:p>
    <w:p>
      <w:pPr>
        <w:ind w:left="5840"/>
        <w:spacing w:after="0"/>
        <w:rPr>
          <w:rFonts w:ascii="Arial" w:cs="Arial" w:eastAsia="Arial" w:hAnsi="Arial"/>
          <w:sz w:val="21"/>
          <w:szCs w:val="21"/>
          <w:color w:val="auto"/>
        </w:rPr>
      </w:pPr>
      <w:r>
        <w:rPr>
          <w:rFonts w:ascii="Arial" w:cs="Arial" w:eastAsia="Arial" w:hAnsi="Arial"/>
          <w:sz w:val="22"/>
          <w:szCs w:val="22"/>
          <w:b w:val="1"/>
          <w:bCs w:val="1"/>
          <w:color w:val="auto"/>
        </w:rPr>
        <w:t>1934</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001-34057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122555</wp:posOffset>
            </wp:positionV>
            <wp:extent cx="245237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5237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AGNC INVESTMENT CORP.</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4"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__________________________________________________</w:t>
      </w:r>
    </w:p>
    <w:p>
      <w:pPr>
        <w:sectPr>
          <w:pgSz w:w="11900" w:h="16838" w:orient="portrait"/>
          <w:cols w:equalWidth="0" w:num="1">
            <w:col w:w="11420"/>
          </w:cols>
          <w:pgMar w:left="240" w:top="503" w:right="239" w:bottom="1440" w:gutter="0" w:footer="0" w:header="0"/>
        </w:sectPr>
      </w:pPr>
    </w:p>
    <w:p>
      <w:pPr>
        <w:spacing w:after="0" w:line="152"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26-1701984</w:t>
      </w:r>
    </w:p>
    <w:p>
      <w:pPr>
        <w:spacing w:after="0" w:line="82" w:lineRule="exact"/>
        <w:rPr>
          <w:sz w:val="24"/>
          <w:szCs w:val="24"/>
          <w:color w:val="auto"/>
        </w:rPr>
      </w:pPr>
    </w:p>
    <w:p>
      <w:pPr>
        <w:sectPr>
          <w:pgSz w:w="11900" w:h="16838" w:orient="portrait"/>
          <w:cols w:equalWidth="0" w:num="2">
            <w:col w:w="7640" w:space="720"/>
            <w:col w:w="3060"/>
          </w:cols>
          <w:pgMar w:left="240" w:top="503" w:right="239" w:bottom="1440" w:gutter="0" w:footer="0" w:header="0"/>
          <w:type w:val="continuous"/>
        </w:sectPr>
      </w:pPr>
    </w:p>
    <w:p>
      <w:pPr>
        <w:ind w:left="18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77" w:lineRule="exact"/>
        <w:rPr>
          <w:sz w:val="24"/>
          <w:szCs w:val="24"/>
          <w:color w:val="auto"/>
        </w:rPr>
      </w:pPr>
    </w:p>
    <w:p>
      <w:pPr>
        <w:sectPr>
          <w:pgSz w:w="11900" w:h="16838" w:orient="portrait"/>
          <w:cols w:equalWidth="0" w:num="2">
            <w:col w:w="7520" w:space="720"/>
            <w:col w:w="3180"/>
          </w:cols>
          <w:pgMar w:left="240" w:top="503"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2 Bethesda Metro Center, 12th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Bethesda, Maryland 20814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(301) 968-9315</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480"/>
        <w:spacing w:after="0"/>
        <w:rPr>
          <w:sz w:val="20"/>
          <w:szCs w:val="20"/>
          <w:color w:val="auto"/>
        </w:rPr>
      </w:pPr>
      <w:r>
        <w:rPr>
          <w:rFonts w:ascii="Arial" w:cs="Arial" w:eastAsia="Arial" w:hAnsi="Arial"/>
          <w:sz w:val="16"/>
          <w:szCs w:val="16"/>
          <w:color w:val="auto"/>
        </w:rPr>
        <w:t>__________________________________________________</w:t>
      </w:r>
    </w:p>
    <w:p>
      <w:pPr>
        <w:sectPr>
          <w:pgSz w:w="11900" w:h="16838" w:orient="portrait"/>
          <w:cols w:equalWidth="0" w:num="1">
            <w:col w:w="11420"/>
          </w:cols>
          <w:pgMar w:left="240" w:top="503" w:right="239" w:bottom="1440" w:gutter="0" w:footer="0" w:header="0"/>
          <w:type w:val="continuous"/>
        </w:sectPr>
      </w:pPr>
    </w:p>
    <w:p>
      <w:pPr>
        <w:spacing w:after="0" w:line="175" w:lineRule="exact"/>
        <w:rPr>
          <w:sz w:val="24"/>
          <w:szCs w:val="24"/>
          <w:color w:val="auto"/>
        </w:rPr>
      </w:pPr>
    </w:p>
    <w:p>
      <w:pPr>
        <w:ind w:right="180" w:firstLine="324"/>
        <w:spacing w:after="0" w:line="207" w:lineRule="exact"/>
        <w:rPr>
          <w:sz w:val="20"/>
          <w:szCs w:val="20"/>
          <w:color w:val="auto"/>
        </w:rPr>
      </w:pPr>
      <w:r>
        <w:rPr>
          <w:rFonts w:ascii="Arial" w:cs="Arial" w:eastAsia="Arial" w:hAnsi="Arial"/>
          <w:sz w:val="17"/>
          <w:szCs w:val="17"/>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jc w:val="both"/>
        <w:ind w:firstLine="324"/>
        <w:spacing w:after="0" w:line="209"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ind w:right="660" w:firstLine="324"/>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56" w:lineRule="exact"/>
        <w:rPr>
          <w:sz w:val="24"/>
          <w:szCs w:val="24"/>
          <w:color w:val="auto"/>
        </w:rPr>
      </w:pPr>
    </w:p>
    <w:tbl>
      <w:tblPr>
        <w:tblLayout w:type="fixed"/>
        <w:tblInd w:w="40" w:type="dxa"/>
        <w:tblCellMar>
          <w:top w:w="0" w:type="dxa"/>
          <w:left w:w="0" w:type="dxa"/>
          <w:bottom w:w="0" w:type="dxa"/>
          <w:right w:w="0" w:type="dxa"/>
        </w:tblCellMar>
      </w:tblPr>
      <w:tr>
        <w:trPr>
          <w:trHeight w:val="269"/>
        </w:trPr>
        <w:tc>
          <w:tcPr>
            <w:tcW w:w="22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62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ind w:left="720"/>
              <w:spacing w:after="0"/>
              <w:rPr>
                <w:sz w:val="20"/>
                <w:szCs w:val="20"/>
                <w:color w:val="auto"/>
              </w:rPr>
            </w:pPr>
            <w:r>
              <w:rPr>
                <w:rFonts w:ascii="Arial" w:cs="Arial" w:eastAsia="Arial" w:hAnsi="Arial"/>
                <w:sz w:val="17"/>
                <w:szCs w:val="17"/>
                <w:color w:val="auto"/>
              </w:rPr>
              <w:t>Accelerated filer</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446"/>
        </w:trPr>
        <w:tc>
          <w:tcPr>
            <w:tcW w:w="2280" w:type="dxa"/>
            <w:vAlign w:val="bottom"/>
          </w:tcPr>
          <w:p>
            <w:pPr>
              <w:spacing w:after="0"/>
              <w:rPr>
                <w:sz w:val="20"/>
                <w:szCs w:val="20"/>
                <w:color w:val="auto"/>
              </w:rPr>
            </w:pPr>
            <w:r>
              <w:rPr>
                <w:rFonts w:ascii="Arial" w:cs="Arial" w:eastAsia="Arial" w:hAnsi="Arial"/>
                <w:sz w:val="17"/>
                <w:szCs w:val="17"/>
                <w:color w:val="auto"/>
              </w:rPr>
              <w:t>Non-accelerated filer</w:t>
            </w:r>
          </w:p>
        </w:tc>
        <w:tc>
          <w:tcPr>
            <w:tcW w:w="4620" w:type="dxa"/>
            <w:vAlign w:val="bottom"/>
          </w:tcPr>
          <w:p>
            <w:pPr>
              <w:ind w:left="4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w:t>
            </w:r>
          </w:p>
        </w:tc>
        <w:tc>
          <w:tcPr>
            <w:tcW w:w="3320" w:type="dxa"/>
            <w:vAlign w:val="bottom"/>
          </w:tcPr>
          <w:p>
            <w:pPr>
              <w:ind w:left="720"/>
              <w:spacing w:after="0"/>
              <w:rPr>
                <w:sz w:val="20"/>
                <w:szCs w:val="20"/>
                <w:color w:val="auto"/>
              </w:rPr>
            </w:pPr>
            <w:r>
              <w:rPr>
                <w:rFonts w:ascii="Arial" w:cs="Arial" w:eastAsia="Arial" w:hAnsi="Arial"/>
                <w:sz w:val="17"/>
                <w:szCs w:val="17"/>
                <w:color w:val="auto"/>
              </w:rPr>
              <w:t>Smaller Reporting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446"/>
        </w:trPr>
        <w:tc>
          <w:tcPr>
            <w:tcW w:w="22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462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47" w:lineRule="exact"/>
        <w:rPr>
          <w:sz w:val="24"/>
          <w:szCs w:val="24"/>
          <w:color w:val="auto"/>
        </w:rPr>
      </w:pPr>
    </w:p>
    <w:p>
      <w:pPr>
        <w:ind w:right="100" w:firstLine="324"/>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340"/>
        <w:spacing w:after="0" w:line="196" w:lineRule="exact"/>
        <w:tabs>
          <w:tab w:leader="none" w:pos="8240" w:val="left"/>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30"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The number of shares of the issuer's common stock, $0.01 par value, outstanding as of April 30, 2018 was 391,327,480.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187325</wp:posOffset>
            </wp:positionV>
            <wp:extent cx="7100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101600</wp:posOffset>
            </wp:positionV>
            <wp:extent cx="710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1" w:name="page2"/>
    <w:bookmarkEnd w:id="1"/>
    <w:p>
      <w:pPr>
        <w:jc w:val="center"/>
        <w:ind w:right="-599"/>
        <w:spacing w:after="0"/>
        <w:rPr>
          <w:sz w:val="20"/>
          <w:szCs w:val="20"/>
          <w:color w:val="auto"/>
        </w:rPr>
      </w:pPr>
      <w:r>
        <w:rPr>
          <w:rFonts w:ascii="Arial" w:cs="Arial" w:eastAsia="Arial" w:hAnsi="Arial"/>
          <w:sz w:val="18"/>
          <w:szCs w:val="18"/>
          <w:b w:val="1"/>
          <w:bCs w:val="1"/>
          <w:color w:val="auto"/>
        </w:rPr>
        <w:t>AGNC INVESTMENT CORP.</w:t>
      </w:r>
    </w:p>
    <w:p>
      <w:pPr>
        <w:spacing w:after="0" w:line="90"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TABLE OF CONTENTS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gridSpan w:val="5"/>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w:t>
              </w:r>
            </w:hyperlink>
          </w:p>
        </w:tc>
        <w:tc>
          <w:tcPr>
            <w:tcW w:w="7660" w:type="dxa"/>
            <w:vAlign w:val="bottom"/>
            <w:gridSpan w:val="12"/>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4"/>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3">
              <w:r>
                <w:rPr>
                  <w:rFonts w:ascii="Arial" w:cs="Arial" w:eastAsia="Arial" w:hAnsi="Arial"/>
                  <w:sz w:val="16"/>
                  <w:szCs w:val="16"/>
                  <w:color w:val="0000EE"/>
                  <w:w w:val="85"/>
                </w:rPr>
                <w:t>Item 1.</w:t>
              </w:r>
            </w:hyperlink>
          </w:p>
        </w:tc>
        <w:tc>
          <w:tcPr>
            <w:tcW w:w="100" w:type="dxa"/>
            <w:vAlign w:val="bottom"/>
            <w:tcBorders>
              <w:top w:val="single" w:sz="8" w:color="0000EE"/>
            </w:tcBorders>
          </w:tcPr>
          <w:p>
            <w:pPr>
              <w:spacing w:after="0"/>
              <w:rPr>
                <w:sz w:val="22"/>
                <w:szCs w:val="22"/>
                <w:color w:val="auto"/>
              </w:rPr>
            </w:pPr>
          </w:p>
        </w:tc>
        <w:tc>
          <w:tcPr>
            <w:tcW w:w="480" w:type="dxa"/>
            <w:vAlign w:val="bottom"/>
            <w:gridSpan w:val="3"/>
          </w:tcPr>
          <w:p>
            <w:pPr>
              <w:spacing w:after="0"/>
              <w:rPr>
                <w:sz w:val="22"/>
                <w:szCs w:val="22"/>
                <w:color w:val="auto"/>
              </w:rPr>
            </w:pPr>
          </w:p>
        </w:tc>
        <w:tc>
          <w:tcPr>
            <w:tcW w:w="2140" w:type="dxa"/>
            <w:vAlign w:val="bottom"/>
            <w:tcBorders>
              <w:top w:val="single" w:sz="8" w:color="0000EE"/>
            </w:tcBorders>
            <w:gridSpan w:val="9"/>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5520" w:type="dxa"/>
            <w:vAlign w:val="bottom"/>
            <w:gridSpan w:val="3"/>
          </w:tcPr>
          <w:p>
            <w:pPr>
              <w:spacing w:after="0"/>
              <w:rPr>
                <w:sz w:val="22"/>
                <w:szCs w:val="22"/>
                <w:color w:val="auto"/>
              </w:rPr>
            </w:pPr>
          </w:p>
        </w:tc>
        <w:tc>
          <w:tcPr>
            <w:tcW w:w="1980" w:type="dxa"/>
            <w:vAlign w:val="bottom"/>
            <w:gridSpan w:val="2"/>
          </w:tcPr>
          <w:p>
            <w:pPr>
              <w:jc w:val="center"/>
              <w:ind w:left="1814"/>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60" w:type="dxa"/>
            <w:vAlign w:val="bottom"/>
          </w:tcPr>
          <w:p>
            <w:pPr>
              <w:spacing w:after="0"/>
              <w:rPr>
                <w:sz w:val="22"/>
                <w:szCs w:val="22"/>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26">
              <w:r>
                <w:rPr>
                  <w:rFonts w:ascii="Arial" w:cs="Arial" w:eastAsia="Arial" w:hAnsi="Arial"/>
                  <w:sz w:val="16"/>
                  <w:szCs w:val="16"/>
                  <w:color w:val="0000EE"/>
                  <w:w w:val="85"/>
                </w:rPr>
                <w:t>Item 2.</w:t>
              </w:r>
            </w:hyperlink>
          </w:p>
        </w:tc>
        <w:tc>
          <w:tcPr>
            <w:tcW w:w="580" w:type="dxa"/>
            <w:vAlign w:val="bottom"/>
            <w:gridSpan w:val="4"/>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w w:val="91"/>
              </w:rPr>
            </w:pPr>
            <w:hyperlink w:anchor="page26">
              <w:r>
                <w:rPr>
                  <w:rFonts w:ascii="Arial" w:cs="Arial" w:eastAsia="Arial" w:hAnsi="Arial"/>
                  <w:sz w:val="16"/>
                  <w:szCs w:val="16"/>
                  <w:color w:val="0000EE"/>
                  <w:w w:val="91"/>
                </w:rPr>
                <w:t>Management's Discussion and Analysis of Financial Condition and Results of Operations</w:t>
              </w:r>
            </w:hyperlink>
          </w:p>
        </w:tc>
        <w:tc>
          <w:tcPr>
            <w:tcW w:w="1860" w:type="dxa"/>
            <w:vAlign w:val="bottom"/>
          </w:tcPr>
          <w:p>
            <w:pPr>
              <w:spacing w:after="0"/>
              <w:rPr>
                <w:sz w:val="21"/>
                <w:szCs w:val="21"/>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25</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43">
              <w:r>
                <w:rPr>
                  <w:rFonts w:ascii="Arial" w:cs="Arial" w:eastAsia="Arial" w:hAnsi="Arial"/>
                  <w:sz w:val="16"/>
                  <w:szCs w:val="16"/>
                  <w:color w:val="0000EE"/>
                  <w:w w:val="85"/>
                </w:rPr>
                <w:t>Item 3.</w:t>
              </w:r>
            </w:hyperlink>
          </w:p>
        </w:tc>
        <w:tc>
          <w:tcPr>
            <w:tcW w:w="580" w:type="dxa"/>
            <w:vAlign w:val="bottom"/>
            <w:gridSpan w:val="4"/>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Quantitative and Qualitative Disclosures About Market Risk</w:t>
              </w:r>
            </w:hyperlink>
          </w:p>
        </w:tc>
        <w:tc>
          <w:tcPr>
            <w:tcW w:w="1860" w:type="dxa"/>
            <w:vAlign w:val="bottom"/>
          </w:tcPr>
          <w:p>
            <w:pPr>
              <w:spacing w:after="0"/>
              <w:rPr>
                <w:sz w:val="21"/>
                <w:szCs w:val="21"/>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42</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46">
              <w:r>
                <w:rPr>
                  <w:rFonts w:ascii="Arial" w:cs="Arial" w:eastAsia="Arial" w:hAnsi="Arial"/>
                  <w:sz w:val="16"/>
                  <w:szCs w:val="16"/>
                  <w:color w:val="0000EE"/>
                  <w:w w:val="85"/>
                </w:rPr>
                <w:t>Item 4.</w:t>
              </w:r>
            </w:hyperlink>
          </w:p>
        </w:tc>
        <w:tc>
          <w:tcPr>
            <w:tcW w:w="580" w:type="dxa"/>
            <w:vAlign w:val="bottom"/>
            <w:gridSpan w:val="4"/>
          </w:tcPr>
          <w:p>
            <w:pPr>
              <w:spacing w:after="0"/>
              <w:rPr>
                <w:sz w:val="21"/>
                <w:szCs w:val="21"/>
                <w:color w:val="auto"/>
              </w:rPr>
            </w:pPr>
          </w:p>
        </w:tc>
        <w:tc>
          <w:tcPr>
            <w:tcW w:w="3920" w:type="dxa"/>
            <w:vAlign w:val="bottom"/>
            <w:gridSpan w:val="10"/>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Controls and Procedures</w:t>
              </w:r>
            </w:hyperlink>
          </w:p>
        </w:tc>
        <w:tc>
          <w:tcPr>
            <w:tcW w:w="3740" w:type="dxa"/>
            <w:vAlign w:val="bottom"/>
            <w:gridSpan w:val="2"/>
          </w:tcPr>
          <w:p>
            <w:pPr>
              <w:spacing w:after="0"/>
              <w:rPr>
                <w:sz w:val="21"/>
                <w:szCs w:val="21"/>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534"/>
        </w:trPr>
        <w:tc>
          <w:tcPr>
            <w:tcW w:w="1040" w:type="dxa"/>
            <w:vAlign w:val="bottom"/>
            <w:gridSpan w:val="5"/>
          </w:tcPr>
          <w:p>
            <w:pPr>
              <w:spacing w:after="0"/>
              <w:rPr>
                <w:rFonts w:ascii="Arial" w:cs="Arial" w:eastAsia="Arial" w:hAnsi="Arial"/>
                <w:sz w:val="16"/>
                <w:szCs w:val="16"/>
                <w:b w:val="1"/>
                <w:bCs w:val="1"/>
                <w:color w:val="0000EE"/>
              </w:rPr>
            </w:pPr>
            <w:hyperlink w:anchor="page47">
              <w:r>
                <w:rPr>
                  <w:rFonts w:ascii="Arial" w:cs="Arial" w:eastAsia="Arial" w:hAnsi="Arial"/>
                  <w:sz w:val="16"/>
                  <w:szCs w:val="16"/>
                  <w:b w:val="1"/>
                  <w:bCs w:val="1"/>
                  <w:color w:val="0000EE"/>
                </w:rPr>
                <w:t>PART II.</w:t>
              </w:r>
            </w:hyperlink>
          </w:p>
        </w:tc>
        <w:tc>
          <w:tcPr>
            <w:tcW w:w="7660" w:type="dxa"/>
            <w:vAlign w:val="bottom"/>
            <w:gridSpan w:val="12"/>
          </w:tcPr>
          <w:p>
            <w:pPr>
              <w:spacing w:after="0"/>
              <w:rPr>
                <w:rFonts w:ascii="Arial" w:cs="Arial" w:eastAsia="Arial" w:hAnsi="Arial"/>
                <w:sz w:val="16"/>
                <w:szCs w:val="16"/>
                <w:b w:val="1"/>
                <w:bCs w:val="1"/>
                <w:color w:val="0000EE"/>
              </w:rPr>
            </w:pPr>
            <w:hyperlink w:anchor="page47">
              <w:r>
                <w:rPr>
                  <w:rFonts w:ascii="Arial" w:cs="Arial" w:eastAsia="Arial" w:hAnsi="Arial"/>
                  <w:sz w:val="16"/>
                  <w:szCs w:val="16"/>
                  <w:b w:val="1"/>
                  <w:bCs w:val="1"/>
                  <w:color w:val="0000EE"/>
                </w:rPr>
                <w:t>OTHER INFORMATION</w:t>
              </w:r>
            </w:hyperlink>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47">
              <w:r>
                <w:rPr>
                  <w:rFonts w:ascii="Arial" w:cs="Arial" w:eastAsia="Arial" w:hAnsi="Arial"/>
                  <w:sz w:val="16"/>
                  <w:szCs w:val="16"/>
                  <w:color w:val="0000EE"/>
                  <w:w w:val="85"/>
                </w:rPr>
                <w:t>Item 1.</w:t>
              </w:r>
            </w:hyperlink>
          </w:p>
        </w:tc>
        <w:tc>
          <w:tcPr>
            <w:tcW w:w="220" w:type="dxa"/>
            <w:vAlign w:val="bottom"/>
            <w:tcBorders>
              <w:top w:val="single" w:sz="8" w:color="0000EE"/>
            </w:tcBorders>
            <w:gridSpan w:val="3"/>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Borders>
              <w:top w:val="single" w:sz="8" w:color="0000EE"/>
            </w:tcBorders>
            <w:gridSpan w:val="4"/>
          </w:tcPr>
          <w:p>
            <w:pPr>
              <w:spacing w:after="0"/>
              <w:rPr>
                <w:rFonts w:ascii="Arial" w:cs="Arial" w:eastAsia="Arial" w:hAnsi="Arial"/>
                <w:sz w:val="16"/>
                <w:szCs w:val="16"/>
                <w:color w:val="0000EE"/>
                <w:w w:val="85"/>
              </w:rPr>
            </w:pPr>
            <w:hyperlink w:anchor="page47">
              <w:r>
                <w:rPr>
                  <w:rFonts w:ascii="Arial" w:cs="Arial" w:eastAsia="Arial" w:hAnsi="Arial"/>
                  <w:sz w:val="16"/>
                  <w:szCs w:val="16"/>
                  <w:color w:val="0000EE"/>
                  <w:w w:val="85"/>
                </w:rPr>
                <w:t>Legal Proceedings</w:t>
              </w:r>
            </w:hyperlink>
          </w:p>
        </w:tc>
        <w:tc>
          <w:tcPr>
            <w:tcW w:w="640" w:type="dxa"/>
            <w:vAlign w:val="bottom"/>
            <w:tcBorders>
              <w:top w:val="single" w:sz="8" w:color="0000EE"/>
            </w:tcBorders>
            <w:gridSpan w:val="3"/>
          </w:tcPr>
          <w:p>
            <w:pPr>
              <w:spacing w:after="0"/>
              <w:rPr>
                <w:sz w:val="22"/>
                <w:szCs w:val="22"/>
                <w:color w:val="auto"/>
              </w:rPr>
            </w:pPr>
          </w:p>
        </w:tc>
        <w:tc>
          <w:tcPr>
            <w:tcW w:w="5840" w:type="dxa"/>
            <w:vAlign w:val="bottom"/>
            <w:gridSpan w:val="5"/>
          </w:tcPr>
          <w:p>
            <w:pPr>
              <w:spacing w:after="0"/>
              <w:rPr>
                <w:sz w:val="22"/>
                <w:szCs w:val="22"/>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gridSpan w:val="4"/>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6"/>
                <w:szCs w:val="16"/>
                <w:color w:val="0000EE"/>
                <w:w w:val="93"/>
              </w:rPr>
            </w:pPr>
            <w:hyperlink w:anchor="page47">
              <w:r>
                <w:rPr>
                  <w:rFonts w:ascii="Arial" w:cs="Arial" w:eastAsia="Arial" w:hAnsi="Arial"/>
                  <w:sz w:val="16"/>
                  <w:szCs w:val="16"/>
                  <w:color w:val="0000EE"/>
                  <w:w w:val="93"/>
                </w:rPr>
                <w:t>Item 1A.</w:t>
              </w:r>
            </w:hyperlink>
          </w:p>
        </w:tc>
        <w:tc>
          <w:tcPr>
            <w:tcW w:w="460" w:type="dxa"/>
            <w:vAlign w:val="bottom"/>
            <w:gridSpan w:val="2"/>
          </w:tcPr>
          <w:p>
            <w:pPr>
              <w:spacing w:after="0"/>
              <w:rPr>
                <w:sz w:val="21"/>
                <w:szCs w:val="21"/>
                <w:color w:val="auto"/>
              </w:rPr>
            </w:pPr>
          </w:p>
        </w:tc>
        <w:tc>
          <w:tcPr>
            <w:tcW w:w="7660" w:type="dxa"/>
            <w:vAlign w:val="bottom"/>
            <w:gridSpan w:val="12"/>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Risk Factors</w:t>
              </w:r>
            </w:hyperlink>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r>
      <w:tr>
        <w:trPr>
          <w:trHeight w:val="237"/>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47">
              <w:r>
                <w:rPr>
                  <w:rFonts w:ascii="Arial" w:cs="Arial" w:eastAsia="Arial" w:hAnsi="Arial"/>
                  <w:sz w:val="16"/>
                  <w:szCs w:val="16"/>
                  <w:color w:val="0000EE"/>
                  <w:w w:val="85"/>
                </w:rPr>
                <w:t>Item 2.</w:t>
              </w:r>
            </w:hyperlink>
          </w:p>
        </w:tc>
        <w:tc>
          <w:tcPr>
            <w:tcW w:w="120" w:type="dxa"/>
            <w:vAlign w:val="bottom"/>
            <w:tcBorders>
              <w:top w:val="single" w:sz="8" w:color="0000EE"/>
            </w:tcBorders>
            <w:gridSpan w:val="2"/>
          </w:tcPr>
          <w:p>
            <w:pPr>
              <w:spacing w:after="0"/>
              <w:rPr>
                <w:sz w:val="20"/>
                <w:szCs w:val="20"/>
                <w:color w:val="auto"/>
              </w:rPr>
            </w:pPr>
          </w:p>
        </w:tc>
        <w:tc>
          <w:tcPr>
            <w:tcW w:w="460" w:type="dxa"/>
            <w:vAlign w:val="bottom"/>
            <w:gridSpan w:val="2"/>
          </w:tcPr>
          <w:p>
            <w:pPr>
              <w:spacing w:after="0"/>
              <w:rPr>
                <w:sz w:val="20"/>
                <w:szCs w:val="20"/>
                <w:color w:val="auto"/>
              </w:rPr>
            </w:pPr>
          </w:p>
        </w:tc>
        <w:tc>
          <w:tcPr>
            <w:tcW w:w="660" w:type="dxa"/>
            <w:vAlign w:val="bottom"/>
            <w:tcBorders>
              <w:top w:val="single" w:sz="8" w:color="0000EE"/>
            </w:tcBorders>
            <w:gridSpan w:val="2"/>
          </w:tcPr>
          <w:p>
            <w:pPr>
              <w:spacing w:after="0"/>
              <w:rPr>
                <w:rFonts w:ascii="Arial" w:cs="Arial" w:eastAsia="Arial" w:hAnsi="Arial"/>
                <w:sz w:val="16"/>
                <w:szCs w:val="16"/>
                <w:color w:val="0000EE"/>
                <w:w w:val="87"/>
              </w:rPr>
            </w:pPr>
            <w:hyperlink w:anchor="page47">
              <w:r>
                <w:rPr>
                  <w:rFonts w:ascii="Arial" w:cs="Arial" w:eastAsia="Arial" w:hAnsi="Arial"/>
                  <w:sz w:val="16"/>
                  <w:szCs w:val="16"/>
                  <w:color w:val="0000EE"/>
                  <w:w w:val="87"/>
                </w:rPr>
                <w:t>Properties</w:t>
              </w:r>
            </w:hyperlink>
          </w:p>
        </w:tc>
        <w:tc>
          <w:tcPr>
            <w:tcW w:w="140" w:type="dxa"/>
            <w:vAlign w:val="bottom"/>
            <w:tcBorders>
              <w:top w:val="single" w:sz="8" w:color="0000EE"/>
            </w:tcBorders>
          </w:tcPr>
          <w:p>
            <w:pPr>
              <w:spacing w:after="0"/>
              <w:rPr>
                <w:sz w:val="20"/>
                <w:szCs w:val="20"/>
                <w:color w:val="auto"/>
              </w:rPr>
            </w:pPr>
          </w:p>
        </w:tc>
        <w:tc>
          <w:tcPr>
            <w:tcW w:w="6860" w:type="dxa"/>
            <w:vAlign w:val="bottom"/>
            <w:gridSpan w:val="9"/>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Borders>
              <w:top w:val="single" w:sz="8" w:color="0000EE"/>
            </w:tcBorders>
            <w:gridSpan w:val="2"/>
          </w:tcPr>
          <w:p>
            <w:pPr>
              <w:jc w:val="center"/>
              <w:ind w:right="20"/>
              <w:spacing w:after="0"/>
              <w:rPr>
                <w:rFonts w:ascii="Arial" w:cs="Arial" w:eastAsia="Arial" w:hAnsi="Arial"/>
                <w:sz w:val="15"/>
                <w:szCs w:val="15"/>
                <w:color w:val="0000EE"/>
                <w:w w:val="71"/>
              </w:rPr>
            </w:pPr>
            <w:hyperlink w:anchor="page47">
              <w:r>
                <w:rPr>
                  <w:rFonts w:ascii="Arial" w:cs="Arial" w:eastAsia="Arial" w:hAnsi="Arial"/>
                  <w:sz w:val="15"/>
                  <w:szCs w:val="15"/>
                  <w:color w:val="0000EE"/>
                  <w:w w:val="71"/>
                </w:rPr>
                <w:t>46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47">
              <w:r>
                <w:rPr>
                  <w:rFonts w:ascii="Arial" w:cs="Arial" w:eastAsia="Arial" w:hAnsi="Arial"/>
                  <w:sz w:val="16"/>
                  <w:szCs w:val="16"/>
                  <w:color w:val="0000EE"/>
                  <w:w w:val="85"/>
                </w:rPr>
                <w:t>Item 3.</w:t>
              </w:r>
            </w:hyperlink>
          </w:p>
        </w:tc>
        <w:tc>
          <w:tcPr>
            <w:tcW w:w="580" w:type="dxa"/>
            <w:vAlign w:val="bottom"/>
            <w:gridSpan w:val="4"/>
          </w:tcPr>
          <w:p>
            <w:pPr>
              <w:spacing w:after="0"/>
              <w:rPr>
                <w:sz w:val="20"/>
                <w:szCs w:val="20"/>
                <w:color w:val="auto"/>
              </w:rPr>
            </w:pPr>
          </w:p>
        </w:tc>
        <w:tc>
          <w:tcPr>
            <w:tcW w:w="2060" w:type="dxa"/>
            <w:vAlign w:val="bottom"/>
            <w:gridSpan w:val="8"/>
          </w:tcPr>
          <w:p>
            <w:pPr>
              <w:spacing w:after="0"/>
              <w:rPr>
                <w:rFonts w:ascii="Arial" w:cs="Arial" w:eastAsia="Arial" w:hAnsi="Arial"/>
                <w:sz w:val="16"/>
                <w:szCs w:val="16"/>
                <w:color w:val="0000EE"/>
                <w:w w:val="91"/>
              </w:rPr>
            </w:pPr>
            <w:hyperlink w:anchor="page47">
              <w:r>
                <w:rPr>
                  <w:rFonts w:ascii="Arial" w:cs="Arial" w:eastAsia="Arial" w:hAnsi="Arial"/>
                  <w:sz w:val="16"/>
                  <w:szCs w:val="16"/>
                  <w:color w:val="0000EE"/>
                  <w:w w:val="91"/>
                </w:rPr>
                <w:t>Defaults upon Senior Securities</w:t>
              </w:r>
            </w:hyperlink>
          </w:p>
        </w:tc>
        <w:tc>
          <w:tcPr>
            <w:tcW w:w="5600" w:type="dxa"/>
            <w:vAlign w:val="bottom"/>
            <w:gridSpan w:val="4"/>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47">
              <w:r>
                <w:rPr>
                  <w:rFonts w:ascii="Arial" w:cs="Arial" w:eastAsia="Arial" w:hAnsi="Arial"/>
                  <w:sz w:val="16"/>
                  <w:szCs w:val="16"/>
                  <w:color w:val="0000EE"/>
                  <w:w w:val="89"/>
                </w:rPr>
                <w:t>46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80" w:type="dxa"/>
            <w:vAlign w:val="bottom"/>
            <w:tcBorders>
              <w:left w:val="single" w:sz="8" w:color="0000EE"/>
            </w:tcBorders>
            <w:gridSpan w:val="4"/>
            <w:shd w:val="clear" w:color="auto" w:fill="0000EE"/>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47">
              <w:r>
                <w:rPr>
                  <w:rFonts w:ascii="Arial" w:cs="Arial" w:eastAsia="Arial" w:hAnsi="Arial"/>
                  <w:sz w:val="16"/>
                  <w:szCs w:val="16"/>
                  <w:color w:val="0000EE"/>
                  <w:w w:val="85"/>
                </w:rPr>
                <w:t>Item 4.</w:t>
              </w:r>
            </w:hyperlink>
          </w:p>
        </w:tc>
        <w:tc>
          <w:tcPr>
            <w:tcW w:w="580" w:type="dxa"/>
            <w:vAlign w:val="bottom"/>
            <w:gridSpan w:val="4"/>
          </w:tcPr>
          <w:p>
            <w:pPr>
              <w:spacing w:after="0"/>
              <w:rPr>
                <w:sz w:val="20"/>
                <w:szCs w:val="20"/>
                <w:color w:val="auto"/>
              </w:rPr>
            </w:pPr>
          </w:p>
        </w:tc>
        <w:tc>
          <w:tcPr>
            <w:tcW w:w="2060" w:type="dxa"/>
            <w:vAlign w:val="bottom"/>
            <w:gridSpan w:val="8"/>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Mine Safety Disclosures</w:t>
              </w:r>
            </w:hyperlink>
          </w:p>
        </w:tc>
        <w:tc>
          <w:tcPr>
            <w:tcW w:w="5600" w:type="dxa"/>
            <w:vAlign w:val="bottom"/>
            <w:gridSpan w:val="4"/>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47">
              <w:r>
                <w:rPr>
                  <w:rFonts w:ascii="Arial" w:cs="Arial" w:eastAsia="Arial" w:hAnsi="Arial"/>
                  <w:sz w:val="16"/>
                  <w:szCs w:val="16"/>
                  <w:color w:val="0000EE"/>
                  <w:w w:val="89"/>
                </w:rPr>
                <w:t>46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80" w:type="dxa"/>
            <w:vAlign w:val="bottom"/>
            <w:gridSpan w:val="6"/>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r>
              <w:rPr>
                <w:rFonts w:ascii="Arial" w:cs="Arial" w:eastAsia="Arial" w:hAnsi="Arial"/>
                <w:sz w:val="16"/>
                <w:szCs w:val="16"/>
                <w:color w:val="0000EE"/>
                <w:w w:val="85"/>
              </w:rPr>
              <w:t>Item 5.</w:t>
            </w:r>
          </w:p>
        </w:tc>
        <w:tc>
          <w:tcPr>
            <w:tcW w:w="580" w:type="dxa"/>
            <w:vAlign w:val="bottom"/>
            <w:gridSpan w:val="4"/>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EE"/>
                <w:w w:val="91"/>
              </w:rPr>
            </w:pPr>
            <w:hyperlink w:anchor="page47">
              <w:r>
                <w:rPr>
                  <w:rFonts w:ascii="Arial" w:cs="Arial" w:eastAsia="Arial" w:hAnsi="Arial"/>
                  <w:sz w:val="16"/>
                  <w:szCs w:val="16"/>
                  <w:color w:val="0000EE"/>
                  <w:w w:val="91"/>
                </w:rPr>
                <w:t>Other Information</w:t>
              </w:r>
            </w:hyperlink>
          </w:p>
        </w:tc>
        <w:tc>
          <w:tcPr>
            <w:tcW w:w="400" w:type="dxa"/>
            <w:vAlign w:val="bottom"/>
            <w:gridSpan w:val="2"/>
          </w:tcPr>
          <w:p>
            <w:pPr>
              <w:spacing w:after="0"/>
              <w:rPr>
                <w:sz w:val="20"/>
                <w:szCs w:val="20"/>
                <w:color w:val="auto"/>
              </w:rPr>
            </w:pPr>
          </w:p>
        </w:tc>
        <w:tc>
          <w:tcPr>
            <w:tcW w:w="6080" w:type="dxa"/>
            <w:vAlign w:val="bottom"/>
            <w:gridSpan w:val="6"/>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47">
              <w:r>
                <w:rPr>
                  <w:rFonts w:ascii="Arial" w:cs="Arial" w:eastAsia="Arial" w:hAnsi="Arial"/>
                  <w:sz w:val="16"/>
                  <w:szCs w:val="16"/>
                  <w:color w:val="0000EE"/>
                  <w:w w:val="89"/>
                </w:rPr>
                <w:t>46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480" w:type="dxa"/>
            <w:vAlign w:val="bottom"/>
            <w:gridSpan w:val="8"/>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32">
              <w:r>
                <w:rPr>
                  <w:rFonts w:ascii="Arial" w:cs="Arial" w:eastAsia="Arial" w:hAnsi="Arial"/>
                  <w:sz w:val="16"/>
                  <w:szCs w:val="16"/>
                  <w:color w:val="0000EE"/>
                  <w:w w:val="85"/>
                </w:rPr>
                <w:t>Item 6.</w:t>
              </w:r>
            </w:hyperlink>
          </w:p>
        </w:tc>
        <w:tc>
          <w:tcPr>
            <w:tcW w:w="580" w:type="dxa"/>
            <w:vAlign w:val="bottom"/>
            <w:gridSpan w:val="4"/>
          </w:tcPr>
          <w:p>
            <w:pPr>
              <w:spacing w:after="0"/>
              <w:rPr>
                <w:sz w:val="20"/>
                <w:szCs w:val="20"/>
                <w:color w:val="auto"/>
              </w:rPr>
            </w:pPr>
          </w:p>
        </w:tc>
        <w:tc>
          <w:tcPr>
            <w:tcW w:w="540" w:type="dxa"/>
            <w:vAlign w:val="bottom"/>
          </w:tcPr>
          <w:p>
            <w:pPr>
              <w:spacing w:after="0"/>
              <w:rPr>
                <w:rFonts w:ascii="Arial" w:cs="Arial" w:eastAsia="Arial" w:hAnsi="Arial"/>
                <w:sz w:val="16"/>
                <w:szCs w:val="16"/>
                <w:color w:val="0000EE"/>
                <w:w w:val="92"/>
              </w:rPr>
            </w:pPr>
            <w:hyperlink w:anchor="page47">
              <w:r>
                <w:rPr>
                  <w:rFonts w:ascii="Arial" w:cs="Arial" w:eastAsia="Arial" w:hAnsi="Arial"/>
                  <w:sz w:val="16"/>
                  <w:szCs w:val="16"/>
                  <w:color w:val="0000EE"/>
                  <w:w w:val="92"/>
                </w:rPr>
                <w:t>Exhibits</w:t>
              </w:r>
            </w:hyperlink>
          </w:p>
        </w:tc>
        <w:tc>
          <w:tcPr>
            <w:tcW w:w="640" w:type="dxa"/>
            <w:vAlign w:val="bottom"/>
            <w:gridSpan w:val="3"/>
          </w:tcPr>
          <w:p>
            <w:pPr>
              <w:spacing w:after="0"/>
              <w:rPr>
                <w:sz w:val="20"/>
                <w:szCs w:val="20"/>
                <w:color w:val="auto"/>
              </w:rPr>
            </w:pPr>
          </w:p>
        </w:tc>
        <w:tc>
          <w:tcPr>
            <w:tcW w:w="6480" w:type="dxa"/>
            <w:vAlign w:val="bottom"/>
            <w:gridSpan w:val="8"/>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47">
              <w:r>
                <w:rPr>
                  <w:rFonts w:ascii="Arial" w:cs="Arial" w:eastAsia="Arial" w:hAnsi="Arial"/>
                  <w:sz w:val="16"/>
                  <w:szCs w:val="16"/>
                  <w:color w:val="0000EE"/>
                  <w:w w:val="89"/>
                </w:rPr>
                <w:t>46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561"/>
        </w:trPr>
        <w:tc>
          <w:tcPr>
            <w:tcW w:w="680" w:type="dxa"/>
            <w:vAlign w:val="bottom"/>
            <w:gridSpan w:val="4"/>
          </w:tcPr>
          <w:p>
            <w:pPr>
              <w:spacing w:after="0"/>
              <w:rPr>
                <w:sz w:val="20"/>
                <w:szCs w:val="20"/>
                <w:color w:val="auto"/>
              </w:rPr>
            </w:pPr>
            <w:r>
              <w:rPr>
                <w:rFonts w:ascii="Arial" w:cs="Arial" w:eastAsia="Arial" w:hAnsi="Arial"/>
                <w:sz w:val="16"/>
                <w:szCs w:val="16"/>
                <w:color w:val="0000EE"/>
                <w:w w:val="83"/>
              </w:rPr>
              <w:t>Signatures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49">
              <w:r>
                <w:rPr>
                  <w:rFonts w:ascii="Arial" w:cs="Arial" w:eastAsia="Arial" w:hAnsi="Arial"/>
                  <w:sz w:val="16"/>
                  <w:szCs w:val="16"/>
                  <w:color w:val="0000EE"/>
                  <w:w w:val="89"/>
                </w:rPr>
                <w:t>48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280" w:top="580"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March 31, 2018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December 31, 2017</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(Unaudited)</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Agency securities, at fair value (including pledged securities of $51,434 and $53,055, respectively)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54,141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55,506</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Credit risk transfer securities, at fair value</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876</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Non-Agency securities, at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U.S. Treasury securities, at fair value</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REIT equity securities, at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1,046</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Derivative assets, at fair value</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205</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 under reverse repurchase agreements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10,961</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Goodwill and other intangible assets, net</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551</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r>
        <w:trPr>
          <w:trHeight w:val="284"/>
        </w:trPr>
        <w:tc>
          <w:tcPr>
            <w:tcW w:w="81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69,221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70,376</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Repurchase agreements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48,956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50,296</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of consolidated variable interest entities, at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Payable for investment securities purchased</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95</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liabilities, at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Dividends payable</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Obligation to return securities borrowed under reverse repurchase agreements, at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10,467</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Accounts payable and other liabilities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299</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60,883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61,622</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7.750% Series B Cumulative Redeemable Preferred Stock (aggregate liquidation preference of $175)</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r>
      <w:tr>
        <w:trPr>
          <w:trHeight w:val="220"/>
        </w:trPr>
        <w:tc>
          <w:tcPr>
            <w:tcW w:w="8120" w:type="dxa"/>
            <w:vAlign w:val="bottom"/>
          </w:tcPr>
          <w:p>
            <w:pPr>
              <w:ind w:left="280"/>
              <w:spacing w:after="0"/>
              <w:rPr>
                <w:sz w:val="20"/>
                <w:szCs w:val="20"/>
                <w:color w:val="auto"/>
              </w:rPr>
            </w:pPr>
            <w:r>
              <w:rPr>
                <w:rFonts w:ascii="Arial" w:cs="Arial" w:eastAsia="Arial" w:hAnsi="Arial"/>
                <w:sz w:val="16"/>
                <w:szCs w:val="16"/>
                <w:color w:val="auto"/>
                <w:w w:val="93"/>
              </w:rPr>
              <w:t>7.000% Series C Fixed-to-Floating Rate Cumulative Redeemable Preferred Stock (aggregate liquidation preference of</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6"/>
        </w:trPr>
        <w:tc>
          <w:tcPr>
            <w:tcW w:w="8120" w:type="dxa"/>
            <w:vAlign w:val="bottom"/>
          </w:tcPr>
          <w:p>
            <w:pPr>
              <w:ind w:left="280"/>
              <w:spacing w:after="0"/>
              <w:rPr>
                <w:sz w:val="20"/>
                <w:szCs w:val="20"/>
                <w:color w:val="auto"/>
              </w:rPr>
            </w:pPr>
            <w:r>
              <w:rPr>
                <w:rFonts w:ascii="Arial" w:cs="Arial" w:eastAsia="Arial" w:hAnsi="Arial"/>
                <w:sz w:val="16"/>
                <w:szCs w:val="16"/>
                <w:color w:val="auto"/>
              </w:rPr>
              <w:t>$325)</w:t>
            </w:r>
          </w:p>
        </w:tc>
        <w:tc>
          <w:tcPr>
            <w:tcW w:w="220" w:type="dxa"/>
            <w:vAlign w:val="bottom"/>
          </w:tcPr>
          <w:p>
            <w:pPr>
              <w:spacing w:after="0"/>
              <w:rPr>
                <w:sz w:val="17"/>
                <w:szCs w:val="17"/>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315</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Common stock - $0.01 par value; 600.0 shares authorized; 391.3 shares issued and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11,174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11,173</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Retained deficit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(2,562)</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8,754</w:t>
            </w:r>
          </w:p>
        </w:tc>
      </w:tr>
      <w:tr>
        <w:trPr>
          <w:trHeight w:val="244"/>
        </w:trPr>
        <w:tc>
          <w:tcPr>
            <w:tcW w:w="8120" w:type="dxa"/>
            <w:vAlign w:val="bottom"/>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69,221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70,376</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362"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Three Months Ended March</w:t>
      </w:r>
    </w:p>
    <w:p>
      <w:pPr>
        <w:spacing w:after="0" w:line="26"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33020</wp:posOffset>
            </wp:positionV>
            <wp:extent cx="1389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0"/>
              <w:spacing w:after="0"/>
              <w:rPr>
                <w:sz w:val="20"/>
                <w:szCs w:val="20"/>
                <w:color w:val="auto"/>
              </w:rPr>
            </w:pPr>
            <w:r>
              <w:rPr>
                <w:rFonts w:ascii="Arial" w:cs="Arial" w:eastAsia="Arial" w:hAnsi="Arial"/>
                <w:sz w:val="16"/>
                <w:szCs w:val="16"/>
                <w:b w:val="1"/>
                <w:bCs w:val="1"/>
                <w:color w:val="auto"/>
              </w:rPr>
              <w:t>2017</w:t>
            </w:r>
          </w:p>
        </w:tc>
      </w:tr>
      <w:tr>
        <w:trPr>
          <w:trHeight w:val="33"/>
        </w:trPr>
        <w:tc>
          <w:tcPr>
            <w:tcW w:w="8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37"/>
        </w:trPr>
        <w:tc>
          <w:tcPr>
            <w:tcW w:w="8140" w:type="dxa"/>
            <w:vAlign w:val="bottom"/>
          </w:tcPr>
          <w:p>
            <w:pPr>
              <w:ind w:left="700"/>
              <w:spacing w:after="0"/>
              <w:rPr>
                <w:sz w:val="20"/>
                <w:szCs w:val="20"/>
                <w:color w:val="auto"/>
              </w:rPr>
            </w:pPr>
            <w:r>
              <w:rPr>
                <w:rFonts w:ascii="Arial" w:cs="Arial" w:eastAsia="Arial" w:hAnsi="Arial"/>
                <w:sz w:val="18"/>
                <w:szCs w:val="18"/>
                <w:color w:val="auto"/>
              </w:rPr>
              <w:t>Net interest income</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8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gain (loss), net: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380"/>
              <w:spacing w:after="0"/>
              <w:rPr>
                <w:sz w:val="20"/>
                <w:szCs w:val="20"/>
                <w:color w:val="auto"/>
              </w:rPr>
            </w:pPr>
            <w:r>
              <w:rPr>
                <w:rFonts w:ascii="Arial" w:cs="Arial" w:eastAsia="Arial" w:hAnsi="Arial"/>
                <w:sz w:val="18"/>
                <w:szCs w:val="18"/>
                <w:color w:val="auto"/>
              </w:rPr>
              <w:t>Loss on sale of investment securities, net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investment securities measured at fair value through net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8140" w:type="dxa"/>
            <w:vAlign w:val="bottom"/>
          </w:tcPr>
          <w:p>
            <w:pPr>
              <w:ind w:left="380"/>
              <w:spacing w:after="0"/>
              <w:rPr>
                <w:sz w:val="20"/>
                <w:szCs w:val="20"/>
                <w:color w:val="auto"/>
              </w:rPr>
            </w:pPr>
            <w:r>
              <w:rPr>
                <w:rFonts w:ascii="Arial" w:cs="Arial" w:eastAsia="Arial" w:hAnsi="Arial"/>
                <w:sz w:val="18"/>
                <w:szCs w:val="18"/>
                <w:color w:val="auto"/>
              </w:rPr>
              <w:t>Gain (loss) on derivative instruments and other securities, net</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fee income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8140" w:type="dxa"/>
            <w:vAlign w:val="bottom"/>
          </w:tcPr>
          <w:p>
            <w:pPr>
              <w:ind w:left="700"/>
              <w:spacing w:after="0"/>
              <w:rPr>
                <w:sz w:val="20"/>
                <w:szCs w:val="20"/>
                <w:color w:val="auto"/>
              </w:rPr>
            </w:pPr>
            <w:r>
              <w:rPr>
                <w:rFonts w:ascii="Arial" w:cs="Arial" w:eastAsia="Arial" w:hAnsi="Arial"/>
                <w:sz w:val="18"/>
                <w:szCs w:val="18"/>
                <w:color w:val="auto"/>
              </w:rPr>
              <w:t>Total other gain (loss), net:</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8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380"/>
              <w:spacing w:after="0"/>
              <w:rPr>
                <w:sz w:val="20"/>
                <w:szCs w:val="20"/>
                <w:color w:val="auto"/>
              </w:rPr>
            </w:pPr>
            <w:r>
              <w:rPr>
                <w:rFonts w:ascii="Arial" w:cs="Arial" w:eastAsia="Arial" w:hAnsi="Arial"/>
                <w:sz w:val="18"/>
                <w:szCs w:val="18"/>
                <w:color w:val="auto"/>
              </w:rPr>
              <w:t>Compensation and benefits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37"/>
        </w:trPr>
        <w:tc>
          <w:tcPr>
            <w:tcW w:w="81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8140" w:type="dxa"/>
            <w:vAlign w:val="bottom"/>
          </w:tcPr>
          <w:p>
            <w:pPr>
              <w:ind w:left="380"/>
              <w:spacing w:after="0"/>
              <w:rPr>
                <w:sz w:val="20"/>
                <w:szCs w:val="20"/>
                <w:color w:val="auto"/>
              </w:rPr>
            </w:pPr>
            <w:r>
              <w:rPr>
                <w:rFonts w:ascii="Arial" w:cs="Arial" w:eastAsia="Arial" w:hAnsi="Arial"/>
                <w:sz w:val="18"/>
                <w:szCs w:val="18"/>
                <w:color w:val="auto"/>
              </w:rPr>
              <w:t>Dividend on preferred stock</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8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available to common stockholders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11"/>
        </w:trPr>
        <w:tc>
          <w:tcPr>
            <w:tcW w:w="8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securities, net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on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9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Comprehensive income (loss) available (attributable) to common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r>
      <w:tr>
        <w:trPr>
          <w:trHeight w:val="311"/>
        </w:trPr>
        <w:tc>
          <w:tcPr>
            <w:tcW w:w="8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304"/>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391.3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331.0</w:t>
            </w:r>
          </w:p>
        </w:tc>
      </w:tr>
      <w:tr>
        <w:trPr>
          <w:trHeight w:val="25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diluted</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331.1</w:t>
            </w: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per common share - basic and diluted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0.21</w:t>
            </w:r>
          </w:p>
        </w:tc>
      </w:tr>
      <w:tr>
        <w:trPr>
          <w:trHeight w:val="25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declared per common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20"/>
          </w:cols>
          <w:pgMar w:left="800" w:top="580" w:right="7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7.000% Series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8.000% Series</w:t>
            </w: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7.750% Series</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 Fixed-to-</w:t>
            </w:r>
          </w:p>
        </w:tc>
        <w:tc>
          <w:tcPr>
            <w:tcW w:w="158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30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Floating Rate</w:t>
            </w:r>
          </w:p>
        </w:tc>
        <w:tc>
          <w:tcPr>
            <w:tcW w:w="158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116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A Cumulative</w:t>
            </w:r>
          </w:p>
        </w:tc>
        <w:tc>
          <w:tcPr>
            <w:tcW w:w="100" w:type="dxa"/>
            <w:vAlign w:val="bottom"/>
          </w:tcPr>
          <w:p>
            <w:pPr>
              <w:spacing w:after="0"/>
              <w:rPr>
                <w:sz w:val="10"/>
                <w:szCs w:val="10"/>
                <w:color w:val="auto"/>
              </w:rPr>
            </w:pPr>
          </w:p>
        </w:tc>
        <w:tc>
          <w:tcPr>
            <w:tcW w:w="10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B Cumulative</w:t>
            </w:r>
          </w:p>
        </w:tc>
        <w:tc>
          <w:tcPr>
            <w:tcW w:w="10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Cumulative</w:t>
            </w: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Redeemable</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Redeemable</w:t>
            </w: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66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Preferred Stock</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Preferred Stock</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9,932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7,356</w:t>
            </w:r>
          </w:p>
        </w:tc>
        <w:tc>
          <w:tcPr>
            <w:tcW w:w="0" w:type="dxa"/>
            <w:vAlign w:val="bottom"/>
          </w:tcPr>
          <w:p>
            <w:pPr>
              <w:spacing w:after="0"/>
              <w:rPr>
                <w:sz w:val="1"/>
                <w:szCs w:val="1"/>
                <w:color w:val="auto"/>
              </w:rPr>
            </w:pPr>
          </w:p>
        </w:tc>
      </w:tr>
      <w:tr>
        <w:trPr>
          <w:trHeight w:val="264"/>
        </w:trPr>
        <w:tc>
          <w:tcPr>
            <w:tcW w:w="23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380"/>
              <w:spacing w:after="0" w:line="157" w:lineRule="exact"/>
              <w:rPr>
                <w:sz w:val="20"/>
                <w:szCs w:val="20"/>
                <w:color w:val="auto"/>
              </w:rPr>
            </w:pPr>
            <w:r>
              <w:rPr>
                <w:rFonts w:ascii="Arial" w:cs="Arial" w:eastAsia="Arial" w:hAnsi="Arial"/>
                <w:sz w:val="14"/>
                <w:szCs w:val="14"/>
                <w:color w:val="auto"/>
              </w:rPr>
              <w:t>Unrealized gain on available-</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380"/>
              <w:spacing w:after="0"/>
              <w:rPr>
                <w:sz w:val="20"/>
                <w:szCs w:val="20"/>
                <w:color w:val="auto"/>
              </w:rPr>
            </w:pPr>
            <w:r>
              <w:rPr>
                <w:rFonts w:ascii="Arial" w:cs="Arial" w:eastAsia="Arial" w:hAnsi="Arial"/>
                <w:sz w:val="14"/>
                <w:szCs w:val="14"/>
                <w:color w:val="auto"/>
              </w:rPr>
              <w:t>for-sale securities, net</w:t>
            </w: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7"/>
              </w:rPr>
              <w:t>Preferred dividends declared</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w w:val="98"/>
              </w:rPr>
              <w:t>Common dividends declared</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31, 2017</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9,932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7,292</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8,754</w:t>
            </w:r>
          </w:p>
        </w:tc>
        <w:tc>
          <w:tcPr>
            <w:tcW w:w="0" w:type="dxa"/>
            <w:vAlign w:val="bottom"/>
          </w:tcPr>
          <w:p>
            <w:pPr>
              <w:spacing w:after="0"/>
              <w:rPr>
                <w:sz w:val="1"/>
                <w:szCs w:val="1"/>
                <w:color w:val="auto"/>
              </w:rPr>
            </w:pPr>
          </w:p>
        </w:tc>
      </w:tr>
      <w:tr>
        <w:trPr>
          <w:trHeight w:val="264"/>
        </w:trPr>
        <w:tc>
          <w:tcPr>
            <w:tcW w:w="23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380"/>
              <w:spacing w:after="0" w:line="157" w:lineRule="exact"/>
              <w:rPr>
                <w:sz w:val="20"/>
                <w:szCs w:val="20"/>
                <w:color w:val="auto"/>
              </w:rPr>
            </w:pPr>
            <w:r>
              <w:rPr>
                <w:rFonts w:ascii="Arial" w:cs="Arial" w:eastAsia="Arial" w:hAnsi="Arial"/>
                <w:sz w:val="14"/>
                <w:szCs w:val="14"/>
                <w:color w:val="auto"/>
              </w:rPr>
              <w:t>Unrealized loss on available-</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380"/>
              <w:spacing w:after="0"/>
              <w:rPr>
                <w:sz w:val="20"/>
                <w:szCs w:val="20"/>
                <w:color w:val="auto"/>
              </w:rPr>
            </w:pPr>
            <w:r>
              <w:rPr>
                <w:rFonts w:ascii="Arial" w:cs="Arial" w:eastAsia="Arial" w:hAnsi="Arial"/>
                <w:sz w:val="14"/>
                <w:szCs w:val="14"/>
                <w:color w:val="auto"/>
              </w:rPr>
              <w:t>for-sale securities, net</w:t>
            </w: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2300" w:type="dxa"/>
            <w:vAlign w:val="bottom"/>
          </w:tcPr>
          <w:p>
            <w:pPr>
              <w:ind w:left="540"/>
              <w:spacing w:after="0"/>
              <w:rPr>
                <w:sz w:val="20"/>
                <w:szCs w:val="20"/>
                <w:color w:val="auto"/>
              </w:rPr>
            </w:pPr>
            <w:r>
              <w:rPr>
                <w:rFonts w:ascii="Arial" w:cs="Arial" w:eastAsia="Arial" w:hAnsi="Arial"/>
                <w:sz w:val="14"/>
                <w:szCs w:val="14"/>
                <w:color w:val="auto"/>
                <w:w w:val="97"/>
              </w:rPr>
              <w:t>Preferred dividends declared</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8"/>
              </w:rPr>
              <w:t>Common dividends declared</w:t>
            </w: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Balance, March 31, 2018</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391.3</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11,174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(2,358)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8,338</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(in millions)</w:t>
      </w:r>
    </w:p>
    <w:p>
      <w:pPr>
        <w:spacing w:after="0" w:line="157"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5415915</wp:posOffset>
            </wp:positionH>
            <wp:positionV relativeFrom="paragraph">
              <wp:posOffset>33020</wp:posOffset>
            </wp:positionV>
            <wp:extent cx="1269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r>
      <w:tr>
        <w:trPr>
          <w:trHeight w:val="33"/>
        </w:trPr>
        <w:tc>
          <w:tcPr>
            <w:tcW w:w="8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7"/>
        </w:trPr>
        <w:tc>
          <w:tcPr>
            <w:tcW w:w="85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76</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Loss on sale of investment securities, net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Unrealized (gain) loss on investment securities measured at fair value through net income, net</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(Gain) loss on derivative instruments and other securities, net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Decrease in other assets</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125</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Increase (decrease) in accounts payable and other 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85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390</w:t>
            </w:r>
          </w:p>
        </w:tc>
      </w:tr>
      <w:tr>
        <w:trPr>
          <w:trHeight w:val="33"/>
        </w:trPr>
        <w:tc>
          <w:tcPr>
            <w:tcW w:w="8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Purchases of Agency mortgage-backed securities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(4,573)</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Purchases of credit risk transfer and non-Agency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Proceeds from sale of Agency mortgage-backed securities</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4,424</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Proceeds from sale of credit risk transfer and non-Agency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Principal collections on Agency mortgage-backed securities</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1,636</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Principal collections on credit risk transfer and non-Agency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Payments on U.S. Treasury securities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(1,748)</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Proceeds from U.S.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2,999</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Net proceeds from (payments on) reverse repurchase agreements</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(1,192)</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proceeds from (payments on) 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Purchases of REIT equity securities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1,354</w:t>
            </w:r>
          </w:p>
        </w:tc>
      </w:tr>
      <w:tr>
        <w:trPr>
          <w:trHeight w:val="231"/>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Proceeds from repurchase arrangements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243,168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77,864</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Payments on repurchase agreements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(244,507)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(76,347)</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Payments on Federal Home Loan Bank advances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(3,037)</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Payments on debt of consolidated variable interest entities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dividends paid</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17"/>
        </w:trPr>
        <w:tc>
          <w:tcPr>
            <w:tcW w:w="852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(1,734)</w:t>
            </w:r>
          </w:p>
        </w:tc>
      </w:tr>
      <w:tr>
        <w:trPr>
          <w:trHeight w:val="33"/>
        </w:trPr>
        <w:tc>
          <w:tcPr>
            <w:tcW w:w="8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37"/>
        </w:trPr>
        <w:tc>
          <w:tcPr>
            <w:tcW w:w="85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1,282</w:t>
            </w:r>
          </w:p>
        </w:tc>
      </w:tr>
      <w:tr>
        <w:trPr>
          <w:trHeight w:val="33"/>
        </w:trPr>
        <w:tc>
          <w:tcPr>
            <w:tcW w:w="8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1,292</w:t>
            </w:r>
          </w:p>
        </w:tc>
      </w:tr>
      <w:tr>
        <w:trPr>
          <w:trHeight w:val="20"/>
        </w:trPr>
        <w:tc>
          <w:tcPr>
            <w:tcW w:w="8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20"/>
          </w:cols>
          <w:pgMar w:left="700" w:top="580" w:right="6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unaudited interim consolidated financial statements of AGNC Investment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11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unaudited interim consolidated financial statements include the accounts of all of our wholly-owned subsidiaries and variable interest entities for which we are the primary beneficiary. Significant intercompany accounts and transactions have been eliminated.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Accounting Standard Updates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As of January 1, 2018, we adopted Accounting Standards Update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ASU 2016-18</w:t>
      </w:r>
      <w:r>
        <w:rPr>
          <w:rFonts w:ascii="Arial" w:cs="Arial" w:eastAsia="Arial" w:hAnsi="Arial"/>
          <w:sz w:val="18"/>
          <w:szCs w:val="18"/>
          <w:i w:val="1"/>
          <w:iCs w:val="1"/>
          <w:color w:val="auto"/>
        </w:rPr>
        <w:t>, Statement of Cash Flows (Topic 230) - Restricted Cash.</w:t>
      </w:r>
      <w:r>
        <w:rPr>
          <w:rFonts w:ascii="Arial" w:cs="Arial" w:eastAsia="Arial" w:hAnsi="Arial"/>
          <w:sz w:val="18"/>
          <w:szCs w:val="18"/>
          <w:color w:val="auto"/>
        </w:rPr>
        <w:t xml:space="preserve"> The adoption of ASU 2014-09 resulted in reclassification of expense reimbursements from MTGE Investment Corp. ("MTGE") from an other operating expense offset to management fee income on the consolidated statements of comprehensive income. Net income was not impacted. The adoption of ASU 2016-18 resulted in the presentation of restricted cash with cash and cash equivalents on the consolidated statements of cash flows when reconciling the total beginning and ending amounts. Our prior period results have been revised to conform to the current presentation.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Organization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to qualify to be taxed as a real estate investment trust ("REIT") under the Internal Revenue Code of 1986, as amended (the "Internal Revenue Code"). As a REIT, we are required to distribute annually 90% of our taxable income. So long as we continue to qualify as a REIT, we will generally not be subject to U.S. Federal or state corporate taxes on our taxable income to the extent that we distribute our annual taxable income to our stockholders on a timely basis. It is our intention to distribute 100% of our taxable income, after application of available tax attributes, within the limits prescribed by the Internal Revenue Code, which may extend into the subsequent tax year.</w:t>
      </w:r>
    </w:p>
    <w:p>
      <w:pPr>
        <w:spacing w:after="0" w:line="13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earn income primarily from investing in Agency residential mortgage-backed securities ("Agency RMBS") for which the principal and interest payments are guaranteed by a U.S. Government-sponsored enterprise or a U.S. Government agency. We may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U.S. Government-sponsored enterprise or U.S. Government agency. We fund our investments primarily through borrowings structured as repurchase agreements.</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both"/>
        <w:ind w:firstLine="405"/>
        <w:spacing w:after="0" w:line="255" w:lineRule="auto"/>
        <w:rPr>
          <w:sz w:val="20"/>
          <w:szCs w:val="20"/>
          <w:color w:val="auto"/>
        </w:rPr>
      </w:pPr>
      <w:r>
        <w:rPr>
          <w:rFonts w:ascii="Arial" w:cs="Arial" w:eastAsia="Arial" w:hAnsi="Arial"/>
          <w:sz w:val="18"/>
          <w:szCs w:val="18"/>
          <w:color w:val="auto"/>
        </w:rPr>
        <w:t>CRT securities are risk sharing instruments issued by the GSEs, and similarly structured transactions issued by third-party market participants, that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13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Mortgage-related securities may also include investments in the common stock of other publicly traded mortgage REITs, including MTGE, that primarily invest in Agency securities, non-Agency securities, other mortgage related instruments and/or real estate on a leveraged basis. As of March 31, 2018, our investments in REIT equity securities consisted solely of MTGE common stock.</w:t>
      </w:r>
    </w:p>
    <w:p>
      <w:pPr>
        <w:spacing w:after="0" w:line="12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Accounting Standards Codification ("ASC") Topic 320, </w:t>
      </w:r>
      <w:r>
        <w:rPr>
          <w:rFonts w:ascii="Arial" w:cs="Arial" w:eastAsia="Arial" w:hAnsi="Arial"/>
          <w:sz w:val="17"/>
          <w:szCs w:val="17"/>
          <w:i w:val="1"/>
          <w:iCs w:val="1"/>
          <w:color w:val="auto"/>
        </w:rPr>
        <w:t>Investments—Debt and Equity Securities</w:t>
      </w:r>
      <w:r>
        <w:rPr>
          <w:rFonts w:ascii="Arial" w:cs="Arial" w:eastAsia="Arial" w:hAnsi="Arial"/>
          <w:sz w:val="17"/>
          <w:szCs w:val="17"/>
          <w:color w:val="auto"/>
        </w:rPr>
        <w:t xml:space="preserve">, requires that at the time of purchase, we designate a security as held-to-maturity, available-for-sale or trading, depending on our ability and intent to hold such security to maturity. Alternatively, we may elect the fair value option of accounting for such securities pursuant to ASC Topic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All of our securities are reported at fair value as they have either been designated as available-for-sale or trading or we have elected the fair value option of accounting. Unrealized gains and losses on securities classified as available-for-sale are reported in accumulated other comprehensive income ("OCI"). Unrealized gains and losses on securities classified as trading or for which we elected the fair value option are reported in net income through other gain (loss) during the period in which they occur. Upon the sale of a security designated as available-for-sale, we determine the cost of the security and the amount of unrealized gains or losses to reclassify out of accumulated OCI into earnings based on the specific identification method.</w:t>
      </w:r>
    </w:p>
    <w:p>
      <w:pPr>
        <w:spacing w:after="0" w:line="1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Prior to fiscal year 2017, we primarily designated our investment securities as available-for-sale. On January 1, 2017, we began electing the fair value option of accounting for all investment securities acquired after fiscal year 2016. In our view, this election simplifies the accounting for investment securities and more appropriately reflects the results of our operations for a particular reporting period, as the fair value changes for these assets are presented in a manner consistent with the presentation and timing of the fair value changes of our hedging instruments. We are not permitted to change the designation of securities acquired prior to January 1, 2017; accordingly, such securities will continue to be classified as available-for-sale securities until we receive full repayment of principal or we dispose of the security.</w:t>
      </w:r>
    </w:p>
    <w:p>
      <w:pPr>
        <w:spacing w:after="0" w:line="13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estimate the fair value of our investment securities based on prices provided by multiple third-party pricing services and non-binding dealer quotes (collectively "pricing sources"). These pricing sources use various valuation approaches, including market and income approaches, using "Level 2" inputs. The pricing sources primarily utilize a matrix pricing technique that interpolates the estimated fair value of our Agency RMBS based on observed quoted prices for forward contracts in the Agency RMBS "to-be-announced" market ("TBA securities") of the same coupon, maturity and issuer, adjusted to reflect the specific characteristics of the pool of mortgages underlying the Agency security, which may include maximum loan balance, loan vintage, loan-to-value ratio, geography and other characteristics as may be appropriate. The pricing sources may also utilize discounted cash flow model-derived pricing techniques to estimate the fair value of investment securities. Such models incorporate market-based discount rate assumptions based on observable inputs such as recent trading activity, credit data, volatility statistics, benchmark interest rate curves and other market data that are current as of the measurement date and may include certain unobservable inputs, such as assumptions of future levels of prepayment, defaults and loss severities. We review the pricing estimates obtained from the pricing sources and perform procedures to validate their reasonableness. Refer to Note 8 for further discussion of fair value measurements.</w:t>
      </w:r>
    </w:p>
    <w:p>
      <w:pPr>
        <w:spacing w:after="0" w:line="11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evaluate our investments designated as available-for-sale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w:t>
      </w:r>
    </w:p>
    <w:p>
      <w:pPr>
        <w:jc w:val="both"/>
        <w:ind w:firstLine="8"/>
        <w:spacing w:after="0" w:line="254"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Receivables—Nonrefundable Fees and Other Costs</w:t>
      </w:r>
      <w:r>
        <w:rPr>
          <w:rFonts w:ascii="Arial" w:cs="Arial" w:eastAsia="Arial" w:hAnsi="Arial"/>
          <w:sz w:val="18"/>
          <w:szCs w:val="18"/>
          <w:color w:val="auto"/>
        </w:rPr>
        <w:t>.</w:t>
      </w:r>
    </w:p>
    <w:p>
      <w:pPr>
        <w:spacing w:after="0" w:line="13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estimate long-term prepayment speeds of our mortgage securities using a third-party service and market data. The third-party service provider estimates prepayment speeds using models that incorporate the forward yield curve, current mortgage rates, mortgage rates of the outstanding loans, age and size of the outstanding loans, loan-to-value ratios, interest rate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third-party estimates and, based on our judgment, we may adjust the estimates. We review our actual and anticipated prepayment experience on at least a quarterly basis and effective yields are recalculated when differences arise between (i) our previously estimated future prepayments and (ii) actual prepayments to date and our current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2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as adjusted for credit impairment, if any.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8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We finance the acquisition of securities for our investment portfolio primarily through repurchase transactions under master repurchase agreements. Pursuant to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we account for repurchase transactions as collateralized financing transactions, which are carried at their contractual amounts (cost), plus accrued interest. Our repurchase agreements typically have maturities of less than one year, but may extend up to five years or more. Interest rates on our repurchase agreements generally correspond to one or three-month LIBOR plus or minus a fixed spread. The fair value of our repurchase agreements is assumed to equal cost as the interest rates are considered to be at market.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We borrow securities to cover short sales of U.S. Treasury securities through reverse repurchase transactions under our master repurchase agreements (see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Our reverse repurchase agreements typically have maturities of 30 days or less. The fair value of our reverse repurchase agreements is assumed to equal cost as the interest rates generally reset daily.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as well as to periodically reduce our exposure to Agency RMBS.</w:t>
      </w:r>
    </w:p>
    <w:p>
      <w:pPr>
        <w:spacing w:after="0" w:line="13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 xml:space="preserve">We account for derivative instruments in accordance with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ASC 815 requires an entity to recognize all derivatives as either assets or liabilities in our accompanying consolidated balance sheets and to measure those instruments at fair value.</w:t>
      </w:r>
    </w:p>
    <w:p>
      <w:pPr>
        <w:spacing w:after="0" w:line="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4"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use of derivative instruments creates exposure to credit risk relating to potential losses that could be recognized if the counterparties to these instruments fail to perform their obligations under the contracts. Our derivative agreements require that we post or receive collateral to mitigate such risk. We also attempt to minimize our risk of loss by limiting our counterparties to major financial institutions with acceptable credit ratings, monitoring positions with individual counterparties and adjusting posted collateral as required.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use interest rate swaps to hedge the variable cash flows associated with our borrowings made under repurchase agreements. Under our interest rate swap agreements, we typically pay a fixed rate and receive a floating rate based on one or three-month LIBOR ("payer swaps") with terms up to 20 years. Our swap agreements are privately negotiated in the over-the-counter ("OTC") market.</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majority of our interest rate swaps are centrally cleared through a registered commodities exchange. We value centrally cleared interest rate swaps using the daily settlement price, or fair value, determined by the clearing exchange based on a pricing model that references observable market inputs, including LIBOR, swap rates and the forward yield curve. Our centrally cleared swaps require that we post an "initial margin" amount determined by the clearing exchange, which is generally intended to be set at a level sufficient to protect the exchange from the interest rate swap's maximum estimated single-day price movement.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value non-centrally cleared swaps using a combination of third-party valuations obtained from pricing services and the swap counterparty. The third-party valuations are model-driven using observable inputs, including LIBOR, swap rates and the forward yield curve. We also consider both our own and our counterparties' nonperformance risk in estimating the fair value of our interest rate swaps. In considering the effect of nonperformance risk, we assess the impact of netting and credit enhancements, such as collateral postings and guarantees, and have concluded that our own and our counterparty risk is not significant to the overall valuation of these agreements.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swaption agreements typically provide us the option to enter into a pay-fixed rate interest rate swap ("payer swaptions"). We may also enter into swaption agreements that provide us the option to enter into a receive-fixed interest rate swap ("receiver swaptions").</w:t>
      </w:r>
    </w:p>
    <w:p>
      <w:pPr>
        <w:spacing w:after="0" w:line="13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Our interest rate swaption agreements are privately negotiated in the OTC market and are not subject to central clearing. The premium paid for interest rate swaptions is reported as an asset in our consolidated balance sheets.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received and the premium paid.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purchased or sold for a forward settlement date are typically priced at a discount to equivalent securities settling in the current month. This difference, or "price drop," is the economic equivalent to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TBA contract on the settlement date. We account for TBA dollar roll transactions as a series of derivative transactions. Gains, losses and dollar roll income associated with our TBA contracts are recognized in gain (loss) on derivative instruments and other securities, net in our consolidated statements of comprehensive income. We estimate the fair value of TBA securities based on similar methods used to value our Agency RMBS securities.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purchase and sell short U.S. Treasury securities and U.S. Treasury futures contracts to help mitigate the potential impact of changes in interest rates on the performance of our portfolio. We borrow securities to cover short sales of U.S. Treasury securities under reverse repurchase agreements. We account for these as securities borrowing transactions and recognize an obligation to return the borrowed securities at fair value on our accompanying consolidated balance sheets based on the value of the underlying borrowed securities as of the reporting date. Gains and losses associated with purchases and short sales of U.S. Treasury securities and U.S. Treasury futures contracts are recognized in gain (loss) on derivative instruments and other securities, net in our consolidated statements of comprehensive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We evaluate the existence of any pending or threatened litigation or other potential claims against the Company in accordance with ASC Topic 450, </w:t>
      </w: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which requires that we assess the likelihood and range of potential outcomes of any such matters. We are the defendant in three stockholder</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lawsuits alleging that certain of our current and former directors and officers breached fiduciary duties and wasted corporate assets relating to past renewals of the management agreement with our former external manager and the internalization of our management, which occurred on July 1, 2016. Although the outcomes of these cases cannot be predicted with certainty, we do not believe that these cases have merit or will result in a material liability, and, as of March 31, 2018, we did not accrue a loss contingency related to these matters.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consider the applicability and impact of all Accounting Standards Updates ("ASUs") issued by the Financial Accounting Standards Board. ASUs not listed below were determined to be either not applicable, are not expected to have a significant impact on our consolidated financial statements when adopted, or did not have a significant impact on our consolidated financial statements upon adoption.</w:t>
      </w:r>
    </w:p>
    <w:p>
      <w:pPr>
        <w:spacing w:after="0" w:line="12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ASU 2016-13, Financial Instruments - Credit Losses (Topic 326): </w:t>
      </w:r>
      <w:r>
        <w:rPr>
          <w:rFonts w:ascii="Arial" w:cs="Arial" w:eastAsia="Arial" w:hAnsi="Arial"/>
          <w:sz w:val="17"/>
          <w:szCs w:val="17"/>
          <w:color w:val="auto"/>
        </w:rPr>
        <w:t>ASU 2016-13 changes the impairment model for most financial assets and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instruments. Allowances for credit losses on available-for-sale debt securities will be recognized, rather than direct reductions in the amortized cost of the investments. The new model also requires the estimation of lifetime expected credit losses and corresponding recognition of allowance for losses on trade and other receivables, held-to-maturity debt securities, loans, and other instruments held at amortized cost. The ASU requires certain recurring disclosures and is effective for annual periods, and interim periods within those annual periods, beginning on or after December 15, 2019, with early adoption permitted for annual periods, and interim periods within those annual periods, beginning on or after December 15, 2018. ASU 2016-13 is not expected to have a significant impact on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Securities</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March 31, 2018 and December 31, 2017, our investment portfolio consisted of $55.7 billion and $57.1 billion of investment securities, at fair value, respectively, and $13.6 billion and $15.7 billion of TBA securities, at fair value, respectively. Our TBA position is reported at its net carrying value of $82 million and $3 million as of March 31, 2018 and December 31, 2017, respectively, in derivative assets / (liabilities)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2018 and December 31, 2017, our investment securities had a net unamortized premium balance of $2.6 billion and $2.7 billion, respectively, including interest and principal-only securities.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1" w:name="page12"/>
    <w:bookmarkEnd w:id="11"/>
    <w:p>
      <w:pPr>
        <w:ind w:right="20" w:firstLine="405"/>
        <w:spacing w:after="0" w:line="277" w:lineRule="auto"/>
        <w:rPr>
          <w:sz w:val="20"/>
          <w:szCs w:val="20"/>
          <w:color w:val="auto"/>
        </w:rPr>
      </w:pPr>
      <w:r>
        <w:rPr>
          <w:rFonts w:ascii="Arial" w:cs="Arial" w:eastAsia="Arial" w:hAnsi="Arial"/>
          <w:sz w:val="18"/>
          <w:szCs w:val="18"/>
          <w:color w:val="auto"/>
        </w:rPr>
        <w:t>The following tables summarize our investment securities as of March 31, 2018 and December 31, 2017, excluding TBA securities, (dollars in millions). Details of our TBA securities as of each of the respective dates are included in Note 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1"/>
              </w:rPr>
              <w:t>December 31, 2017</w:t>
            </w: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4"/>
          </w:tcPr>
          <w:p>
            <w:pPr>
              <w:jc w:val="right"/>
              <w:ind w:right="188"/>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Cost</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180"/>
              <w:spacing w:after="0"/>
              <w:rPr>
                <w:sz w:val="20"/>
                <w:szCs w:val="20"/>
                <w:color w:val="auto"/>
              </w:rPr>
            </w:pPr>
            <w:r>
              <w:rPr>
                <w:rFonts w:ascii="Arial" w:cs="Arial" w:eastAsia="Arial" w:hAnsi="Arial"/>
                <w:sz w:val="14"/>
                <w:szCs w:val="14"/>
                <w:color w:val="auto"/>
              </w:rPr>
              <w:t>Fixed rate</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45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3"/>
              </w:rPr>
              <w:t>55,266</w:t>
            </w:r>
          </w:p>
        </w:tc>
        <w:tc>
          <w:tcPr>
            <w:tcW w:w="3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53,696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55"/>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w w:val="93"/>
              </w:rPr>
              <w:t>55,477</w:t>
            </w:r>
          </w:p>
        </w:tc>
        <w:tc>
          <w:tcPr>
            <w:tcW w:w="380" w:type="dxa"/>
            <w:vAlign w:val="bottom"/>
            <w:gridSpan w:val="2"/>
          </w:tcPr>
          <w:p>
            <w:pPr>
              <w:jc w:val="right"/>
              <w:ind w:right="11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55,026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Adjustable rate</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180"/>
              <w:spacing w:after="0"/>
              <w:rPr>
                <w:sz w:val="20"/>
                <w:szCs w:val="20"/>
                <w:color w:val="auto"/>
              </w:rPr>
            </w:pPr>
            <w:r>
              <w:rPr>
                <w:rFonts w:ascii="Arial" w:cs="Arial" w:eastAsia="Arial" w:hAnsi="Arial"/>
                <w:sz w:val="14"/>
                <w:szCs w:val="14"/>
                <w:color w:val="auto"/>
              </w:rPr>
              <w:t>CMO</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595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Interest-only and principal-only strips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80" w:type="dxa"/>
            <w:vAlign w:val="bottom"/>
            <w:gridSpan w:val="2"/>
          </w:tcPr>
          <w:p>
            <w:pPr>
              <w:ind w:left="40"/>
              <w:spacing w:after="0"/>
              <w:rPr>
                <w:sz w:val="20"/>
                <w:szCs w:val="20"/>
                <w:color w:val="auto"/>
              </w:rPr>
            </w:pPr>
            <w:r>
              <w:rPr>
                <w:rFonts w:ascii="Arial" w:cs="Arial" w:eastAsia="Arial" w:hAnsi="Arial"/>
                <w:sz w:val="14"/>
                <w:szCs w:val="14"/>
                <w:color w:val="auto"/>
              </w:rPr>
              <w:t>Total Agency RMBS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3"/>
              </w:rPr>
              <w:t>56,328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54,762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w w:val="93"/>
              </w:rPr>
              <w:t>56,597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56,168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RMBS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40"/>
              <w:spacing w:after="0"/>
              <w:rPr>
                <w:sz w:val="20"/>
                <w:szCs w:val="20"/>
                <w:color w:val="auto"/>
              </w:rPr>
            </w:pPr>
            <w:r>
              <w:rPr>
                <w:rFonts w:ascii="Arial" w:cs="Arial" w:eastAsia="Arial" w:hAnsi="Arial"/>
                <w:sz w:val="14"/>
                <w:szCs w:val="14"/>
                <w:color w:val="auto"/>
              </w:rPr>
              <w:t>CMBS</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CRT securities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ind w:left="40"/>
              <w:spacing w:after="0"/>
              <w:rPr>
                <w:sz w:val="20"/>
                <w:szCs w:val="20"/>
                <w:color w:val="auto"/>
              </w:rPr>
            </w:pPr>
            <w:r>
              <w:rPr>
                <w:rFonts w:ascii="Arial" w:cs="Arial" w:eastAsia="Arial" w:hAnsi="Arial"/>
                <w:sz w:val="14"/>
                <w:szCs w:val="14"/>
                <w:color w:val="auto"/>
              </w:rPr>
              <w:t>Total investment securities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45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3"/>
              </w:rPr>
              <w:t>57,211</w:t>
            </w:r>
          </w:p>
        </w:tc>
        <w:tc>
          <w:tcPr>
            <w:tcW w:w="3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55,682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555"/>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w w:val="93"/>
              </w:rPr>
              <w:t>57,466</w:t>
            </w:r>
          </w:p>
        </w:tc>
        <w:tc>
          <w:tcPr>
            <w:tcW w:w="380" w:type="dxa"/>
            <w:vAlign w:val="bottom"/>
            <w:gridSpan w:val="2"/>
          </w:tcPr>
          <w:p>
            <w:pPr>
              <w:jc w:val="right"/>
              <w:ind w:right="11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57,080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Agency RMBS</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5"/>
          </w:tcPr>
          <w:p>
            <w:pPr>
              <w:jc w:val="right"/>
              <w:ind w:right="515"/>
              <w:spacing w:after="0"/>
              <w:rPr>
                <w:sz w:val="20"/>
                <w:szCs w:val="20"/>
                <w:color w:val="auto"/>
              </w:rPr>
            </w:pPr>
            <w:r>
              <w:rPr>
                <w:rFonts w:ascii="Arial" w:cs="Arial" w:eastAsia="Arial" w:hAnsi="Arial"/>
                <w:sz w:val="14"/>
                <w:szCs w:val="14"/>
                <w:b w:val="1"/>
                <w:bCs w:val="1"/>
                <w:color w:val="auto"/>
              </w:rPr>
              <w:t>Non-Agency</w:t>
            </w:r>
          </w:p>
        </w:tc>
        <w:tc>
          <w:tcPr>
            <w:tcW w:w="120" w:type="dxa"/>
            <w:vAlign w:val="bottom"/>
            <w:gridSpan w:val="2"/>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4"/>
              </w:rPr>
              <w:t>Fannie Mae</w:t>
            </w:r>
          </w:p>
        </w:tc>
        <w:tc>
          <w:tcPr>
            <w:tcW w:w="120" w:type="dxa"/>
            <w:vAlign w:val="bottom"/>
            <w:vMerge w:val="restart"/>
          </w:tcPr>
          <w:p>
            <w:pPr>
              <w:spacing w:after="0"/>
              <w:rPr>
                <w:sz w:val="13"/>
                <w:szCs w:val="13"/>
                <w:color w:val="auto"/>
              </w:rPr>
            </w:pPr>
          </w:p>
        </w:tc>
        <w:tc>
          <w:tcPr>
            <w:tcW w:w="920" w:type="dxa"/>
            <w:vAlign w:val="bottom"/>
            <w:gridSpan w:val="3"/>
            <w:vMerge w:val="restart"/>
          </w:tcPr>
          <w:p>
            <w:pPr>
              <w:jc w:val="right"/>
              <w:ind w:right="15"/>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4"/>
          </w:tcPr>
          <w:p>
            <w:pPr>
              <w:ind w:left="140"/>
              <w:spacing w:after="0" w:line="153" w:lineRule="exact"/>
              <w:rPr>
                <w:sz w:val="20"/>
                <w:szCs w:val="20"/>
                <w:color w:val="auto"/>
              </w:rPr>
            </w:pPr>
            <w:r>
              <w:rPr>
                <w:rFonts w:ascii="Arial" w:cs="Arial" w:eastAsia="Arial" w:hAnsi="Arial"/>
                <w:sz w:val="14"/>
                <w:szCs w:val="14"/>
                <w:b w:val="1"/>
                <w:bCs w:val="1"/>
                <w:color w:val="auto"/>
              </w:rPr>
              <w:t>Ginnie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RMBS</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900" w:type="dxa"/>
            <w:vAlign w:val="bottom"/>
            <w:gridSpan w:val="3"/>
            <w:vMerge w:val="restart"/>
          </w:tcPr>
          <w:p>
            <w:pPr>
              <w:jc w:val="right"/>
              <w:ind w:right="257"/>
              <w:spacing w:after="0"/>
              <w:rPr>
                <w:sz w:val="20"/>
                <w:szCs w:val="20"/>
                <w:color w:val="auto"/>
              </w:rPr>
            </w:pPr>
            <w:r>
              <w:rPr>
                <w:rFonts w:ascii="Arial" w:cs="Arial" w:eastAsia="Arial" w:hAnsi="Arial"/>
                <w:sz w:val="14"/>
                <w:szCs w:val="14"/>
                <w:b w:val="1"/>
                <w:bCs w:val="1"/>
                <w:color w:val="auto"/>
              </w:rPr>
              <w:t>CRT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Mae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22,893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7,430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30,362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(27)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1,083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414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1,497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23,952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7,841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31,832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(273)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(986)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available-for-sale securities, at fair value</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23,252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7,574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30,866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Securities remeasured at fair value through earnings:</w:t>
            </w: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13,472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9,948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814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24,263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gridSpan w:val="2"/>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(37)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672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446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1,153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280" w:type="dxa"/>
            <w:vAlign w:val="bottom"/>
            <w:gridSpan w:val="2"/>
          </w:tcPr>
          <w:p>
            <w:pPr>
              <w:ind w:left="200"/>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14,111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10,392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75"/>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gridSpan w:val="2"/>
          </w:tcPr>
          <w:p>
            <w:pPr>
              <w:jc w:val="right"/>
              <w:ind w:right="77"/>
              <w:spacing w:after="0"/>
              <w:rPr>
                <w:sz w:val="20"/>
                <w:szCs w:val="20"/>
                <w:color w:val="auto"/>
              </w:rPr>
            </w:pPr>
            <w:r>
              <w:rPr>
                <w:rFonts w:ascii="Arial" w:cs="Arial" w:eastAsia="Arial" w:hAnsi="Arial"/>
                <w:sz w:val="13"/>
                <w:szCs w:val="13"/>
                <w:color w:val="auto"/>
              </w:rPr>
              <w:t>848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25,379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(360)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(256)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securities remeasured at fair value through earnings</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13,762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10,141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884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24,816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Total securities, at fair value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37,014</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17,715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3"/>
                <w:szCs w:val="13"/>
                <w:color w:val="auto"/>
              </w:rPr>
              <w:t>33</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24"/>
                <w:szCs w:val="24"/>
                <w:color w:val="auto"/>
              </w:rPr>
            </w:pPr>
          </w:p>
        </w:tc>
        <w:tc>
          <w:tcPr>
            <w:tcW w:w="700" w:type="dxa"/>
            <w:vAlign w:val="bottom"/>
          </w:tcPr>
          <w:p>
            <w:pPr>
              <w:jc w:val="right"/>
              <w:ind w:right="75"/>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right"/>
              <w:ind w:right="369"/>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jc w:val="right"/>
              <w:ind w:right="77"/>
              <w:spacing w:after="0"/>
              <w:rPr>
                <w:sz w:val="20"/>
                <w:szCs w:val="20"/>
                <w:color w:val="auto"/>
              </w:rPr>
            </w:pPr>
            <w:r>
              <w:rPr>
                <w:rFonts w:ascii="Arial" w:cs="Arial" w:eastAsia="Arial" w:hAnsi="Arial"/>
                <w:sz w:val="13"/>
                <w:szCs w:val="13"/>
                <w:color w:val="auto"/>
              </w:rPr>
              <w:t>884</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55,682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Weighted average coupon as of March 31, 2018</w:t>
            </w: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6"/>
              </w:rPr>
              <w:t>2.87%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6"/>
              </w:rPr>
              <w:t>5.50%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 xml:space="preserve">Weighted average yield as of March 31, 2018 </w:t>
            </w:r>
            <w:r>
              <w:rPr>
                <w:rFonts w:ascii="Arial" w:cs="Arial" w:eastAsia="Arial" w:hAnsi="Arial"/>
                <w:sz w:val="8"/>
                <w:szCs w:val="8"/>
                <w:color w:val="auto"/>
              </w:rPr>
              <w:t>1</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3"/>
                <w:szCs w:val="13"/>
                <w:color w:val="auto"/>
                <w:w w:val="86"/>
              </w:rPr>
              <w:t>2.02%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7.36%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w w:val="86"/>
              </w:rPr>
              <w:t>5.51%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4180" w:type="dxa"/>
            <w:vAlign w:val="bottom"/>
          </w:tcPr>
          <w:p>
            <w:pPr>
              <w:ind w:left="40"/>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7.6% based on forward rates as of March 31, 2018.</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2" w:name="page13"/>
    <w:bookmarkEnd w:id="12"/>
    <w:tbl>
      <w:tblPr>
        <w:tblLayout w:type="fixed"/>
        <w:tblInd w:w="4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December 31, 2017</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jc w:val="right"/>
              <w:ind w:right="516"/>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Fannie</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RMBS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CRT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Mae</w:t>
            </w:r>
          </w:p>
        </w:tc>
        <w:tc>
          <w:tcPr>
            <w:tcW w:w="10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Available-for-sale securities: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24,200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8,219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34</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32,460</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1,119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447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1,566</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25,294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8,663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34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33,998</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(325)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available-for-sale securities, at fair value</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25,067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8,544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35</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33,653</w:t>
            </w:r>
          </w:p>
        </w:tc>
        <w:tc>
          <w:tcPr>
            <w:tcW w:w="0" w:type="dxa"/>
            <w:vAlign w:val="bottom"/>
          </w:tcPr>
          <w:p>
            <w:pPr>
              <w:spacing w:after="0"/>
              <w:rPr>
                <w:sz w:val="1"/>
                <w:szCs w:val="1"/>
                <w:color w:val="auto"/>
              </w:rPr>
            </w:pPr>
          </w:p>
        </w:tc>
      </w:tr>
      <w:tr>
        <w:trPr>
          <w:trHeight w:val="256"/>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Securities remeasured at fair value through earnings:</w:t>
            </w: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13,558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7,956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801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22,344</w:t>
            </w:r>
          </w:p>
        </w:tc>
        <w:tc>
          <w:tcPr>
            <w:tcW w:w="0" w:type="dxa"/>
            <w:vAlign w:val="bottom"/>
          </w:tcPr>
          <w:p>
            <w:pPr>
              <w:spacing w:after="0"/>
              <w:rPr>
                <w:sz w:val="1"/>
                <w:szCs w:val="1"/>
                <w:color w:val="auto"/>
              </w:rPr>
            </w:pPr>
          </w:p>
        </w:tc>
      </w:tr>
      <w:tr>
        <w:trPr>
          <w:trHeight w:val="262"/>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711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415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1,159</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14,235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8,371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834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23,468</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securities remeasured at fair value through earnings</w:t>
            </w: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14,191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8,331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876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23,427</w:t>
            </w:r>
          </w:p>
        </w:tc>
        <w:tc>
          <w:tcPr>
            <w:tcW w:w="0" w:type="dxa"/>
            <w:vAlign w:val="bottom"/>
          </w:tcPr>
          <w:p>
            <w:pPr>
              <w:spacing w:after="0"/>
              <w:rPr>
                <w:sz w:val="1"/>
                <w:szCs w:val="1"/>
                <w:color w:val="auto"/>
              </w:rPr>
            </w:pPr>
          </w:p>
        </w:tc>
      </w:tr>
      <w:tr>
        <w:trPr>
          <w:trHeight w:val="282"/>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Total securities, at fair value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39,258</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16,875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35</w:t>
            </w:r>
          </w:p>
        </w:tc>
        <w:tc>
          <w:tcPr>
            <w:tcW w:w="3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876</w:t>
            </w:r>
          </w:p>
        </w:tc>
        <w:tc>
          <w:tcPr>
            <w:tcW w:w="12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57,080</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coupon as of December 31, 2017</w:t>
            </w: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254"/>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 xml:space="preserve">Weighted average yield as of December 31, 2017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31"/>
        </w:trPr>
        <w:tc>
          <w:tcPr>
            <w:tcW w:w="4160" w:type="dxa"/>
            <w:vAlign w:val="bottom"/>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8.4% based on forward rates as of December 31, 2017.</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2018 and December 31, 2017, our investments in CRT and non-Agency securities had the following credit ratings: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2017</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Pr>
          <w:p>
            <w:pPr>
              <w:ind w:left="66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ind w:left="66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876</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ind w:left="64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and Fitch credit ratings, stated in terms of the S&amp;P equivalent rating as of each date.</w:t>
      </w:r>
    </w:p>
    <w:p>
      <w:pPr>
        <w:spacing w:after="0" w:line="15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CRT securities reference the performance of loans underlying Agency RMBS issued by Fannie Mae or Freddie Mac, which were subject to their underwriting standards. As of March 31, 2018, our CRT securities had floating and fixed rate coupons ranging from 3.7% to 8.8%, referenced to loans originated between 2012 and 2018 with weighted average coupons ranging from 3.6% to 4.4%. As of December 31, 2017, our CRT securities had floating rate coupons ranging from 3.9% to 8.5%, referenced to loans originated between 2012 and 2017 with weighted average coupons ranging from 3.6% to 4.4%.</w:t>
      </w:r>
    </w:p>
    <w:p>
      <w:pPr>
        <w:spacing w:after="0" w:line="15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actual maturities of our investment securities are generally shorter than their stated contractual maturities. Actual maturities are affected by the contractual lives of the underlying mortgages, periodic contractual principal payments and principal prepayments. As of March 31, 2018 and December 31, 2017, the weighted average expected constant prepayment rate ("CPR") over the remaining life of our aggregate investment portfolio was 7.6% and 8.4%, respectively. Our estimates can differ materially for different securities and thus our individual holdings have a wide range of projected CPRs. The following table summarizes our investments as of March 31, 2018 and December 31, 2017 according to their estimated weighted average life classification (dollars in millions):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March 31, 2018</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2017</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 and ≤ 3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2,683</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3.91%</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3.90%</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2.67%</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6,283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6,395</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3.23%</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7,499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7,518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3.31%</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2.39%</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43,513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46,398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2.95%</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4,620</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3.79%</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3.52%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4.87%</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4.74%</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55,682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57,211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57,080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57,466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2.89%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securities classified as available-for-sale by length of time that such securities have been in a continuous unrealized loss position as of March 31, 2018 and December 31, 2017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Unrealized Loss Position For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Securities Classified as Available-for-Sale</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1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3"/>
                <w:szCs w:val="13"/>
                <w:color w:val="auto"/>
              </w:rPr>
            </w:pPr>
          </w:p>
        </w:tc>
        <w:tc>
          <w:tcPr>
            <w:tcW w:w="7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2018</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9,782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18,946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28,728</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258"/>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December 31, 2017</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3,582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20,577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(451)</w:t>
            </w:r>
          </w:p>
        </w:tc>
        <w:tc>
          <w:tcPr>
            <w:tcW w:w="12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24,159</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We did not recognize OTTI charges on our investment securities for the three months ended March 31, 2018 and 2017. As of the end of each respective reporting period, a decision had not been made to sell any of our securities in an unrealized loss position and we did not believe it was more likely than not that we would be required to sell such securities before recovery of their amortized cost basis. The unrealized losses on our securities were not due to credit losses given the GSE or U.S. Government agency guarantees, but rather were due to changes in interest rates and prepayment expectations. However, as we continue to actively manage our portfolio, we may recognize additional realized losses on our investment securities upon selecting specific securities to sell.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Sale of Investment Securities</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is a summary of our net gain (loss) from the sale of investment securities for the three months ended March 31, 2018 and 2017 by investment classification of accounting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4"/>
                <w:szCs w:val="14"/>
                <w:b w:val="1"/>
                <w:bCs w:val="1"/>
                <w:color w:val="auto"/>
                <w:w w:val="95"/>
              </w:rPr>
              <w:t>Three Months Ended March 31,</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10"/>
              <w:spacing w:after="0" w:line="144" w:lineRule="exact"/>
              <w:rPr>
                <w:sz w:val="20"/>
                <w:szCs w:val="20"/>
                <w:color w:val="auto"/>
              </w:rPr>
            </w:pPr>
            <w:r>
              <w:rPr>
                <w:rFonts w:ascii="Arial" w:cs="Arial" w:eastAsia="Arial" w:hAnsi="Arial"/>
                <w:sz w:val="13"/>
                <w:szCs w:val="13"/>
                <w:b w:val="1"/>
                <w:bCs w:val="1"/>
                <w:color w:val="auto"/>
                <w:w w:val="85"/>
              </w:rPr>
              <w:t>Available-for-Sale</w:t>
            </w:r>
          </w:p>
        </w:tc>
        <w:tc>
          <w:tcPr>
            <w:tcW w:w="11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Fair Value Option</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92"/>
              </w:rPr>
              <w:t>Available-for-Sale</w:t>
            </w:r>
          </w:p>
        </w:tc>
        <w:tc>
          <w:tcPr>
            <w:tcW w:w="11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Fair Value Option</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 xml:space="preserve">Securities </w:t>
            </w:r>
            <w:r>
              <w:rPr>
                <w:rFonts w:ascii="Arial" w:cs="Arial" w:eastAsia="Arial" w:hAnsi="Arial"/>
                <w:sz w:val="8"/>
                <w:szCs w:val="8"/>
                <w:b w:val="1"/>
                <w:bCs w:val="1"/>
                <w:color w:val="auto"/>
              </w:rPr>
              <w:t>2</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93"/>
              </w:rPr>
              <w:t xml:space="preserve">Securities </w:t>
            </w:r>
            <w:r>
              <w:rPr>
                <w:rFonts w:ascii="Arial" w:cs="Arial" w:eastAsia="Arial" w:hAnsi="Arial"/>
                <w:sz w:val="8"/>
                <w:szCs w:val="8"/>
                <w:b w:val="1"/>
                <w:bCs w:val="1"/>
                <w:color w:val="auto"/>
                <w:w w:val="93"/>
              </w:rPr>
              <w:t>2</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1"/>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Investment securities sold, at cost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(387)</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(1,003)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(1,390)</w:t>
            </w:r>
          </w:p>
        </w:tc>
        <w:tc>
          <w:tcPr>
            <w:tcW w:w="120" w:type="dxa"/>
            <w:vAlign w:val="bottom"/>
          </w:tcPr>
          <w:p>
            <w:pPr>
              <w:spacing w:after="0"/>
              <w:rPr>
                <w:sz w:val="21"/>
                <w:szCs w:val="21"/>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(5,149)</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(219)</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(5,368)</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8"/>
                <w:szCs w:val="8"/>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388</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1,000</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1,388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5,065</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219</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5,284</w:t>
            </w:r>
          </w:p>
        </w:tc>
        <w:tc>
          <w:tcPr>
            <w:tcW w:w="0" w:type="dxa"/>
            <w:vAlign w:val="bottom"/>
          </w:tcPr>
          <w:p>
            <w:pPr>
              <w:spacing w:after="0"/>
              <w:rPr>
                <w:sz w:val="1"/>
                <w:szCs w:val="1"/>
                <w:color w:val="auto"/>
              </w:rPr>
            </w:pPr>
          </w:p>
        </w:tc>
      </w:tr>
      <w:tr>
        <w:trPr>
          <w:trHeight w:val="283"/>
        </w:trPr>
        <w:tc>
          <w:tcPr>
            <w:tcW w:w="44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Gross gain on sale of investment securities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3</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4</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Gross loss on sale of investment securities</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6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Note 10 for a summary of changes in accumulated OCI.</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Securitizations and Variable Interest Entities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March 31, 2018 and December 31, 2017, we held investments in CMO trusts, which are VIEs. We have consolidated certain of these CMO trusts in our consolidated financial statements where we have determined we are the primary beneficiary of the trusts. All of our CMO securities are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022" w:right="2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Our maximum exposure to loss related to our involvement with CMO trusts is the fair value of the CMO securities and interest and principal-only securities held by us, less principal amounts guaranteed by Fannie Mae and Freddie Mac.</w:t>
      </w:r>
    </w:p>
    <w:p>
      <w:pPr>
        <w:spacing w:after="0" w:line="11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connection with our consolidated CMO trusts, we recognized Agency securities with a total fair value and approximate unpaid principal balance of $0.6 billion and $0.7 billion as of March 31, 2018 and December 31, 2017, respectively, and debt with a total fair value and approximate unpaid principal balance of $0.3 billion and $0.4 billion, respectively, in our accompanying consolidated balance sheets. We re-measure our consolidated debt at fair value through earnings in gain (loss) on derivative instruments and other securities, net in our consolidated statements of comprehensive income. Our involvement with the consolidated trusts is limited to the Agency securities transferred by us upon the formation of the trusts and the CMO securities subsequently held by us. There are no arrangements that could require us to provide financial support to the trusts.</w:t>
      </w:r>
    </w:p>
    <w:p>
      <w:pPr>
        <w:spacing w:after="0" w:line="4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As of March 31, 2018 and December 31, 2017, the fair value of our CMO securities and interest and principal-only securities was $0.8 billion and $0.9 billion, respectively, excluding the consolidated CMO trusts discussed above, or $1.1 billion and $1.2 billion, respectively, including the net asset value of our consolidated CMO trusts. Our maximum exposure to loss related to our CMO securities and interest and principal-only securities, including our consolidated CMO trusts, was $91 million and $124 million as of March 31, 2018 and December 31, 2017,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Repurchase Agreements and Other Secured Borrowings</w:t>
      </w:r>
    </w:p>
    <w:p>
      <w:pPr>
        <w:spacing w:after="0" w:line="17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pledge our securities as collateral under our borrowing agreements with financial institutions. Interest rates on our borrowings are generally based on LIBOR plus or minus a margin and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March 31, 2018, we had met all margin call requirements. For additional information regarding our pledged assets, please refer to Note 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of March 31, 2018 and December 31, 2017, we had $49.0 billion and $50.3 billion, respectively, of repurchase agreements outstanding. The terms and conditions of our repurchase agreements are typically negotiated on a transaction-by-transaction basis. Our repurchase agreements with original maturities greater than one year have floating interest rates based on an index plus or minus a fixed spread. The following table summarizes our borrowings under repurchase agreements by their remaining maturities as of March 31, 2018 and December 31, 2017 (dollars in millions):</w:t>
      </w:r>
    </w:p>
    <w:p>
      <w:pPr>
        <w:spacing w:after="0" w:line="339"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6"/>
              </w:rPr>
              <w:t>March 31, 2018</w:t>
            </w:r>
          </w:p>
        </w:tc>
        <w:tc>
          <w:tcPr>
            <w:tcW w:w="12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180"/>
              <w:spacing w:after="0"/>
              <w:rPr>
                <w:sz w:val="20"/>
                <w:szCs w:val="20"/>
                <w:color w:val="auto"/>
              </w:rPr>
            </w:pPr>
            <w:r>
              <w:rPr>
                <w:rFonts w:ascii="Arial" w:cs="Arial" w:eastAsia="Arial" w:hAnsi="Arial"/>
                <w:sz w:val="16"/>
                <w:szCs w:val="16"/>
                <w:color w:val="auto"/>
              </w:rPr>
              <w:t>≤ 1 month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24,939</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19,771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12,881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16,150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80"/>
              <w:spacing w:after="0"/>
              <w:rPr>
                <w:sz w:val="20"/>
                <w:szCs w:val="20"/>
                <w:color w:val="auto"/>
              </w:rPr>
            </w:pPr>
            <w:r>
              <w:rPr>
                <w:rFonts w:ascii="Arial" w:cs="Arial" w:eastAsia="Arial" w:hAnsi="Arial"/>
                <w:sz w:val="16"/>
                <w:szCs w:val="16"/>
                <w:color w:val="auto"/>
              </w:rPr>
              <w:t>&gt; 3 to ≤ 6 months</w:t>
            </w:r>
          </w:p>
        </w:tc>
        <w:tc>
          <w:tcPr>
            <w:tcW w:w="18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3,381</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134</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7,287</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214</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2,361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80"/>
              <w:spacing w:after="0"/>
              <w:rPr>
                <w:sz w:val="20"/>
                <w:szCs w:val="20"/>
                <w:color w:val="auto"/>
              </w:rPr>
            </w:pPr>
            <w:r>
              <w:rPr>
                <w:rFonts w:ascii="Arial" w:cs="Arial" w:eastAsia="Arial" w:hAnsi="Arial"/>
                <w:sz w:val="16"/>
                <w:szCs w:val="16"/>
                <w:color w:val="auto"/>
              </w:rPr>
              <w:t>&gt; 9 to ≤ 12 months</w:t>
            </w:r>
          </w:p>
        </w:tc>
        <w:tc>
          <w:tcPr>
            <w:tcW w:w="18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3,678</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297</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2,267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80"/>
              <w:spacing w:after="0"/>
              <w:rPr>
                <w:sz w:val="20"/>
                <w:szCs w:val="20"/>
                <w:color w:val="auto"/>
              </w:rPr>
            </w:pPr>
            <w:r>
              <w:rPr>
                <w:rFonts w:ascii="Arial" w:cs="Arial" w:eastAsia="Arial" w:hAnsi="Arial"/>
                <w:sz w:val="16"/>
                <w:szCs w:val="16"/>
                <w:color w:val="auto"/>
              </w:rPr>
              <w:t>&gt; 24 to ≤ 36 months</w:t>
            </w:r>
          </w:p>
        </w:tc>
        <w:tc>
          <w:tcPr>
            <w:tcW w:w="18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1,325</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937</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2,200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&gt; 36 to ≤ 48 months</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244"/>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Total Agency repo</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48,956</w:t>
            </w:r>
          </w:p>
        </w:tc>
        <w:tc>
          <w:tcPr>
            <w:tcW w:w="1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109</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50,296</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March 31, 2018 and December 31, 2017, $3.7 billion and $5.3 billion, respectively, of our Agency repurchase agreements matured overnight and none of our repurchase agreements were due on demand.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6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Derivative and Other Hedging Instruments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hedge a portion of our interest rate risk by entering into interest rate swaps, interest rate swaptions and U.S. Treasury securities and U.S. Treasury futures contracts, primarily through short sales. We may also utilize TBA securities, options and other types of derivative instruments to hedge a portion of our risk. For additional information regarding our derivative instruments and our overall risk management strategy, please refer to the discussion of derivative and other hedging instruments in Note 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summarizes fair value information about our derivative and other hedging instrument assets/(liabilities) as of March 31,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tcPr>
          <w:p>
            <w:pPr>
              <w:spacing w:after="0"/>
              <w:rPr>
                <w:sz w:val="16"/>
                <w:szCs w:val="16"/>
                <w:color w:val="auto"/>
              </w:rPr>
            </w:pPr>
          </w:p>
        </w:tc>
        <w:tc>
          <w:tcPr>
            <w:tcW w:w="422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4"/>
              </w:rPr>
              <w:t>March 31, 2018</w:t>
            </w:r>
          </w:p>
        </w:tc>
        <w:tc>
          <w:tcPr>
            <w:tcW w:w="120" w:type="dxa"/>
            <w:vAlign w:val="bottom"/>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2017</w:t>
            </w:r>
          </w:p>
        </w:tc>
      </w:tr>
      <w:tr>
        <w:trPr>
          <w:trHeight w:val="223"/>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81</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Swaptions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84"/>
        </w:trPr>
        <w:tc>
          <w:tcPr>
            <w:tcW w:w="4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derivative assets, at fair value</w:t>
            </w:r>
          </w:p>
        </w:tc>
        <w:tc>
          <w:tcPr>
            <w:tcW w:w="4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205</w:t>
            </w: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U.S. Treasury futures - short</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derivative liabilities, at fair value</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long</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at fair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Obligation to return securities borrowed under reverse</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short</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repurchase agreements, at fair value</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(10,352)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(10,467)</w:t>
            </w:r>
          </w:p>
        </w:tc>
      </w:tr>
      <w:tr>
        <w:trPr>
          <w:trHeight w:val="33"/>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U.S. Treasury securities, net at fair value</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(10,467)</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certain characteristics of our derivative and other hedging instruments outstanding as of March 31, 2018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2017 (dollars in millions):</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March 31, 2018</w:t>
            </w:r>
          </w:p>
        </w:tc>
        <w:tc>
          <w:tcPr>
            <w:tcW w:w="1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December 31, 2017</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 Rate Swaps</w:t>
            </w:r>
          </w:p>
        </w:tc>
        <w:tc>
          <w:tcPr>
            <w:tcW w:w="2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Fixed Pay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Fixed Pay</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8"/>
                <w:szCs w:val="8"/>
                <w:b w:val="1"/>
                <w:bCs w:val="1"/>
                <w:color w:val="auto"/>
                <w:w w:val="92"/>
              </w:rPr>
              <w:t>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7"/>
              </w:rPr>
              <w:t xml:space="preserve">Amount </w:t>
            </w:r>
            <w:r>
              <w:rPr>
                <w:rFonts w:ascii="Arial" w:cs="Arial" w:eastAsia="Arial" w:hAnsi="Arial"/>
                <w:sz w:val="8"/>
                <w:szCs w:val="8"/>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21,075</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1.90%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21,025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8,375</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1.84%</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1.87%</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6,825</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1.82%</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1.43%</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5,075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5.9</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7,550</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2.17%</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1.88%</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6,650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2.10%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1.42%</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9.1</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3,175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1.91%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12.9</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3,425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12.9</w:t>
            </w:r>
          </w:p>
        </w:tc>
        <w:tc>
          <w:tcPr>
            <w:tcW w:w="0" w:type="dxa"/>
            <w:vAlign w:val="bottom"/>
          </w:tcPr>
          <w:p>
            <w:pPr>
              <w:spacing w:after="0"/>
              <w:rPr>
                <w:sz w:val="1"/>
                <w:szCs w:val="1"/>
                <w:color w:val="auto"/>
              </w:rPr>
            </w:pPr>
          </w:p>
        </w:tc>
      </w:tr>
      <w:tr>
        <w:trPr>
          <w:trHeight w:val="231"/>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45,250</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1.82%</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1.90%</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4.5</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43,700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1.74%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1.44%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12700</wp:posOffset>
            </wp:positionV>
            <wp:extent cx="576326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63260" cy="2603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March 31, 2018 and December 31, 2017, notional amount includes forward starting swaps of $2.5 billion and $4.6 billion, respectively, with an average forward start date of 0.4 and 0.3 years, respectively.</w:t>
      </w:r>
    </w:p>
    <w:p>
      <w:pPr>
        <w:ind w:left="660" w:hanging="328"/>
        <w:spacing w:after="0" w:line="255"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1.77% and 1.68% as of March 31, 2018 and December 31, 2017,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Swaptions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Underlying Payer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Months to</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Average Fixed</w:t>
            </w:r>
          </w:p>
        </w:tc>
        <w:tc>
          <w:tcPr>
            <w:tcW w:w="1140" w:type="dxa"/>
            <w:vAlign w:val="bottom"/>
            <w:gridSpan w:val="2"/>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Current Option</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Current Option Expiration Date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1"/>
              </w:rPr>
              <w:t>Cost Basis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Pay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Date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2018</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5,050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2.74%</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&gt; 1 year ≤ 2 years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8.1</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&gt; 2 year ≤ 3 years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2.78%</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6,750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2.76%</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1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5,100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8.8</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&gt; 1 year ≤ 2 years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2.71%</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8.7</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&gt; 2 year ≤ 3 years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44"/>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6,650</w:t>
            </w:r>
          </w:p>
        </w:tc>
        <w:tc>
          <w:tcPr>
            <w:tcW w:w="10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2.72%</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8"/>
              </w:rPr>
              <w:t>3M</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8.9</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March 31, 2018 and December 31, 2017, ≤ 1 year notional amount includes $700 million of Bermudan swaptions where the options may be exercised on predetermined dates up to their final exercise date, which is six months prior to the underlying swaps' maturity date.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U.S. Treasury Securities</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rPr>
              <w:t>March 31, 2018</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December 31, 2017</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4"/>
          </w:tcPr>
          <w:p>
            <w:pPr>
              <w:jc w:val="right"/>
              <w:spacing w:after="0" w:line="153" w:lineRule="exact"/>
              <w:rPr>
                <w:sz w:val="20"/>
                <w:szCs w:val="20"/>
                <w:color w:val="auto"/>
              </w:rPr>
            </w:pPr>
            <w:r>
              <w:rPr>
                <w:rFonts w:ascii="Arial" w:cs="Arial" w:eastAsia="Arial" w:hAnsi="Arial"/>
                <w:sz w:val="14"/>
                <w:szCs w:val="14"/>
                <w:b w:val="1"/>
                <w:bCs w:val="1"/>
                <w:color w:val="auto"/>
              </w:rPr>
              <w:t>Face Amount Net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4"/>
            <w:vMerge w:val="restart"/>
          </w:tcPr>
          <w:p>
            <w:pPr>
              <w:jc w:val="right"/>
              <w:ind w:right="246"/>
              <w:spacing w:after="0"/>
              <w:rPr>
                <w:sz w:val="20"/>
                <w:szCs w:val="20"/>
                <w:color w:val="auto"/>
              </w:rPr>
            </w:pPr>
            <w:r>
              <w:rPr>
                <w:rFonts w:ascii="Arial" w:cs="Arial" w:eastAsia="Arial" w:hAnsi="Arial"/>
                <w:sz w:val="14"/>
                <w:szCs w:val="14"/>
                <w:b w:val="1"/>
                <w:bCs w:val="1"/>
                <w:color w:val="auto"/>
                <w:w w:val="88"/>
              </w:rPr>
              <w:t>Cost Basis</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5"/>
          </w:tcPr>
          <w:p>
            <w:pPr>
              <w:jc w:val="center"/>
              <w:spacing w:after="0" w:line="153" w:lineRule="exact"/>
              <w:rPr>
                <w:sz w:val="20"/>
                <w:szCs w:val="20"/>
                <w:color w:val="auto"/>
              </w:rPr>
            </w:pPr>
            <w:r>
              <w:rPr>
                <w:rFonts w:ascii="Arial" w:cs="Arial" w:eastAsia="Arial" w:hAnsi="Arial"/>
                <w:sz w:val="14"/>
                <w:szCs w:val="14"/>
                <w:b w:val="1"/>
                <w:bCs w:val="1"/>
                <w:color w:val="auto"/>
                <w:w w:val="93"/>
              </w:rPr>
              <w:t>Face Amount Net</w:t>
            </w:r>
          </w:p>
        </w:tc>
        <w:tc>
          <w:tcPr>
            <w:tcW w:w="100" w:type="dxa"/>
            <w:vAlign w:val="bottom"/>
          </w:tcPr>
          <w:p>
            <w:pPr>
              <w:spacing w:after="0"/>
              <w:rPr>
                <w:sz w:val="13"/>
                <w:szCs w:val="13"/>
                <w:color w:val="auto"/>
              </w:rPr>
            </w:pPr>
          </w:p>
        </w:tc>
        <w:tc>
          <w:tcPr>
            <w:tcW w:w="1220" w:type="dxa"/>
            <w:vAlign w:val="bottom"/>
            <w:gridSpan w:val="4"/>
            <w:vMerge w:val="restart"/>
          </w:tcPr>
          <w:p>
            <w:pPr>
              <w:jc w:val="right"/>
              <w:ind w:right="210"/>
              <w:spacing w:after="0"/>
              <w:rPr>
                <w:sz w:val="20"/>
                <w:szCs w:val="20"/>
                <w:color w:val="auto"/>
              </w:rPr>
            </w:pPr>
            <w:r>
              <w:rPr>
                <w:rFonts w:ascii="Arial" w:cs="Arial" w:eastAsia="Arial" w:hAnsi="Arial"/>
                <w:sz w:val="14"/>
                <w:szCs w:val="14"/>
                <w:b w:val="1"/>
                <w:bCs w:val="1"/>
                <w:color w:val="auto"/>
              </w:rPr>
              <w:t>Cost Basis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3"/>
            <w:vMerge w:val="restart"/>
          </w:tcPr>
          <w:p>
            <w:pPr>
              <w:jc w:val="right"/>
              <w:ind w:right="22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rPr>
              <w:t>Long / (Short)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Long / (Short)</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5 years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465"/>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4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(286)</w:t>
            </w:r>
          </w:p>
        </w:tc>
        <w:tc>
          <w:tcPr>
            <w:tcW w:w="3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7 years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(6,451)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(6,235)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Arial" w:cs="Arial" w:eastAsia="Arial" w:hAnsi="Arial"/>
                <w:sz w:val="16"/>
                <w:szCs w:val="16"/>
                <w:color w:val="auto"/>
              </w:rPr>
              <w:t>(6,131)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(6,106)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(6,029)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 years</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(4,172)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(3,947)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(4,280)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(4,230)</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(4,155)</w:t>
            </w:r>
          </w:p>
        </w:tc>
        <w:tc>
          <w:tcPr>
            <w:tcW w:w="0" w:type="dxa"/>
            <w:vAlign w:val="bottom"/>
          </w:tcPr>
          <w:p>
            <w:pPr>
              <w:spacing w:after="0"/>
              <w:rPr>
                <w:sz w:val="1"/>
                <w:szCs w:val="1"/>
                <w:color w:val="auto"/>
              </w:rPr>
            </w:pPr>
          </w:p>
        </w:tc>
      </w:tr>
      <w:tr>
        <w:trPr>
          <w:trHeight w:val="244"/>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Total U.S. Treasury securities, net</w:t>
            </w:r>
          </w:p>
        </w:tc>
        <w:tc>
          <w:tcPr>
            <w:tcW w:w="12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64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w w:val="90"/>
              </w:rPr>
              <w:t>(10,573)</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center"/>
              <w:ind w:right="103"/>
              <w:spacing w:after="0"/>
              <w:rPr>
                <w:sz w:val="20"/>
                <w:szCs w:val="20"/>
                <w:color w:val="auto"/>
              </w:rPr>
            </w:pPr>
            <w:r>
              <w:rPr>
                <w:rFonts w:ascii="Arial" w:cs="Arial" w:eastAsia="Arial" w:hAnsi="Arial"/>
                <w:sz w:val="16"/>
                <w:szCs w:val="16"/>
                <w:color w:val="auto"/>
                <w:w w:val="89"/>
              </w:rPr>
              <w:t>$</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(10,491)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(10,128)</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(10,699)</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w w:val="97"/>
              </w:rPr>
              <w:t>(10,622)</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(10,467)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U.S. Treasury Futures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w w:val="94"/>
              </w:rPr>
              <w:t>March 31, 2018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w w:val="96"/>
              </w:rPr>
              <w:t>December 31, 2017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center"/>
              <w:ind w:right="45"/>
              <w:spacing w:after="0" w:line="144" w:lineRule="exact"/>
              <w:rPr>
                <w:sz w:val="20"/>
                <w:szCs w:val="20"/>
                <w:color w:val="auto"/>
              </w:rPr>
            </w:pPr>
            <w:r>
              <w:rPr>
                <w:rFonts w:ascii="Arial" w:cs="Arial" w:eastAsia="Arial" w:hAnsi="Arial"/>
                <w:sz w:val="13"/>
                <w:szCs w:val="13"/>
                <w:b w:val="1"/>
                <w:bCs w:val="1"/>
                <w:color w:val="auto"/>
                <w:w w:val="88"/>
              </w:rPr>
              <w:t>Notional</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center"/>
              <w:ind w:right="440"/>
              <w:spacing w:after="0" w:line="144"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right="5"/>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4"/>
          </w:tcPr>
          <w:p>
            <w:pPr>
              <w:ind w:left="340"/>
              <w:spacing w:after="0" w:line="135" w:lineRule="exact"/>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right"/>
              <w:ind w:right="240"/>
              <w:spacing w:after="0" w:line="135" w:lineRule="exact"/>
              <w:rPr>
                <w:sz w:val="20"/>
                <w:szCs w:val="20"/>
                <w:color w:val="auto"/>
              </w:rPr>
            </w:pPr>
            <w:r>
              <w:rPr>
                <w:rFonts w:ascii="Arial" w:cs="Arial" w:eastAsia="Arial" w:hAnsi="Arial"/>
                <w:sz w:val="13"/>
                <w:szCs w:val="13"/>
                <w:b w:val="1"/>
                <w:bCs w:val="1"/>
                <w:color w:val="auto"/>
                <w:w w:val="89"/>
              </w:rPr>
              <w:t>Net Carrying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5"/>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Amount - Long</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4"/>
          </w:tcPr>
          <w:p>
            <w:pPr>
              <w:jc w:val="right"/>
              <w:ind w:right="239"/>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900" w:type="dxa"/>
            <w:vAlign w:val="bottom"/>
            <w:gridSpan w:val="2"/>
          </w:tcPr>
          <w:p>
            <w:pPr>
              <w:jc w:val="right"/>
              <w:ind w:right="5"/>
              <w:spacing w:after="0" w:line="135"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Maturity</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05"/>
              <w:spacing w:after="0"/>
              <w:rPr>
                <w:sz w:val="20"/>
                <w:szCs w:val="20"/>
                <w:color w:val="auto"/>
              </w:rPr>
            </w:pPr>
            <w:r>
              <w:rPr>
                <w:rFonts w:ascii="Arial" w:cs="Arial" w:eastAsia="Arial" w:hAnsi="Arial"/>
                <w:sz w:val="13"/>
                <w:szCs w:val="13"/>
                <w:b w:val="1"/>
                <w:bCs w:val="1"/>
                <w:color w:val="auto"/>
                <w:w w:val="89"/>
              </w:rPr>
              <w:t>(Short)</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4"/>
          </w:tcPr>
          <w:p>
            <w:pPr>
              <w:ind w:left="320"/>
              <w:spacing w:after="0"/>
              <w:rPr>
                <w:sz w:val="20"/>
                <w:szCs w:val="20"/>
                <w:color w:val="auto"/>
              </w:rPr>
            </w:pPr>
            <w:r>
              <w:rPr>
                <w:rFonts w:ascii="Arial" w:cs="Arial" w:eastAsia="Arial" w:hAnsi="Arial"/>
                <w:sz w:val="13"/>
                <w:szCs w:val="13"/>
                <w:b w:val="1"/>
                <w:bCs w:val="1"/>
                <w:color w:val="auto"/>
              </w:rPr>
              <w:t>Basis</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Value</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6"/>
              <w:spacing w:after="0"/>
              <w:rPr>
                <w:sz w:val="20"/>
                <w:szCs w:val="20"/>
                <w:color w:val="auto"/>
              </w:rPr>
            </w:pPr>
            <w:r>
              <w:rPr>
                <w:rFonts w:ascii="Arial" w:cs="Arial" w:eastAsia="Arial" w:hAnsi="Arial"/>
                <w:sz w:val="13"/>
                <w:szCs w:val="13"/>
                <w:b w:val="1"/>
                <w:bCs w:val="1"/>
                <w:color w:val="auto"/>
                <w:w w:val="93"/>
              </w:rPr>
              <w:t>(Short)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5"/>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5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580" w:type="dxa"/>
            <w:vAlign w:val="bottom"/>
            <w:gridSpan w:val="3"/>
            <w:shd w:val="clear" w:color="auto" w:fill="CCEEFF"/>
          </w:tcPr>
          <w:p>
            <w:pPr>
              <w:jc w:val="right"/>
              <w:ind w:right="237"/>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(836)</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2"/>
                <w:szCs w:val="22"/>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1"/>
              </w:rPr>
              <w:t>(848)</w:t>
            </w: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10 years</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(1,650)</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4"/>
              </w:rPr>
              <w:t>(1,974)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(1,999)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(2,718)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(2,703)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4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U.S. Treasury futures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580" w:type="dxa"/>
            <w:vAlign w:val="bottom"/>
            <w:gridSpan w:val="3"/>
            <w:shd w:val="clear" w:color="auto" w:fill="CCEEFF"/>
          </w:tcPr>
          <w:p>
            <w:pPr>
              <w:jc w:val="right"/>
              <w:ind w:right="237"/>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4"/>
              </w:rPr>
              <w:t>(2,805)</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(2,835)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(3,570)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(3,551)</w:t>
            </w: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7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6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2018</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2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3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Fair</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40" w:type="dxa"/>
            <w:vAlign w:val="bottom"/>
          </w:tcPr>
          <w:p>
            <w:pPr>
              <w:spacing w:after="0"/>
              <w:rPr>
                <w:sz w:val="11"/>
                <w:szCs w:val="11"/>
                <w:color w:val="auto"/>
              </w:rPr>
            </w:pPr>
          </w:p>
        </w:tc>
        <w:tc>
          <w:tcPr>
            <w:tcW w:w="88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1"/>
                <w:szCs w:val="11"/>
                <w:color w:val="auto"/>
              </w:rPr>
            </w:pPr>
          </w:p>
        </w:tc>
        <w:tc>
          <w:tcPr>
            <w:tcW w:w="88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1"/>
                <w:szCs w:val="11"/>
                <w:color w:val="auto"/>
              </w:rPr>
            </w:pPr>
          </w:p>
        </w:tc>
        <w:tc>
          <w:tcPr>
            <w:tcW w:w="88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Coupon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9"/>
              </w:rPr>
              <w:t>(Short)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Basis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9"/>
              </w:rPr>
              <w:t>(Short)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15-Year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00" w:type="dxa"/>
            <w:vAlign w:val="bottom"/>
          </w:tcPr>
          <w:p>
            <w:pPr>
              <w:jc w:val="right"/>
              <w:ind w:right="173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1,373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1,372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1,370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jc w:val="right"/>
              <w:ind w:right="173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2,756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3,161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jc w:val="right"/>
              <w:ind w:right="1730"/>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750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761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764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428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15-Year TBA securities</w:t>
            </w: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3,927</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3,907</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3,926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4,948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5,025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5,015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30-Year TBA securities: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jc w:val="right"/>
              <w:ind w:right="173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3,822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3,690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3,726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2300" w:type="dxa"/>
            <w:vAlign w:val="bottom"/>
          </w:tcPr>
          <w:p>
            <w:pPr>
              <w:jc w:val="right"/>
              <w:ind w:right="173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3,272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3,259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3,276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3,932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4,027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4,034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jc w:val="right"/>
              <w:ind w:right="173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2,650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2,709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2,449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2300" w:type="dxa"/>
            <w:vAlign w:val="bottom"/>
          </w:tcPr>
          <w:p>
            <w:pPr>
              <w:jc w:val="right"/>
              <w:ind w:right="173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30-Year TBA securities, net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9,709</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9,622</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9,685</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63</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10,526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10,714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10,727</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Total TBA securities,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13,636</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13,529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13,611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15,474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15,739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15,742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300" w:type="dxa"/>
            <w:vAlign w:val="bottom"/>
            <w:vMerge w:val="restart"/>
          </w:tcPr>
          <w:p>
            <w:pPr>
              <w:jc w:val="right"/>
              <w:ind w:right="490"/>
              <w:spacing w:after="0"/>
              <w:rPr>
                <w:sz w:val="20"/>
                <w:szCs w:val="20"/>
                <w:color w:val="auto"/>
              </w:rPr>
            </w:pPr>
            <w:r>
              <w:rPr>
                <w:rFonts w:ascii="Arial" w:cs="Arial" w:eastAsia="Arial" w:hAnsi="Arial"/>
                <w:sz w:val="11"/>
                <w:szCs w:val="11"/>
                <w:color w:val="auto"/>
                <w:w w:val="87"/>
              </w:rPr>
              <w:t>________________________________</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changes in our derivative and other hedge portfolio and their effect on our consolidated statements of comprehensive income for the three months ended March 31, 2018 and 2017 (in millions):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2"/>
              <w:spacing w:after="0" w:line="145" w:lineRule="exact"/>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Beginning</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240" w:type="dxa"/>
            <w:vAlign w:val="bottom"/>
          </w:tcPr>
          <w:p>
            <w:pPr>
              <w:spacing w:after="0"/>
              <w:rPr>
                <w:sz w:val="12"/>
                <w:szCs w:val="12"/>
                <w:color w:val="auto"/>
              </w:rPr>
            </w:pPr>
          </w:p>
        </w:tc>
        <w:tc>
          <w:tcPr>
            <w:tcW w:w="12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2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Instruments and</w:t>
            </w:r>
          </w:p>
        </w:tc>
        <w:tc>
          <w:tcPr>
            <w:tcW w:w="0" w:type="dxa"/>
            <w:vAlign w:val="bottom"/>
          </w:tcPr>
          <w:p>
            <w:pPr>
              <w:spacing w:after="0"/>
              <w:rPr>
                <w:sz w:val="1"/>
                <w:szCs w:val="1"/>
                <w:color w:val="auto"/>
              </w:rPr>
            </w:pPr>
          </w:p>
        </w:tc>
      </w:tr>
      <w:tr>
        <w:trPr>
          <w:trHeight w:val="149"/>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Other Securities, Net</w:t>
            </w:r>
          </w:p>
        </w:tc>
        <w:tc>
          <w:tcPr>
            <w:tcW w:w="0" w:type="dxa"/>
            <w:vAlign w:val="bottom"/>
          </w:tcPr>
          <w:p>
            <w:pPr>
              <w:spacing w:after="0"/>
              <w:rPr>
                <w:sz w:val="1"/>
                <w:szCs w:val="1"/>
                <w:color w:val="auto"/>
              </w:rPr>
            </w:pPr>
          </w:p>
        </w:tc>
      </w:tr>
      <w:tr>
        <w:trPr>
          <w:trHeight w:val="162"/>
        </w:trPr>
        <w:tc>
          <w:tcPr>
            <w:tcW w:w="43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Notional Amount</w:t>
            </w: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Notional Amount</w:t>
            </w:r>
          </w:p>
        </w:tc>
        <w:tc>
          <w:tcPr>
            <w:tcW w:w="22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2"/>
              <w:spacing w:after="0"/>
              <w:rPr>
                <w:sz w:val="20"/>
                <w:szCs w:val="20"/>
                <w:color w:val="auto"/>
              </w:rPr>
            </w:pPr>
            <w:r>
              <w:rPr>
                <w:rFonts w:ascii="Arial" w:cs="Arial" w:eastAsia="Arial" w:hAnsi="Arial"/>
                <w:sz w:val="9"/>
                <w:szCs w:val="9"/>
                <w:b w:val="1"/>
                <w:bCs w:val="1"/>
                <w:color w:val="auto"/>
                <w:w w:val="78"/>
              </w:rPr>
              <w:t>1</w:t>
            </w: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2018:</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15,474</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43,669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(45,507)</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13,636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43,700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45,250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6,650</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6,750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(10,798)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(734)</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2017: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10,916</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36,096</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(32,842)</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14,170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37,175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35,775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spacing w:after="0" w:line="40" w:lineRule="exact"/>
        <w:rPr>
          <w:sz w:val="20"/>
          <w:szCs w:val="20"/>
          <w:color w:val="auto"/>
        </w:rPr>
      </w:pPr>
    </w:p>
    <w:p>
      <w:pPr>
        <w:ind w:left="660" w:right="20" w:hanging="328"/>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Amounts above exclude other miscellaneous gains and losses recognized in gain (loss) on derivative instruments and other securities, net in our consolidated statements of comprehensive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Pledged Assets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68" w:right="239" w:bottom="1440" w:gutter="0" w:footer="0" w:header="0"/>
        </w:sectPr>
      </w:pPr>
    </w:p>
    <w:bookmarkStart w:id="18" w:name="page19"/>
    <w:bookmarkEnd w:id="18"/>
    <w:p>
      <w:pPr>
        <w:jc w:val="both"/>
        <w:spacing w:after="0" w:line="276" w:lineRule="auto"/>
        <w:rPr>
          <w:sz w:val="20"/>
          <w:szCs w:val="20"/>
          <w:color w:val="auto"/>
        </w:rPr>
      </w:pPr>
      <w:r>
        <w:rPr>
          <w:rFonts w:ascii="Arial" w:cs="Arial" w:eastAsia="Arial" w:hAnsi="Arial"/>
          <w:sz w:val="17"/>
          <w:szCs w:val="17"/>
          <w:color w:val="auto"/>
        </w:rPr>
        <w:t>typically required to post initial margin upon execution of derivative transactions, such as under our interest rate swap agreements and TBA contracts, and subsequently post or receive variation margin based on daily fluctuations in fair value. Our prime brokerage agreements, pursuant to which we receive custody and settlement services,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19"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 to market margin requirements, clearinghouse guarantee funds and other resources that are available in the event of a clearing member default.</w:t>
      </w:r>
    </w:p>
    <w:p>
      <w:pPr>
        <w:spacing w:after="0" w:line="11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International Swaps and Derivatives Association ("ISDA") Master Agreements contain a cross default provision under which a default under the terms of certain of our other indebtedness in excess of certain thresholds causes an event of default under the ISDA Master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up to certain specified levels. As of March 31, 2018, the fair value of additional collateral that could be required to be posted as a result of the credit-risk-related contingent features being triggered was not material to our financial statements.</w:t>
      </w:r>
    </w:p>
    <w:p>
      <w:pPr>
        <w:spacing w:after="0" w:line="1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2018, our amount at risk with any counterparty related to our repurchase agreements was less than 5% of our tangible stockholders' equity and our maximum amount at risk with any counterparty related to our interest rate swap and swaption agreements, excluding centrally cleared swaps, was less than 1% of our stockholders' equity.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summarize our assets pledged as collateral under our funding, derivative and prime broker agreements by type, including securities pledged related to securities sold but not yet settled, as of March 31, 2018 and December 31, 2017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center"/>
              <w:ind w:left="368"/>
              <w:spacing w:after="0"/>
              <w:rPr>
                <w:sz w:val="20"/>
                <w:szCs w:val="20"/>
                <w:color w:val="auto"/>
              </w:rPr>
            </w:pPr>
            <w:r>
              <w:rPr>
                <w:rFonts w:ascii="Arial" w:cs="Arial" w:eastAsia="Arial" w:hAnsi="Arial"/>
                <w:sz w:val="14"/>
                <w:szCs w:val="14"/>
                <w:b w:val="1"/>
                <w:bCs w:val="1"/>
                <w:color w:val="auto"/>
                <w:w w:val="96"/>
              </w:rPr>
              <w:t>March 31, 2018</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Repurchase Agreements</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Debt of Consolidated</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93"/>
              <w:spacing w:after="0"/>
              <w:rPr>
                <w:sz w:val="20"/>
                <w:szCs w:val="20"/>
                <w:color w:val="auto"/>
              </w:rPr>
            </w:pPr>
            <w:r>
              <w:rPr>
                <w:rFonts w:ascii="Arial" w:cs="Arial" w:eastAsia="Arial" w:hAnsi="Arial"/>
                <w:sz w:val="9"/>
                <w:szCs w:val="9"/>
                <w:b w:val="1"/>
                <w:bCs w:val="1"/>
                <w:color w:val="auto"/>
                <w:w w:val="78"/>
              </w:rPr>
              <w:t>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50,996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52,229</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 xml:space="preserve">U.S. Treasury securities - fair value </w:t>
            </w:r>
            <w:r>
              <w:rPr>
                <w:rFonts w:ascii="Arial" w:cs="Arial" w:eastAsia="Arial" w:hAnsi="Arial"/>
                <w:sz w:val="8"/>
                <w:szCs w:val="8"/>
                <w:color w:val="auto"/>
              </w:rPr>
              <w:t>3</w:t>
            </w:r>
          </w:p>
        </w:tc>
        <w:tc>
          <w:tcPr>
            <w:tcW w:w="44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Restricted cash and cash equivalents</w:t>
            </w:r>
          </w:p>
        </w:tc>
        <w:tc>
          <w:tcPr>
            <w:tcW w:w="44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51,311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52,934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left="368"/>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Repurchase Agreements</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Debt of Consolidated</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93"/>
              <w:spacing w:after="0"/>
              <w:rPr>
                <w:sz w:val="20"/>
                <w:szCs w:val="20"/>
                <w:color w:val="auto"/>
              </w:rPr>
            </w:pPr>
            <w:r>
              <w:rPr>
                <w:rFonts w:ascii="Arial" w:cs="Arial" w:eastAsia="Arial" w:hAnsi="Arial"/>
                <w:sz w:val="9"/>
                <w:szCs w:val="9"/>
                <w:b w:val="1"/>
                <w:bCs w:val="1"/>
                <w:color w:val="auto"/>
                <w:w w:val="78"/>
              </w:rPr>
              <w:t>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52,497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53,899</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 xml:space="preserve">U.S. Treasury securities - fair value </w:t>
            </w:r>
            <w:r>
              <w:rPr>
                <w:rFonts w:ascii="Arial" w:cs="Arial" w:eastAsia="Arial" w:hAnsi="Arial"/>
                <w:sz w:val="8"/>
                <w:szCs w:val="8"/>
                <w:color w:val="auto"/>
              </w:rPr>
              <w:t>3</w:t>
            </w:r>
          </w:p>
        </w:tc>
        <w:tc>
          <w:tcPr>
            <w:tcW w:w="44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Restricted cash and cash equivalents</w:t>
            </w:r>
          </w:p>
        </w:tc>
        <w:tc>
          <w:tcPr>
            <w:tcW w:w="44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52,798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54,559</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2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$174 million and $182 million of retained interests in our consolidated VIEs pledged as collateral under repurchase agreements as of March 31, 2018 and December 31, 2017, respectively.</w:t>
      </w: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margin for TBAs cleared through prime brokers and other clearing deposits.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repledged securities received as collateral from counterparties.</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our securities pledged as collateral under our repurchase agreements by the remaining maturity of our borrowings, including securities pledged related to sold but not yet settled securities, as of March 31, 2018 and December 31, 2017 (in millions). For the corresponding borrowings associated with the following amounts and the interest rates thereon, refer to Note 5</w:t>
      </w:r>
      <w:r>
        <w:rPr>
          <w:rFonts w:ascii="Arial" w:cs="Arial" w:eastAsia="Arial" w:hAnsi="Arial"/>
          <w:sz w:val="18"/>
          <w:szCs w:val="18"/>
          <w:i w:val="1"/>
          <w:iCs w:val="1"/>
          <w:color w:val="auto"/>
        </w:rPr>
        <w:t>.</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8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60" w:type="dxa"/>
            <w:vAlign w:val="bottom"/>
          </w:tcPr>
          <w:p>
            <w:pPr>
              <w:spacing w:after="0"/>
              <w:rPr>
                <w:sz w:val="12"/>
                <w:szCs w:val="12"/>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Fair Value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60" w:type="dxa"/>
            <w:vAlign w:val="bottom"/>
          </w:tcPr>
          <w:p>
            <w:pPr>
              <w:spacing w:after="0"/>
              <w:rPr>
                <w:sz w:val="12"/>
                <w:szCs w:val="12"/>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9"/>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Pledged</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4"/>
              </w:rPr>
              <w:t>Pledged 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RMBS:</w:t>
            </w:r>
            <w:r>
              <w:rPr>
                <w:rFonts w:ascii="Arial" w:cs="Arial" w:eastAsia="Arial" w:hAnsi="Arial"/>
                <w:sz w:val="8"/>
                <w:szCs w:val="8"/>
                <w:color w:val="auto"/>
              </w:rPr>
              <w:t>1,2</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100"/>
              <w:spacing w:after="0"/>
              <w:rPr>
                <w:sz w:val="20"/>
                <w:szCs w:val="20"/>
                <w:color w:val="auto"/>
              </w:rPr>
            </w:pPr>
            <w:r>
              <w:rPr>
                <w:rFonts w:ascii="Arial" w:cs="Arial" w:eastAsia="Arial" w:hAnsi="Arial"/>
                <w:sz w:val="14"/>
                <w:szCs w:val="14"/>
                <w:color w:val="auto"/>
              </w:rPr>
              <w:t>≤ 30 days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25,229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25,939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20,162</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20,313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&gt; 30 and ≤ 60 days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8,249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12,950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4"/>
        </w:trPr>
        <w:tc>
          <w:tcPr>
            <w:tcW w:w="4020" w:type="dxa"/>
            <w:vAlign w:val="bottom"/>
            <w:gridSpan w:val="2"/>
          </w:tcPr>
          <w:p>
            <w:pPr>
              <w:ind w:left="100"/>
              <w:spacing w:after="0"/>
              <w:rPr>
                <w:sz w:val="20"/>
                <w:szCs w:val="20"/>
                <w:color w:val="auto"/>
              </w:rPr>
            </w:pPr>
            <w:r>
              <w:rPr>
                <w:rFonts w:ascii="Arial" w:cs="Arial" w:eastAsia="Arial" w:hAnsi="Arial"/>
                <w:sz w:val="14"/>
                <w:szCs w:val="14"/>
                <w:color w:val="auto"/>
              </w:rPr>
              <w:t>&gt; 60 and ≤ 90 days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5,561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5,724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4,000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4,013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&gt; 90 days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12,205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12,570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15,385</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15,512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200"/>
              <w:spacing w:after="0"/>
              <w:rPr>
                <w:sz w:val="20"/>
                <w:szCs w:val="20"/>
                <w:color w:val="auto"/>
              </w:rPr>
            </w:pPr>
            <w:r>
              <w:rPr>
                <w:rFonts w:ascii="Arial" w:cs="Arial" w:eastAsia="Arial" w:hAnsi="Arial"/>
                <w:sz w:val="14"/>
                <w:szCs w:val="14"/>
                <w:color w:val="auto"/>
              </w:rPr>
              <w:t>Total RMBS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50,996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52,482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52,497</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52,899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60" w:right="200" w:hanging="328"/>
        <w:spacing w:after="0" w:line="250"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$174 million and $182 million of retained interests in our consolidated VIEs pledged as collateral under repurchase agreements as of March 31, 2018 and December 31, 2017, respectively.</w:t>
      </w: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March 31, 2018 amounts exclude $115 million of repledged U.S. Treasury securities received as collateral from counterparties.</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table above excludes Agency securities transferred to our consolidated VIEs. Securities transferred to our consolidated VIEs can only be used to settle the obligations of each respective VIE. However, we may pledge our retained interests in our consolidated VIEs as collateral under our repurchase agreements and derivative contracts. Please refer to Note 4 for additional information regarding our consolidated VIEs.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2018 and December 31, 2017, we had assets pledged to us from counterparties as collateral under our reverse repurchase and derivative agreements summarized in the tables below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2018</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Derivative</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Reverse</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AGNC</w:t>
            </w:r>
          </w:p>
        </w:tc>
        <w:tc>
          <w:tcPr>
            <w:tcW w:w="1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Repurchase</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1"/>
              </w:rPr>
              <w:t xml:space="preserve">Agreements </w:t>
            </w:r>
            <w:r>
              <w:rPr>
                <w:rFonts w:ascii="Arial" w:cs="Arial" w:eastAsia="Arial" w:hAnsi="Arial"/>
                <w:sz w:val="8"/>
                <w:szCs w:val="8"/>
                <w:b w:val="1"/>
                <w:bCs w:val="1"/>
                <w:color w:val="auto"/>
                <w:w w:val="91"/>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Agreements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Treasury securities - fair value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10,853</w:t>
            </w:r>
          </w:p>
        </w:tc>
        <w:tc>
          <w:tcPr>
            <w:tcW w:w="0" w:type="dxa"/>
            <w:vAlign w:val="bottom"/>
          </w:tcPr>
          <w:p>
            <w:pPr>
              <w:spacing w:after="0"/>
              <w:rPr>
                <w:sz w:val="1"/>
                <w:szCs w:val="1"/>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Cash</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ind w:left="820"/>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37"/>
        </w:trPr>
        <w:tc>
          <w:tcPr>
            <w:tcW w:w="334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10,712</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10,959</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10,853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10,935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U.S Treasury securities received as collateral under our reverse repurchase agreements that we use to cover short sales of U.S. Treasury securities are accounted for as securities borrowing transactions. We recognize a corresponding obligation to return the borrowed securities at fair value on the accompanying consolidated balance sheets based on the value of the underlying borrowed securities as of the reporting date.</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March 31, 2018 and December 31, 2017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9"/>
          </w:tcPr>
          <w:p>
            <w:pPr>
              <w:jc w:val="right"/>
              <w:ind w:right="28"/>
              <w:spacing w:after="0"/>
              <w:rPr>
                <w:sz w:val="20"/>
                <w:szCs w:val="20"/>
                <w:color w:val="auto"/>
              </w:rPr>
            </w:pPr>
            <w:r>
              <w:rPr>
                <w:rFonts w:ascii="Arial" w:cs="Arial" w:eastAsia="Arial" w:hAnsi="Arial"/>
                <w:sz w:val="14"/>
                <w:szCs w:val="14"/>
                <w:b w:val="1"/>
                <w:bCs w:val="1"/>
                <w:color w:val="auto"/>
                <w:w w:val="92"/>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Financial</w:t>
            </w:r>
          </w:p>
        </w:tc>
        <w:tc>
          <w:tcPr>
            <w:tcW w:w="180" w:type="dxa"/>
            <w:vAlign w:val="bottom"/>
          </w:tcPr>
          <w:p>
            <w:pPr>
              <w:spacing w:after="0"/>
              <w:rPr>
                <w:sz w:val="13"/>
                <w:szCs w:val="13"/>
                <w:color w:val="auto"/>
              </w:rPr>
            </w:pPr>
          </w:p>
        </w:tc>
        <w:tc>
          <w:tcPr>
            <w:tcW w:w="10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7"/>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4"/>
              </w:rPr>
              <w:t xml:space="preserve">Received </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10,770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10,770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11,180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10,961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10,961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11,147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11,147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9"/>
          </w:tcPr>
          <w:p>
            <w:pPr>
              <w:ind w:left="920"/>
              <w:spacing w:after="0"/>
              <w:rPr>
                <w:sz w:val="20"/>
                <w:szCs w:val="20"/>
                <w:color w:val="auto"/>
              </w:rPr>
            </w:pPr>
            <w:r>
              <w:rPr>
                <w:rFonts w:ascii="Arial" w:cs="Arial" w:eastAsia="Arial" w:hAnsi="Arial"/>
                <w:sz w:val="14"/>
                <w:szCs w:val="14"/>
                <w:b w:val="1"/>
                <w:bCs w:val="1"/>
                <w:color w:val="auto"/>
                <w:w w:val="95"/>
              </w:rPr>
              <w:t>Offsetting of Financial and Derivative Liabilities</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3"/>
            <w:vMerge w:val="restart"/>
          </w:tcPr>
          <w:p>
            <w:pPr>
              <w:jc w:val="center"/>
              <w:ind w:left="768"/>
              <w:spacing w:after="0" w:line="149" w:lineRule="exact"/>
              <w:rPr>
                <w:sz w:val="20"/>
                <w:szCs w:val="20"/>
                <w:color w:val="auto"/>
              </w:rPr>
            </w:pPr>
            <w:r>
              <w:rPr>
                <w:rFonts w:ascii="Arial" w:cs="Arial" w:eastAsia="Arial" w:hAnsi="Arial"/>
                <w:sz w:val="14"/>
                <w:szCs w:val="14"/>
                <w:b w:val="1"/>
                <w:bCs w:val="1"/>
                <w:color w:val="auto"/>
                <w:w w:val="90"/>
              </w:rPr>
              <w:t>in the</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12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Financial</w:t>
            </w:r>
          </w:p>
        </w:tc>
        <w:tc>
          <w:tcPr>
            <w:tcW w:w="200" w:type="dxa"/>
            <w:vAlign w:val="bottom"/>
          </w:tcPr>
          <w:p>
            <w:pPr>
              <w:spacing w:after="0"/>
              <w:rPr>
                <w:sz w:val="13"/>
                <w:szCs w:val="13"/>
                <w:color w:val="auto"/>
              </w:rPr>
            </w:pPr>
          </w:p>
        </w:tc>
        <w:tc>
          <w:tcPr>
            <w:tcW w:w="10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Collateral</w:t>
            </w:r>
          </w:p>
        </w:tc>
        <w:tc>
          <w:tcPr>
            <w:tcW w:w="140" w:type="dxa"/>
            <w:vAlign w:val="bottom"/>
          </w:tcPr>
          <w:p>
            <w:pPr>
              <w:spacing w:after="0"/>
              <w:rPr>
                <w:sz w:val="13"/>
                <w:szCs w:val="13"/>
                <w:color w:val="auto"/>
              </w:rPr>
            </w:pPr>
          </w:p>
        </w:tc>
        <w:tc>
          <w:tcPr>
            <w:tcW w:w="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7"/>
              </w:rPr>
              <w:t>Instruments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8"/>
              </w:rPr>
              <w:t xml:space="preserve">Pledged </w:t>
            </w:r>
            <w:r>
              <w:rPr>
                <w:rFonts w:ascii="Arial" w:cs="Arial" w:eastAsia="Arial" w:hAnsi="Arial"/>
                <w:sz w:val="8"/>
                <w:szCs w:val="8"/>
                <w:b w:val="1"/>
                <w:bCs w:val="1"/>
                <w:color w:val="auto"/>
                <w:w w:val="98"/>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48,956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48,956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(41,350)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48,958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48,958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 and FHLB advances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50,296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50,296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50,324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320" w:hanging="328"/>
        <w:spacing w:after="0" w:line="241"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6 for a reconciliation of derivative assets / liabilities, at fair value to their sub-components.</w:t>
      </w:r>
    </w:p>
    <w:p>
      <w:pPr>
        <w:ind w:left="660" w:right="240" w:hanging="328"/>
        <w:spacing w:after="0" w:line="255"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presented are limited to collateral pledged sufficient to reduce the net amount to zero for individual counterparties, as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17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determine the fair value of our financial instruments based on our estimate of the price that would be received to sell the asset or paid to transfer the liability in an orderly transaction between market participants at the measurement date. We typically obtain price estimates from multiple third-party pricing services and dealers or, if applicable, the clearing exchange (see Note 3 for further details.) We utilize a three-level valuation hierarchy for disclosure of fair value measurements.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left="60" w:firstLine="432"/>
        <w:spacing w:after="0" w:line="259" w:lineRule="auto"/>
        <w:rPr>
          <w:sz w:val="20"/>
          <w:szCs w:val="20"/>
          <w:color w:val="auto"/>
        </w:rPr>
      </w:pPr>
      <w:r>
        <w:rPr>
          <w:rFonts w:ascii="Arial" w:cs="Arial" w:eastAsia="Arial" w:hAnsi="Arial"/>
          <w:sz w:val="18"/>
          <w:szCs w:val="18"/>
          <w:color w:val="auto"/>
        </w:rPr>
        <w:t>The availability of observable inputs can vary by instrument and is affected by a wide variety of factors, including the type of instrument, whether the instrument is new and not yet established in the marketplace and other characteristics particular to the instrument. Third-party pricing sources may also use certain unobservable inputs, such as assumptions of future levels of prepayment, defaults and loss severities, especially when estimating fair values for securities with lower levels of recent trading activity.</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make inquiries of third-party pricing sources to understand the significant inputs and assumptions they used to determine their prices.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validation procedures described above also influence our determination of the appropriate fair value measurement categorization. The following table provides a summary of our assets and liabilities that are measured at fair value on a recurring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87"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basis as of March 31, 2018 and December 31, 2017 based on their categorization within the valuation hierarchy (in millions). There were no transfers between valuation hierarchy levels during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Agency securities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54,141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55,506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Agency securities transferred to consolidated VIEs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Credit risk transfer securities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Non-Agency securities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U.S. Treasury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REIT equity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Swaptions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83"/>
        </w:trPr>
        <w:tc>
          <w:tcPr>
            <w:tcW w:w="458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56,092</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57,266</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51"/>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Debt of consolidated VIEs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163"/>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Obligation to return U.S. Treasury securities borrowed under reverse</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4"/>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agreements</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10,352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10,352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10,467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Excluded from the table above are financial instruments, including cash and cash equivalents, restricted cash and cash equivalents, receivables, payables and borrowings under repurchase agreements, which are presented in our consolidated financial statements at cost. The cost basis of these instruments is determined to approximate fair value due to their short duration or, in the case of longer-term repo, due to floating rates of interest based on an index plus or minus a fixed spread which is consistent with fixed spreads demanded in the market. We estimate the fair value of these instruments using "Level 1" or "Level 2"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Net Income Per Common Share</w:t>
      </w:r>
    </w:p>
    <w:p>
      <w:pPr>
        <w:spacing w:after="0" w:line="22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Basic net income per common share includes no dilution and is computed by dividing net income applicable to common stock by the weighted-average number of common shares outstanding for the respective period. Diluted earnings per common share includes the impact of dilutive potential common shares outstanding during the period using the treasury stock method. Dilutive potential common shares outstanding include unvested restricted stock units and performance share units granted under our long-term incentive program to employees and non-employee Board of Directors. The following table presents the computations of basic and diluted net income per common share for the periods indicated (shares and dollars in millions):</w:t>
      </w:r>
    </w:p>
    <w:p>
      <w:pPr>
        <w:spacing w:after="0" w:line="244" w:lineRule="exact"/>
        <w:rPr>
          <w:sz w:val="20"/>
          <w:szCs w:val="20"/>
          <w:color w:val="auto"/>
        </w:rPr>
      </w:pPr>
    </w:p>
    <w:tbl>
      <w:tblPr>
        <w:tblLayout w:type="fixed"/>
        <w:tblInd w:w="124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264"/>
        </w:trPr>
        <w:tc>
          <w:tcPr>
            <w:tcW w:w="66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r>
      <w:tr>
        <w:trPr>
          <w:trHeight w:val="256"/>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331.0</w:t>
            </w:r>
          </w:p>
        </w:tc>
      </w:tr>
      <w:tr>
        <w:trPr>
          <w:trHeight w:val="264"/>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Unvested restricted stock units and performance share units</w:t>
            </w: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r>
      <w:tr>
        <w:trPr>
          <w:trHeight w:val="243"/>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331.1</w:t>
            </w:r>
          </w:p>
        </w:tc>
      </w:tr>
      <w:tr>
        <w:trPr>
          <w:trHeight w:val="20"/>
        </w:trPr>
        <w:tc>
          <w:tcPr>
            <w:tcW w:w="6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5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available to common stockholders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w:t>
            </w:r>
          </w:p>
        </w:tc>
      </w:tr>
      <w:tr>
        <w:trPr>
          <w:trHeight w:val="21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per common share -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0.21</w:t>
            </w:r>
          </w:p>
        </w:tc>
      </w:tr>
      <w:tr>
        <w:trPr>
          <w:trHeight w:val="20"/>
        </w:trPr>
        <w:tc>
          <w:tcPr>
            <w:tcW w:w="6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10.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Pursuant to our amended and restated certificate of incorporation, we are authorized to designate and issue up to 10.0 million shares of preferred stock in one or more classes or series. As of December 31, 2017 and March 31, 2018, 8,050 shares were designated as 7.750% Series B Cumulative Redeemable Preferred Stock ("Series B Preferred Stock") and 13,800 shares were designated as 7.00% Series C Fixed-to-Floating Rate Cumulative Redeemable Preferred Stock ("Series C Preferred Stock"). Shares of Series B and Series C Preferred Stock are represented by depositary shares equal to 1/1000 interest in each share of Series B and Series C Preferred Stock, respectively. As of December 31, 2017 and March 31, 2018, we had 7,000 shares of Series B Preferred Stock and 13,000 shares of Series C Preferred Stock outstanding (represented by 7.0 million Series B depositary shares and 13.0 million Series C depositary shares outstanding, respectively) and 9,980,000 of authorized but unissued shares of preferred stock.</w:t>
      </w:r>
    </w:p>
    <w:p>
      <w:pPr>
        <w:spacing w:after="0" w:line="12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Holders of depository shares underlying our Series B Preferred Stock are entitled to receive cumulative cash dividends at a rate of 7.750% per annum of their $25.00 per depositary share liquidation preference. Holders of depositary shares underlying our Series C Preferred Stock are entitled to receive cumulative cash dividends at a rate of 7.00% per annum up to, and including, October 14, 2022 and thereafter at a floating rate equal to three-month LIBOR plus a spread of 5.111% per annum of their $25.00 per depositary share liquidation preference. Dividends are payable quarterly in arrears on the 15th day of each January, April, July and October. As of March 31, 2018, we had declared all required quarterly dividends on our preferred stock.</w:t>
      </w:r>
    </w:p>
    <w:p>
      <w:pPr>
        <w:spacing w:after="0" w:line="10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ranks on parity with each other. Under certain circumstances upon a change of control, our preferred stock is convertible to shares of our common stock. Holders of our preferred stock and depository shares underlying our preferred stock have no voting rights, except under limited conditions. Beginning on May 8, 2019 and October 15, 2022, depository shares underlying our Series B and Series C Preferred Stock, respectively, will be redeemable at $25.00 per depositary share, plus accumulated and unpaid dividends (whether or not declared) exclusively at our option. We may redeem shares of our preferred stock prior to our optional redemption date under certain circumstances intended to preserve our qualification as a REIT for Federal income tax purposes.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Offering and Redemption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August 2017, we issued 13,000 shares of Series C Preferred Stock in a public offering of 13.0 million Series C depositary shares at a price of $25 per depositary share for net proceeds of $315 million, after deducting underwriting discounts and estimated offering expenses. In September 2017, we redeemed all of our issued and outstanding shares of 8.000% Series A Cumulative Redeemable Preferred Stock ("Series A Preferred Stock") for $173 million (or $25 per share liquidation preference), plus accrued and unpaid dividends, and, in October of 2017, we filed a Certificate of Elimination of our Series A Preferred Stock with the Secretary of State of the State of Delaware, which eliminated the designation of Series A Preferred Stock from our amended and restated certificate of incorporation.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Offerings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May 2017, we completed a public offering in which 24.5 million shares of our common stock were sold to the underwriters for proceeds of $503 million, or $20.51 per common share, net of offering costs. In September 2017, we completed a public offering in which 28.2 million shares of our common stock were sold to the underwriters for proceeds of $577 million, or $20.47 per common share, net of estimated offering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February 2017, we entered into agreements with sales agents to publicly offer and sell shares of our common stock in privately negotiated and/or at-the-market transactions from time-to-time up to an aggregate amount of $750 million of shares of our common stock. During fiscal year 2017, we sold 7.6 million shares of our common stock under the sales agreements for proceeds of $159 million, or $20.96 per common share, net of estimated offering costs. As of March 31, 2018, $589 million of shares of our common stock remain available for issuance under this program.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changes to accumulated OCI for the three months ended March 31, 2018 and 2017 (in millions):</w:t>
      </w:r>
    </w:p>
    <w:p>
      <w:pPr>
        <w:spacing w:after="0" w:line="311"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r>
      <w:tr>
        <w:trPr>
          <w:trHeight w:val="250"/>
        </w:trPr>
        <w:tc>
          <w:tcPr>
            <w:tcW w:w="5660" w:type="dxa"/>
            <w:vAlign w:val="bottom"/>
            <w:gridSpan w:val="2"/>
          </w:tcPr>
          <w:p>
            <w:pPr>
              <w:ind w:left="20"/>
              <w:spacing w:after="0"/>
              <w:rPr>
                <w:sz w:val="20"/>
                <w:szCs w:val="20"/>
                <w:color w:val="auto"/>
              </w:rPr>
            </w:pPr>
            <w:r>
              <w:rPr>
                <w:rFonts w:ascii="Arial" w:cs="Arial" w:eastAsia="Arial" w:hAnsi="Arial"/>
                <w:sz w:val="14"/>
                <w:szCs w:val="14"/>
                <w:b w:val="1"/>
                <w:bCs w:val="1"/>
                <w:color w:val="auto"/>
              </w:rPr>
              <w:t>Beginning Balance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1"/>
                <w:szCs w:val="21"/>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(397)</w:t>
            </w:r>
          </w:p>
        </w:tc>
      </w:tr>
      <w:tr>
        <w:trPr>
          <w:trHeight w:val="276"/>
        </w:trPr>
        <w:tc>
          <w:tcPr>
            <w:tcW w:w="5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OCI before reclassifications</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57"/>
        </w:trPr>
        <w:tc>
          <w:tcPr>
            <w:tcW w:w="566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(Gain) loss amounts for available-for-sale securities</w:t>
            </w: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5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w w:val="99"/>
              </w:rPr>
              <w:t>reclassified from accumulated OCI to realized gain (loss) on sale of investment securities</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w:t>
            </w:r>
          </w:p>
        </w:tc>
      </w:tr>
      <w:tr>
        <w:trPr>
          <w:trHeight w:val="243"/>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w:t>
            </w: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April 12, 2018 , our Board of Directors declared a monthly dividend of $0.18 per common share, payable on May 9, 2018 to common stockholders of record as of April 30, 2018, respectively.</w:t>
      </w:r>
    </w:p>
    <w:p>
      <w:pPr>
        <w:spacing w:after="0" w:line="4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8"/>
          <w:szCs w:val="18"/>
          <w:color w:val="auto"/>
        </w:rPr>
        <w:t>On May 2, 2018, we entered into an amendment to our management agreement with MTGE in connection with the proposed acquisition of MTGE by Annaly Capital Management, Inc. The transaction is expected to close in the third quarter of 2018, subject to customary closing conditions. Pursuant to the amendment, we will continue to manage MTGE through the closing of the merger and for a short transitional period following the merger. In addition to regular monthly management fees payable for ongoing service through the transition period, under the amendment we will be paid a termination fee of $41.7 million.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March 31, 2018. Our MD&amp;A is presented in six sections:</w:t>
      </w:r>
    </w:p>
    <w:p>
      <w:pPr>
        <w:spacing w:after="0" w:line="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an internally managed Real Estate Investment Trust ("REIT"). We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a REIT, we are required to distribute annually 90% of our taxable income. So long as we continue to qualify as a REIT, we will generally not be subject to U.S. Federal or state corporate taxes on our taxable income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earn income primarily from investing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the Federal National Mortgage Association ("Fannie Mae") and the Federal Home Loan Mortgage Corporation ("Freddie Mac," and together with Fannie Mae, the "GSEs"), or by a U.S. Government agency, such as the Government National Mortgage Association ("Ginnie Mae"). We may also invest in other types of mortgage and mortgage-related residential and commercial mortgage-backed securities where repayment of principal and interest is not guaranteed by a GSE or U.S. Government agency.</w:t>
      </w:r>
    </w:p>
    <w:p>
      <w:pPr>
        <w:spacing w:after="0" w:line="12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borrowings structured as repurchase agreements.</w:t>
      </w:r>
    </w:p>
    <w:p>
      <w:pPr>
        <w:spacing w:after="0" w:line="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310"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key market dynamics from 2017, including low volatility, steadily increasing equity valuations, stable longer-term rates, and tighter credit spreads all reversed course dramatically during the first quarter of 2018. The yield on the 10-year U.S. Treasury note rose 33 basis points over the quarter while shorter maturity Treasury and swap rates increased 40 to 50 basis points. Consistent with the increase in rates and wider credit spreads more broadly, spreads on Agency RMBS relative to benchmarks widened close to 10 basis points and were the primary driver of our negative economic return of -2.6% for the quarter, which includes the decline of -5.4% in our tangible net book value and dividends declared during the quarter of $0.54 per common share.</w:t>
      </w:r>
    </w:p>
    <w:p>
      <w:pPr>
        <w:spacing w:after="0" w:line="10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Given improving underlying economic fundamentals and a reduction of quantitative easing measures by several key central banks, our core view was that interest rates were biased somewhat higher. As such, by the end of 2017, we reduced our exposure to higher rates by increasing our interest rate hedge position to 97% of our Agency repo, TBA position and other debt. We also adjusted the composition of our interest rate hedges to include a greater portion of interest rate swaptions to provide greater protection against larger interest rate increases and greater interest rate volatility. During the first quarter, we continued to add additional interest rate protection, increasing our interest rate hedge position to 103% of our funding liabilities as of March 31, 2018. These actions minimized the impact of the increase in long-term rates during the first quarter on our tangible net book value and should continue to limit our exposure to further rate increases. Our net "duration gap," which is a measure of the risk due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 xml:space="preserve">mismatches that can occur between the interest rate sensitivity of our assets and liabilities, inclusive of hedges, was 0.5 years as of March 31, 2018, moderately higher than our net duration gap of 0.1 years as of December 31, 2017. As of March 31, 2018, our sensitivity to an instantaneous parallel increase in rates of 50 and 100 basis points, and assuming no portfolio rebalancing actions, was an estimated decline of -3.9% and -9.8%, respectively, of our tangible net book value. (See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in this Form 10-Q for further information on our interest rate and spread sensitivity).</w:t>
      </w:r>
    </w:p>
    <w:p>
      <w:pPr>
        <w:spacing w:after="0" w:line="13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average cost of our repo funding increased by 25 basis points during the first quarter, consistent with the increase in the federal funds rate, as the Federal Reserve continued to gradually increase short-term interest rates. Over the same period, three-month LIBOR, which is linked to the receive leg of our pay fixed interest rate swaps, increased 61 basis points, and ended the quarter 49 bps higher than our average repo rate. Despite this favorable spread differential, our average total cost of funds for the first quarter, which includes repurchase agreements, the implied funding costs of our TBA securities and interest rate swaps, increased by 16 basis points to 1.68% for the quarter, as the receive legs of our interest rate swaps had not yet fully reset to the higher prevailing 3-month LIBOR rates. Our average net interest margin (including our TBA dollar roll funded assets and interest rate swap hedges and excluding "catch-up" premium amortization cost due to changes in CPR forecasts) for the first quarter decreased to 1.26%, compared to 1.36% for the fourth quarter, largely due to higher funding costs.</w:t>
      </w:r>
    </w:p>
    <w:p>
      <w:pPr>
        <w:spacing w:after="0" w:line="13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Our investment portfolio decreased modestly during the first quarter, while our asset composition was largely unchanged with 30-year and 15-year Agency RMBS fixed rate securities representing 78% and 18% of our investment portfolio, respectively, as of March 31, 2018. Our forecasted lifetime CPR was 7.6% as of March 31, 2018, down from 8.4% as of December 31, 2017, in line with higher interest rates. As of March 31, 2018, our "at risk" leverage ratio was 8.2x our tangible equity, largely unchanged from 8.1x as of December 31, 2017. Given the favorable funding dynamics for Agency RMBS and the attractive relative valuations between Agency RMBS and credit sensitive assets, we continue to favor levered investments in Agency RMBS over other fixed income products. Should Agency RMBS spreads continue to widen meaningfully, we would view it as an opportunity to opportunistically increase leverage.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interest rates and prices of generic fixed rate Agency RMBS as of each date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 31,</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Sept. 30,</w:t>
            </w: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Dec. 31,</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 31,</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Mar. 31, 2018</w:t>
            </w:r>
          </w:p>
        </w:tc>
        <w:tc>
          <w:tcPr>
            <w:tcW w:w="0" w:type="dxa"/>
            <w:vAlign w:val="bottom"/>
          </w:tcPr>
          <w:p>
            <w:pPr>
              <w:spacing w:after="0"/>
              <w:rPr>
                <w:sz w:val="1"/>
                <w:szCs w:val="1"/>
                <w:color w:val="auto"/>
              </w:rPr>
            </w:pPr>
          </w:p>
        </w:tc>
      </w:tr>
      <w:tr>
        <w:trPr>
          <w:trHeight w:val="149"/>
        </w:trPr>
        <w:tc>
          <w:tcPr>
            <w:tcW w:w="36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8"/>
                <w:szCs w:val="8"/>
                <w:b w:val="1"/>
                <w:bCs w:val="1"/>
                <w:color w:val="auto"/>
              </w:rPr>
              <w:t>1</w:t>
            </w:r>
          </w:p>
        </w:tc>
        <w:tc>
          <w:tcPr>
            <w:tcW w:w="10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vs</w:t>
            </w:r>
          </w:p>
        </w:tc>
        <w:tc>
          <w:tcPr>
            <w:tcW w:w="0" w:type="dxa"/>
            <w:vAlign w:val="bottom"/>
          </w:tcPr>
          <w:p>
            <w:pPr>
              <w:spacing w:after="0"/>
              <w:rPr>
                <w:sz w:val="1"/>
                <w:szCs w:val="1"/>
                <w:color w:val="auto"/>
              </w:rPr>
            </w:pPr>
          </w:p>
        </w:tc>
      </w:tr>
      <w:tr>
        <w:trPr>
          <w:trHeight w:val="192"/>
        </w:trPr>
        <w:tc>
          <w:tcPr>
            <w:tcW w:w="3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Dec. 31, 2017</w:t>
            </w: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LIBOR:</w:t>
            </w: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00" w:type="dxa"/>
            <w:vAlign w:val="bottom"/>
            <w:gridSpan w:val="2"/>
          </w:tcPr>
          <w:p>
            <w:pPr>
              <w:ind w:left="200"/>
              <w:spacing w:after="0"/>
              <w:rPr>
                <w:sz w:val="20"/>
                <w:szCs w:val="20"/>
                <w:color w:val="auto"/>
              </w:rPr>
            </w:pPr>
            <w:r>
              <w:rPr>
                <w:rFonts w:ascii="Arial" w:cs="Arial" w:eastAsia="Arial" w:hAnsi="Arial"/>
                <w:sz w:val="14"/>
                <w:szCs w:val="14"/>
                <w:color w:val="auto"/>
              </w:rPr>
              <w:t>1-Month</w:t>
            </w: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0.98%</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1.22%</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1.23%</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1.56%</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1.88%</w:t>
            </w:r>
          </w:p>
        </w:tc>
        <w:tc>
          <w:tcPr>
            <w:tcW w:w="120" w:type="dxa"/>
            <w:vAlign w:val="bottom"/>
          </w:tcPr>
          <w:p>
            <w:pPr>
              <w:spacing w:after="0"/>
              <w:rPr>
                <w:sz w:val="22"/>
                <w:szCs w:val="22"/>
                <w:color w:val="auto"/>
              </w:rPr>
            </w:pP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+0.32</w:t>
            </w:r>
          </w:p>
        </w:tc>
        <w:tc>
          <w:tcPr>
            <w:tcW w:w="62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3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3-Month</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1.15%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1.30%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1.33%</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1.69%</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2.31%</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5"/>
              </w:rPr>
              <w:t>+0.62</w:t>
            </w:r>
          </w:p>
        </w:tc>
        <w:tc>
          <w:tcPr>
            <w:tcW w:w="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700" w:type="dxa"/>
            <w:vAlign w:val="bottom"/>
            <w:gridSpan w:val="2"/>
          </w:tcPr>
          <w:p>
            <w:pPr>
              <w:ind w:left="200"/>
              <w:spacing w:after="0"/>
              <w:rPr>
                <w:sz w:val="20"/>
                <w:szCs w:val="20"/>
                <w:color w:val="auto"/>
              </w:rPr>
            </w:pPr>
            <w:r>
              <w:rPr>
                <w:rFonts w:ascii="Arial" w:cs="Arial" w:eastAsia="Arial" w:hAnsi="Arial"/>
                <w:sz w:val="14"/>
                <w:szCs w:val="14"/>
                <w:color w:val="auto"/>
              </w:rPr>
              <w:t>6-Month</w:t>
            </w: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1.42%</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1.45%</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1.51%</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1.84%</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2.45%</w:t>
            </w:r>
          </w:p>
        </w:tc>
        <w:tc>
          <w:tcPr>
            <w:tcW w:w="120" w:type="dxa"/>
            <w:vAlign w:val="bottom"/>
          </w:tcPr>
          <w:p>
            <w:pPr>
              <w:spacing w:after="0"/>
              <w:rPr>
                <w:sz w:val="22"/>
                <w:szCs w:val="22"/>
                <w:color w:val="auto"/>
              </w:rPr>
            </w:pP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+0.61</w:t>
            </w:r>
          </w:p>
        </w:tc>
        <w:tc>
          <w:tcPr>
            <w:tcW w:w="62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U.S. Treasury Security Rate:</w:t>
            </w: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00" w:type="dxa"/>
            <w:vAlign w:val="bottom"/>
            <w:gridSpan w:val="2"/>
          </w:tcPr>
          <w:p>
            <w:pPr>
              <w:ind w:left="200"/>
              <w:spacing w:after="0"/>
              <w:rPr>
                <w:sz w:val="20"/>
                <w:szCs w:val="20"/>
                <w:color w:val="auto"/>
              </w:rPr>
            </w:pPr>
            <w:r>
              <w:rPr>
                <w:rFonts w:ascii="Arial" w:cs="Arial" w:eastAsia="Arial" w:hAnsi="Arial"/>
                <w:sz w:val="14"/>
                <w:szCs w:val="14"/>
                <w:color w:val="auto"/>
              </w:rPr>
              <w:t>2-Year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1.26%</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1.38%</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1.48%</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1.89%</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2.27%</w:t>
            </w:r>
          </w:p>
        </w:tc>
        <w:tc>
          <w:tcPr>
            <w:tcW w:w="120" w:type="dxa"/>
            <w:vAlign w:val="bottom"/>
          </w:tcPr>
          <w:p>
            <w:pPr>
              <w:spacing w:after="0"/>
              <w:rPr>
                <w:sz w:val="22"/>
                <w:szCs w:val="22"/>
                <w:color w:val="auto"/>
              </w:rPr>
            </w:pP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+0.38</w:t>
            </w:r>
          </w:p>
        </w:tc>
        <w:tc>
          <w:tcPr>
            <w:tcW w:w="62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3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1.50%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1.61%</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1.98%</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2.39%</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5"/>
              </w:rPr>
              <w:t>+0.41</w:t>
            </w:r>
          </w:p>
        </w:tc>
        <w:tc>
          <w:tcPr>
            <w:tcW w:w="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700" w:type="dxa"/>
            <w:vAlign w:val="bottom"/>
            <w:gridSpan w:val="2"/>
          </w:tcPr>
          <w:p>
            <w:pPr>
              <w:ind w:left="200"/>
              <w:spacing w:after="0"/>
              <w:rPr>
                <w:sz w:val="20"/>
                <w:szCs w:val="20"/>
                <w:color w:val="auto"/>
              </w:rPr>
            </w:pPr>
            <w:r>
              <w:rPr>
                <w:rFonts w:ascii="Arial" w:cs="Arial" w:eastAsia="Arial" w:hAnsi="Arial"/>
                <w:sz w:val="14"/>
                <w:szCs w:val="14"/>
                <w:color w:val="auto"/>
              </w:rPr>
              <w:t>5-Year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1.93%</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1.89%</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1.93%</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2.21%</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2.57%</w:t>
            </w:r>
          </w:p>
        </w:tc>
        <w:tc>
          <w:tcPr>
            <w:tcW w:w="120" w:type="dxa"/>
            <w:vAlign w:val="bottom"/>
          </w:tcPr>
          <w:p>
            <w:pPr>
              <w:spacing w:after="0"/>
              <w:rPr>
                <w:sz w:val="22"/>
                <w:szCs w:val="22"/>
                <w:color w:val="auto"/>
              </w:rPr>
            </w:pP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+0.36</w:t>
            </w:r>
          </w:p>
        </w:tc>
        <w:tc>
          <w:tcPr>
            <w:tcW w:w="62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3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2.33%</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2.41%</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2.74%</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5"/>
              </w:rPr>
              <w:t>+0.33</w:t>
            </w:r>
          </w:p>
        </w:tc>
        <w:tc>
          <w:tcPr>
            <w:tcW w:w="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700" w:type="dxa"/>
            <w:vAlign w:val="bottom"/>
            <w:gridSpan w:val="2"/>
          </w:tcPr>
          <w:p>
            <w:pPr>
              <w:ind w:left="200"/>
              <w:spacing w:after="0"/>
              <w:rPr>
                <w:sz w:val="20"/>
                <w:szCs w:val="20"/>
                <w:color w:val="auto"/>
              </w:rPr>
            </w:pPr>
            <w:r>
              <w:rPr>
                <w:rFonts w:ascii="Arial" w:cs="Arial" w:eastAsia="Arial" w:hAnsi="Arial"/>
                <w:sz w:val="14"/>
                <w:szCs w:val="14"/>
                <w:color w:val="auto"/>
              </w:rPr>
              <w:t>30-Year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3.02%</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2.84%</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2.86%</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2.74%</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2.97%</w:t>
            </w:r>
          </w:p>
        </w:tc>
        <w:tc>
          <w:tcPr>
            <w:tcW w:w="120" w:type="dxa"/>
            <w:vAlign w:val="bottom"/>
          </w:tcPr>
          <w:p>
            <w:pPr>
              <w:spacing w:after="0"/>
              <w:rPr>
                <w:sz w:val="22"/>
                <w:szCs w:val="22"/>
                <w:color w:val="auto"/>
              </w:rPr>
            </w:pP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+0.23</w:t>
            </w:r>
          </w:p>
        </w:tc>
        <w:tc>
          <w:tcPr>
            <w:tcW w:w="62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Rate Swap Rate:</w:t>
            </w: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00" w:type="dxa"/>
            <w:vAlign w:val="bottom"/>
            <w:gridSpan w:val="2"/>
          </w:tcPr>
          <w:p>
            <w:pPr>
              <w:ind w:left="200"/>
              <w:spacing w:after="0"/>
              <w:rPr>
                <w:sz w:val="20"/>
                <w:szCs w:val="20"/>
                <w:color w:val="auto"/>
              </w:rPr>
            </w:pPr>
            <w:r>
              <w:rPr>
                <w:rFonts w:ascii="Arial" w:cs="Arial" w:eastAsia="Arial" w:hAnsi="Arial"/>
                <w:sz w:val="14"/>
                <w:szCs w:val="14"/>
                <w:color w:val="auto"/>
              </w:rPr>
              <w:t>2-Year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1.62%</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1.61%</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1.73%</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2.08%</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2.58%</w:t>
            </w:r>
          </w:p>
        </w:tc>
        <w:tc>
          <w:tcPr>
            <w:tcW w:w="120" w:type="dxa"/>
            <w:vAlign w:val="bottom"/>
          </w:tcPr>
          <w:p>
            <w:pPr>
              <w:spacing w:after="0"/>
              <w:rPr>
                <w:sz w:val="22"/>
                <w:szCs w:val="22"/>
                <w:color w:val="auto"/>
              </w:rPr>
            </w:pP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+0.50</w:t>
            </w:r>
          </w:p>
        </w:tc>
        <w:tc>
          <w:tcPr>
            <w:tcW w:w="62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3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1.81%</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1.84%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2.17%</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2.65%</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5"/>
              </w:rPr>
              <w:t>+0.48</w:t>
            </w:r>
          </w:p>
        </w:tc>
        <w:tc>
          <w:tcPr>
            <w:tcW w:w="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700" w:type="dxa"/>
            <w:vAlign w:val="bottom"/>
            <w:gridSpan w:val="2"/>
          </w:tcPr>
          <w:p>
            <w:pPr>
              <w:ind w:left="200"/>
              <w:spacing w:after="0"/>
              <w:rPr>
                <w:sz w:val="20"/>
                <w:szCs w:val="20"/>
                <w:color w:val="auto"/>
              </w:rPr>
            </w:pPr>
            <w:r>
              <w:rPr>
                <w:rFonts w:ascii="Arial" w:cs="Arial" w:eastAsia="Arial" w:hAnsi="Arial"/>
                <w:sz w:val="14"/>
                <w:szCs w:val="14"/>
                <w:color w:val="auto"/>
              </w:rPr>
              <w:t>5-Year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2.06%</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1.95%</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2.00%</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2.24%</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2.71%</w:t>
            </w:r>
          </w:p>
        </w:tc>
        <w:tc>
          <w:tcPr>
            <w:tcW w:w="120" w:type="dxa"/>
            <w:vAlign w:val="bottom"/>
          </w:tcPr>
          <w:p>
            <w:pPr>
              <w:spacing w:after="0"/>
              <w:rPr>
                <w:sz w:val="22"/>
                <w:szCs w:val="22"/>
                <w:color w:val="auto"/>
              </w:rPr>
            </w:pP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+0.47</w:t>
            </w:r>
          </w:p>
        </w:tc>
        <w:tc>
          <w:tcPr>
            <w:tcW w:w="62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3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2.28%</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5"/>
              </w:rPr>
              <w:t>+0.38</w:t>
            </w:r>
          </w:p>
        </w:tc>
        <w:tc>
          <w:tcPr>
            <w:tcW w:w="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700" w:type="dxa"/>
            <w:vAlign w:val="bottom"/>
            <w:gridSpan w:val="2"/>
          </w:tcPr>
          <w:p>
            <w:pPr>
              <w:ind w:left="200"/>
              <w:spacing w:after="0"/>
              <w:rPr>
                <w:sz w:val="20"/>
                <w:szCs w:val="20"/>
                <w:color w:val="auto"/>
              </w:rPr>
            </w:pPr>
            <w:r>
              <w:rPr>
                <w:rFonts w:ascii="Arial" w:cs="Arial" w:eastAsia="Arial" w:hAnsi="Arial"/>
                <w:sz w:val="14"/>
                <w:szCs w:val="14"/>
                <w:color w:val="auto"/>
              </w:rPr>
              <w:t>30-Year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2.65%</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2.53%</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2.52%</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2.53%</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2.82%</w:t>
            </w:r>
          </w:p>
        </w:tc>
        <w:tc>
          <w:tcPr>
            <w:tcW w:w="120" w:type="dxa"/>
            <w:vAlign w:val="bottom"/>
          </w:tcPr>
          <w:p>
            <w:pPr>
              <w:spacing w:after="0"/>
              <w:rPr>
                <w:sz w:val="22"/>
                <w:szCs w:val="22"/>
                <w:color w:val="auto"/>
              </w:rPr>
            </w:pPr>
          </w:p>
        </w:tc>
        <w:tc>
          <w:tcPr>
            <w:tcW w:w="580" w:type="dxa"/>
            <w:vAlign w:val="bottom"/>
          </w:tcPr>
          <w:p>
            <w:pPr>
              <w:ind w:left="220"/>
              <w:spacing w:after="0"/>
              <w:rPr>
                <w:sz w:val="20"/>
                <w:szCs w:val="20"/>
                <w:color w:val="auto"/>
              </w:rPr>
            </w:pPr>
            <w:r>
              <w:rPr>
                <w:rFonts w:ascii="Arial" w:cs="Arial" w:eastAsia="Arial" w:hAnsi="Arial"/>
                <w:sz w:val="14"/>
                <w:szCs w:val="14"/>
                <w:color w:val="auto"/>
                <w:w w:val="95"/>
              </w:rPr>
              <w:t>+0.29</w:t>
            </w:r>
          </w:p>
        </w:tc>
        <w:tc>
          <w:tcPr>
            <w:tcW w:w="62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30-Year Fixed Rate Agency Price:</w:t>
            </w: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00" w:type="dxa"/>
            <w:vAlign w:val="bottom"/>
          </w:tcPr>
          <w:p>
            <w:pPr>
              <w:ind w:left="20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$99.15</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$99.88</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$100.33</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$100.02</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8"/>
              </w:rPr>
              <w:t>$97.52</w:t>
            </w:r>
          </w:p>
        </w:tc>
        <w:tc>
          <w:tcPr>
            <w:tcW w:w="12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5"/>
              </w:rPr>
              <w:t>-$2.50</w:t>
            </w:r>
          </w:p>
        </w:tc>
        <w:tc>
          <w:tcPr>
            <w:tcW w:w="0" w:type="dxa"/>
            <w:vAlign w:val="bottom"/>
          </w:tcPr>
          <w:p>
            <w:pPr>
              <w:spacing w:after="0"/>
              <w:rPr>
                <w:sz w:val="1"/>
                <w:szCs w:val="1"/>
                <w:color w:val="auto"/>
              </w:rPr>
            </w:pPr>
          </w:p>
        </w:tc>
      </w:tr>
      <w:tr>
        <w:trPr>
          <w:trHeight w:val="276"/>
        </w:trPr>
        <w:tc>
          <w:tcPr>
            <w:tcW w:w="3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$102.29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$102.70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$103.09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$102.70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$100.20</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-$2.50</w:t>
            </w:r>
          </w:p>
        </w:tc>
        <w:tc>
          <w:tcPr>
            <w:tcW w:w="0" w:type="dxa"/>
            <w:vAlign w:val="bottom"/>
          </w:tcPr>
          <w:p>
            <w:pPr>
              <w:spacing w:after="0"/>
              <w:rPr>
                <w:sz w:val="1"/>
                <w:szCs w:val="1"/>
                <w:color w:val="auto"/>
              </w:rPr>
            </w:pPr>
          </w:p>
        </w:tc>
      </w:tr>
      <w:tr>
        <w:trPr>
          <w:trHeight w:val="264"/>
        </w:trPr>
        <w:tc>
          <w:tcPr>
            <w:tcW w:w="3600" w:type="dxa"/>
            <w:vAlign w:val="bottom"/>
          </w:tcPr>
          <w:p>
            <w:pPr>
              <w:ind w:left="20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$104.90</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$105.12</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$105.27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$104.59</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$102.61</w:t>
            </w:r>
          </w:p>
        </w:tc>
        <w:tc>
          <w:tcPr>
            <w:tcW w:w="12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5"/>
              </w:rPr>
              <w:t>-$1.98</w:t>
            </w:r>
          </w:p>
        </w:tc>
        <w:tc>
          <w:tcPr>
            <w:tcW w:w="0" w:type="dxa"/>
            <w:vAlign w:val="bottom"/>
          </w:tcPr>
          <w:p>
            <w:pPr>
              <w:spacing w:after="0"/>
              <w:rPr>
                <w:sz w:val="1"/>
                <w:szCs w:val="1"/>
                <w:color w:val="auto"/>
              </w:rPr>
            </w:pPr>
          </w:p>
        </w:tc>
      </w:tr>
      <w:tr>
        <w:trPr>
          <w:trHeight w:val="276"/>
        </w:trPr>
        <w:tc>
          <w:tcPr>
            <w:tcW w:w="3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$107.24</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$107.27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$107.33</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$106.40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$104.70</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-$1.70</w:t>
            </w:r>
          </w:p>
        </w:tc>
        <w:tc>
          <w:tcPr>
            <w:tcW w:w="0" w:type="dxa"/>
            <w:vAlign w:val="bottom"/>
          </w:tcPr>
          <w:p>
            <w:pPr>
              <w:spacing w:after="0"/>
              <w:rPr>
                <w:sz w:val="1"/>
                <w:szCs w:val="1"/>
                <w:color w:val="auto"/>
              </w:rPr>
            </w:pPr>
          </w:p>
        </w:tc>
      </w:tr>
      <w:tr>
        <w:trPr>
          <w:trHeight w:val="264"/>
        </w:trPr>
        <w:tc>
          <w:tcPr>
            <w:tcW w:w="3700" w:type="dxa"/>
            <w:vAlign w:val="bottom"/>
            <w:gridSpan w:val="2"/>
          </w:tcPr>
          <w:p>
            <w:pPr>
              <w:ind w:left="40"/>
              <w:spacing w:after="0"/>
              <w:rPr>
                <w:sz w:val="20"/>
                <w:szCs w:val="20"/>
                <w:color w:val="auto"/>
              </w:rPr>
            </w:pPr>
            <w:r>
              <w:rPr>
                <w:rFonts w:ascii="Arial" w:cs="Arial" w:eastAsia="Arial" w:hAnsi="Arial"/>
                <w:sz w:val="14"/>
                <w:szCs w:val="14"/>
                <w:b w:val="1"/>
                <w:bCs w:val="1"/>
                <w:color w:val="auto"/>
              </w:rPr>
              <w:t>15-Year Fixed Rate Agency Price:</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$100.03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$100.53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$100.69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$99.88</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$97.98</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-$1.90</w:t>
            </w:r>
          </w:p>
        </w:tc>
        <w:tc>
          <w:tcPr>
            <w:tcW w:w="0" w:type="dxa"/>
            <w:vAlign w:val="bottom"/>
          </w:tcPr>
          <w:p>
            <w:pPr>
              <w:spacing w:after="0"/>
              <w:rPr>
                <w:sz w:val="1"/>
                <w:szCs w:val="1"/>
                <w:color w:val="auto"/>
              </w:rPr>
            </w:pPr>
          </w:p>
        </w:tc>
      </w:tr>
      <w:tr>
        <w:trPr>
          <w:trHeight w:val="264"/>
        </w:trPr>
        <w:tc>
          <w:tcPr>
            <w:tcW w:w="3600" w:type="dxa"/>
            <w:vAlign w:val="bottom"/>
          </w:tcPr>
          <w:p>
            <w:pPr>
              <w:ind w:left="20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$102.51</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$102.64</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$102.75</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$101.88</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8"/>
              </w:rPr>
              <w:t>$99.88</w:t>
            </w:r>
          </w:p>
        </w:tc>
        <w:tc>
          <w:tcPr>
            <w:tcW w:w="12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5"/>
              </w:rPr>
              <w:t>-$2.00</w:t>
            </w:r>
          </w:p>
        </w:tc>
        <w:tc>
          <w:tcPr>
            <w:tcW w:w="0" w:type="dxa"/>
            <w:vAlign w:val="bottom"/>
          </w:tcPr>
          <w:p>
            <w:pPr>
              <w:spacing w:after="0"/>
              <w:rPr>
                <w:sz w:val="1"/>
                <w:szCs w:val="1"/>
                <w:color w:val="auto"/>
              </w:rPr>
            </w:pPr>
          </w:p>
        </w:tc>
      </w:tr>
      <w:tr>
        <w:trPr>
          <w:trHeight w:val="276"/>
        </w:trPr>
        <w:tc>
          <w:tcPr>
            <w:tcW w:w="3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$104.06</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$104.06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$104.14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$103.23</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$101.94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-$1.29</w:t>
            </w:r>
          </w:p>
        </w:tc>
        <w:tc>
          <w:tcPr>
            <w:tcW w:w="0" w:type="dxa"/>
            <w:vAlign w:val="bottom"/>
          </w:tcPr>
          <w:p>
            <w:pPr>
              <w:spacing w:after="0"/>
              <w:rPr>
                <w:sz w:val="1"/>
                <w:szCs w:val="1"/>
                <w:color w:val="auto"/>
              </w:rPr>
            </w:pPr>
          </w:p>
        </w:tc>
      </w:tr>
      <w:tr>
        <w:trPr>
          <w:trHeight w:val="258"/>
        </w:trPr>
        <w:tc>
          <w:tcPr>
            <w:tcW w:w="3600" w:type="dxa"/>
            <w:vAlign w:val="bottom"/>
          </w:tcPr>
          <w:p>
            <w:pPr>
              <w:ind w:left="20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$103.29</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$103.44</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$103.13</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$102.72</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$102.63</w:t>
            </w:r>
          </w:p>
        </w:tc>
        <w:tc>
          <w:tcPr>
            <w:tcW w:w="12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5"/>
              </w:rPr>
              <w:t>-$0.09</w:t>
            </w:r>
          </w:p>
        </w:tc>
        <w:tc>
          <w:tcPr>
            <w:tcW w:w="0" w:type="dxa"/>
            <w:vAlign w:val="bottom"/>
          </w:tcPr>
          <w:p>
            <w:pPr>
              <w:spacing w:after="0"/>
              <w:rPr>
                <w:sz w:val="1"/>
                <w:szCs w:val="1"/>
                <w:color w:val="auto"/>
              </w:rPr>
            </w:pPr>
          </w:p>
        </w:tc>
      </w:tr>
      <w:tr>
        <w:trPr>
          <w:trHeight w:val="179"/>
        </w:trPr>
        <w:tc>
          <w:tcPr>
            <w:tcW w:w="3600" w:type="dxa"/>
            <w:vAlign w:val="bottom"/>
          </w:tcPr>
          <w:p>
            <w:pPr>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60" w:hanging="328"/>
        <w:spacing w:after="0" w:line="273"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2018 and December 31, 2017, our investment portfolio consisted of $55.7 billion and $57.1 billion of investment securities, at fair value, respectively, and $13.6 billion and $15.7 billion of TBA securities, at fair value, respectively. The following table is a summary of our investment portfolio as of March 31, 2018 and December 31, 2017 (dollars in millions):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March 31, 2018</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2017</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Investment Portfolio (Includes TBAs) </w:t>
            </w:r>
            <w:r>
              <w:rPr>
                <w:rFonts w:ascii="Arial" w:cs="Arial" w:eastAsia="Arial" w:hAnsi="Arial"/>
                <w:sz w:val="8"/>
                <w:szCs w:val="8"/>
                <w:b w:val="1"/>
                <w:bCs w:val="1"/>
                <w:color w:val="auto"/>
              </w:rPr>
              <w:t>1</w:t>
            </w:r>
          </w:p>
        </w:tc>
        <w:tc>
          <w:tcPr>
            <w:tcW w:w="2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3"/>
                <w:szCs w:val="13"/>
                <w:color w:val="auto"/>
              </w:rPr>
            </w:pPr>
          </w:p>
        </w:tc>
        <w:tc>
          <w:tcPr>
            <w:tcW w:w="10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3"/>
                <w:szCs w:val="13"/>
                <w:color w:val="auto"/>
              </w:rPr>
            </w:pPr>
          </w:p>
        </w:tc>
        <w:tc>
          <w:tcPr>
            <w:tcW w:w="10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 Agency RMBS and TBA securities: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160"/>
              <w:spacing w:after="0"/>
              <w:rPr>
                <w:sz w:val="20"/>
                <w:szCs w:val="20"/>
                <w:color w:val="auto"/>
              </w:rPr>
            </w:pPr>
            <w:r>
              <w:rPr>
                <w:rFonts w:ascii="Arial" w:cs="Arial" w:eastAsia="Arial" w:hAnsi="Arial"/>
                <w:sz w:val="14"/>
                <w:szCs w:val="14"/>
                <w:color w:val="auto"/>
              </w:rPr>
              <w:t>≤ 15-year:</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15-year RMBS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8,789</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8,951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8,933</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15-year TBA securities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3,907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3,926</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5,025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5,015</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 15-year</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12,715</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13,976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13,948</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3660" w:type="dxa"/>
            <w:vAlign w:val="bottom"/>
            <w:gridSpan w:val="2"/>
          </w:tcPr>
          <w:p>
            <w:pPr>
              <w:ind w:left="120"/>
              <w:spacing w:after="0"/>
              <w:rPr>
                <w:sz w:val="20"/>
                <w:szCs w:val="20"/>
                <w:color w:val="auto"/>
              </w:rPr>
            </w:pPr>
            <w:r>
              <w:rPr>
                <w:rFonts w:ascii="Arial" w:cs="Arial" w:eastAsia="Arial" w:hAnsi="Arial"/>
                <w:sz w:val="14"/>
                <w:szCs w:val="14"/>
                <w:color w:val="auto"/>
              </w:rPr>
              <w:t>20-year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687</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30-year:</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30-year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45,638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44,196</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45,853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45,406</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30-year TBA securities</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9,622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9,685</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10,714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10,727</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Total 30-year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55,260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53,881</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56,567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56,133</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5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fixed rate Agency RMBS and TBA securities</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68,795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67,307</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71,216</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70,768</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50"/>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Adjustable rate Agency RMBS</w:t>
            </w: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 Agency RMBS: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CMO</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595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631</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Interest-only strips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Principal-only strips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CMO Agency RMBS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798</w:t>
            </w: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842</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859</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RMBS and TBA securities</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69,857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68,373</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72,336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71,910</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RMBS</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CMBS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CRT</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884</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Total investment portfolio</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70,740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69,293</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73,205</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72,822</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TBA securities are presented net of long and short positions. For further details of our TBA securities refer to Note 6 of the accompanying consolidated financial statements.</w:t>
      </w:r>
    </w:p>
    <w:p>
      <w:pPr>
        <w:spacing w:after="0" w:line="1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TBA securities are recorded as derivative instruments in our accompanying consolidated financial statements and our TBA dollar roll transactions represent a form of off-balance sheet financing. As of March 31, 2018 and December 31, 2017, our TBA positions had a net carrying value of $82 million and $3 million, respectively, reported in derivative assets /(liabilities) on our accompanying consolidated balance sheets. The net carrying value represents the difference between the fair value of the underlying Agency security in the TBA contract and the contract price to be paid or received for the underlying Agency security.</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2018 and December 31, 2017, the weighted average yield on our investment securities (excluding TBA securities) was 2.93% and 2.89%,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29" w:name="page30"/>
    <w:bookmarkEnd w:id="29"/>
    <w:p>
      <w:pPr>
        <w:ind w:left="440"/>
        <w:spacing w:after="0"/>
        <w:rPr>
          <w:sz w:val="20"/>
          <w:szCs w:val="20"/>
          <w:color w:val="auto"/>
        </w:rPr>
      </w:pPr>
      <w:r>
        <w:rPr>
          <w:rFonts w:ascii="Arial" w:cs="Arial" w:eastAsia="Arial" w:hAnsi="Arial"/>
          <w:sz w:val="17"/>
          <w:szCs w:val="17"/>
          <w:color w:val="auto"/>
        </w:rPr>
        <w:t>The following tables summarize certain characteristics of our fixed rate Agency RMBS portfolio, inclusive of TBAs, as of March 31,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(dollars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March 31, 2018</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jc w:val="right"/>
              <w:ind w:right="2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32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47%</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5,895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5,942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5,901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3.50%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1,993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103.8%</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87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23%</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102.7%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6.61%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4.64%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126</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12,609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12,823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12,715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102.7%</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3.75%</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99.4%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74%</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74%</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4.47%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4.90%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88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106.0%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5.95%</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119</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250"/>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64%</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102.0%</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4.06%</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7,015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6,889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6,858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2%</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100.2%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3.58%</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25,155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24,398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20,473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21,706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21,140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64%</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106.6%</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107.7%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4.97%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5.45%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119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110.4%</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6.18%</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138</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53,122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55,260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53,881</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53%</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105.1%</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4.22%</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66,429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68,795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67,307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54%</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104.7%</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4.14%</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$98,000 and $109,000 for 15-year and 30-year securities, respectively, as of March 31, 2018.</w:t>
      </w:r>
    </w:p>
    <w:p>
      <w:pPr>
        <w:ind w:left="660" w:hanging="328"/>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HARP securities are defined as pools backed by 100% refinance loans with LTV ≥ 80%. Our HARP securities had a weighted average LTV of 114% and 136% for 15-year and 30-year securities, respectively, as of March 31, 2018.</w:t>
      </w: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March 31, 2018.</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5,616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5,749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5,724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102.8%</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3.49%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2,145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84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17%</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102.8%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6.56%</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4.47%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125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44%</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13,976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13,948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3.77%</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99.4%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4.90%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85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106.0%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5.95%</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116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250"/>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62%</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101.8%</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4.02%</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7,583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7,576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7,592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100.2%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3.58%</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24,800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56%</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21,015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22,348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22,166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64%</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107.4%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106.6%</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5.45%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116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110.0%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6.18%</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135</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54,103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56,567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56,133</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52%</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105.2%</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4.23%</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34</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68,405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71,216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70,768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104.8%</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980" w:hanging="648"/>
        <w:spacing w:after="0" w:line="250" w:lineRule="auto"/>
        <w:tabs>
          <w:tab w:leader="none" w:pos="6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and $109,000 for 15-year and 30-year securities, respectively, as of December 31, 2017.</w:t>
      </w:r>
    </w:p>
    <w:p>
      <w:pPr>
        <w:ind w:left="980" w:hanging="648"/>
        <w:spacing w:after="0" w:line="241" w:lineRule="auto"/>
        <w:tabs>
          <w:tab w:leader="none" w:pos="6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HARP securities are defined as pools backed by 100% refinance loans with LTVs ≥ 80%. Our HARP securities had a weighted average LTV of 114% and 136% for 15-year and 30-year securities, respectively, as of December 31, 2017.</w:t>
      </w: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2017.</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2018 and December 31, 2017, our investments in CRT and non-Agency securities had the following credit ratings: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2017</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Pr>
          <w:p>
            <w:pPr>
              <w:ind w:left="66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ind w:left="66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876</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ind w:left="64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and Fitch credit ratings, stated in terms of the S&amp;P equivalent rating as of each date.</w:t>
      </w:r>
    </w:p>
    <w:p>
      <w:pPr>
        <w:spacing w:after="0" w:line="15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CRT securities reference the performance of loans underlying Agency RMBS issued by Fannie Mae or Freddie Mac, which were subject to their underwriting standards. As of March 31, 2018, our CRT securities had floating and fixed rate coupons ranging from 3.7% to 8.8%, referenced to loans originated between 2012 and 2018 with weighted average coupons ranging from 3.6% to 4.4%. As of December 31, December 31, 2017, our CRT securities had floating rate coupons ranging from 3.9% to 8.5%, referenced to loans originated between 2012 and 2017 with weighted average coupons ranging from 3.6% to 4.4%.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96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results presented in accordance with GAAP, our results of operations discussed below include certain non-GAAP financial information, including "economic interest income", "economic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margin."</w:t>
      </w:r>
    </w:p>
    <w:p>
      <w:pPr>
        <w:spacing w:after="0" w:line="13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"Economic interest income" is measured as interest income (GAAP measure), adjusted to (i) exclude "catch-up" premium amortization associated with changes in CPR estimates and to (ii) include TBA dollar roll implied interest income. "Economic interest expense" is measured as interest expense (GAAP measure) adjusted to include TBA dollar roll implied interest expense and interest rate swap periodic costs. "Net spread and dollar roll income, excluding "catch-up" premium amortization" includes (i) the components of economic interest income and economic interest expense and dividends on REIT equity securities ("adjusted net interest and dollar roll income"), less (ii) total operating expenses (GAAP measure), adjusted to exclude non-recurring transaction costs (referred to as "adjusted operating expenses"), net of management fee income (GAAP measure) ("other operating income (expense), net)."</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that are not necessarily indicative of our current investment portfolio performance and operations.</w:t>
      </w:r>
    </w:p>
    <w:p>
      <w:pPr>
        <w:spacing w:after="0" w:line="133"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such measure and in "economic interest expense" is meaningful as interest rate swaps are the primary instrument we use to economically hedge against fluctuations in our borrowing costs and it is more indicative of our total cost of funds than interest expense alone. In the case of "economic interest income" and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We also believe the exclusion of issuance costs of redeemed preferred stock reported as a reduction to net income available to common stockholders under GAAP and transactions costs associated with our acquisition of AMM reported in general, administrative and other expense under GAAP is meaningful as they represent non-recurring transaction costs and are not representative of our ongoing operating costs. In the case of estimated taxable income, we believe it is meaningful information because it directly relates to the amount of dividends we are required to distribute to maintain our REIT qualification status.</w:t>
      </w:r>
    </w:p>
    <w:p>
      <w:pPr>
        <w:spacing w:after="0" w:line="13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March 31, 2018 and December 31, 2017 and our condensed consolidated statements of comprehensive income and key statistics for the three months ended March 31, 2018 and 2017 (in millions, except per share amounts):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2" w:right="239" w:bottom="1440" w:gutter="0" w:footer="0" w:header="0"/>
        </w:sectPr>
      </w:pPr>
    </w:p>
    <w:bookmarkStart w:id="32" w:name="page33"/>
    <w:bookmarkEnd w:id="32"/>
    <w:tbl>
      <w:tblPr>
        <w:tblLayout w:type="fixed"/>
        <w:tblInd w:w="820" w:type="dxa"/>
        <w:tblCellMar>
          <w:top w:w="0" w:type="dxa"/>
          <w:left w:w="0" w:type="dxa"/>
          <w:bottom w:w="0" w:type="dxa"/>
          <w:right w:w="0" w:type="dxa"/>
        </w:tblCellMar>
      </w:tblPr>
      <w:tr>
        <w:trPr>
          <w:trHeight w:val="186"/>
        </w:trPr>
        <w:tc>
          <w:tcPr>
            <w:tcW w:w="7160" w:type="dxa"/>
            <w:vAlign w:val="bottom"/>
            <w:gridSpan w:val="4"/>
          </w:tcPr>
          <w:p>
            <w:pPr>
              <w:ind w:left="20"/>
              <w:spacing w:after="0"/>
              <w:rPr>
                <w:sz w:val="20"/>
                <w:szCs w:val="20"/>
                <w:color w:val="auto"/>
              </w:rPr>
            </w:pPr>
            <w:r>
              <w:rPr>
                <w:rFonts w:ascii="Arial" w:cs="Arial" w:eastAsia="Arial" w:hAnsi="Arial"/>
                <w:sz w:val="14"/>
                <w:szCs w:val="14"/>
                <w:b w:val="1"/>
                <w:bCs w:val="1"/>
                <w:color w:val="auto"/>
              </w:rPr>
              <w:t>($ in Millions, Except Per Share Amounts)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76"/>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Balance Sheet Data</w:t>
            </w:r>
          </w:p>
        </w:tc>
        <w:tc>
          <w:tcPr>
            <w:tcW w:w="120" w:type="dxa"/>
            <w:vAlign w:val="bottom"/>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gridSpan w:val="2"/>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2017</w:t>
            </w:r>
          </w:p>
        </w:tc>
      </w:tr>
      <w:tr>
        <w:trPr>
          <w:trHeight w:val="223"/>
        </w:trPr>
        <w:tc>
          <w:tcPr>
            <w:tcW w:w="7160" w:type="dxa"/>
            <w:vAlign w:val="bottom"/>
            <w:gridSpan w:val="4"/>
          </w:tcPr>
          <w:p>
            <w:pPr>
              <w:ind w:left="20"/>
              <w:spacing w:after="0"/>
              <w:rPr>
                <w:sz w:val="20"/>
                <w:szCs w:val="20"/>
                <w:color w:val="auto"/>
              </w:rPr>
            </w:pPr>
            <w:r>
              <w:rPr>
                <w:rFonts w:ascii="Arial" w:cs="Arial" w:eastAsia="Arial" w:hAnsi="Arial"/>
                <w:sz w:val="16"/>
                <w:szCs w:val="16"/>
                <w:color w:val="auto"/>
              </w:rPr>
              <w:t>Investment securities, at fair value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55,682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57,080</w:t>
            </w:r>
          </w:p>
        </w:tc>
      </w:tr>
      <w:tr>
        <w:trPr>
          <w:trHeight w:val="33"/>
        </w:trPr>
        <w:tc>
          <w:tcPr>
            <w:tcW w:w="7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69,221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70,376</w:t>
            </w:r>
          </w:p>
        </w:tc>
      </w:tr>
      <w:tr>
        <w:trPr>
          <w:trHeight w:val="237"/>
        </w:trPr>
        <w:tc>
          <w:tcPr>
            <w:tcW w:w="7160" w:type="dxa"/>
            <w:vAlign w:val="bottom"/>
            <w:gridSpan w:val="4"/>
          </w:tcPr>
          <w:p>
            <w:pPr>
              <w:ind w:left="20"/>
              <w:spacing w:after="0"/>
              <w:rPr>
                <w:sz w:val="20"/>
                <w:szCs w:val="20"/>
                <w:color w:val="auto"/>
              </w:rPr>
            </w:pPr>
            <w:r>
              <w:rPr>
                <w:rFonts w:ascii="Arial" w:cs="Arial" w:eastAsia="Arial" w:hAnsi="Arial"/>
                <w:sz w:val="16"/>
                <w:szCs w:val="16"/>
                <w:color w:val="auto"/>
              </w:rPr>
              <w:t>Repurchase agreements and other debt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49,292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50,653</w:t>
            </w:r>
          </w:p>
        </w:tc>
      </w:tr>
      <w:tr>
        <w:trPr>
          <w:trHeight w:val="33"/>
        </w:trPr>
        <w:tc>
          <w:tcPr>
            <w:tcW w:w="7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60,883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61,622</w:t>
            </w:r>
          </w:p>
        </w:tc>
      </w:tr>
      <w:tr>
        <w:trPr>
          <w:trHeight w:val="237"/>
        </w:trPr>
        <w:tc>
          <w:tcPr>
            <w:tcW w:w="7160" w:type="dxa"/>
            <w:vAlign w:val="bottom"/>
            <w:gridSpan w:val="4"/>
          </w:tcPr>
          <w:p>
            <w:pPr>
              <w:ind w:left="20"/>
              <w:spacing w:after="0"/>
              <w:rPr>
                <w:sz w:val="20"/>
                <w:szCs w:val="20"/>
                <w:color w:val="auto"/>
              </w:rPr>
            </w:pPr>
            <w:r>
              <w:rPr>
                <w:rFonts w:ascii="Arial" w:cs="Arial" w:eastAsia="Arial" w:hAnsi="Arial"/>
                <w:sz w:val="16"/>
                <w:szCs w:val="16"/>
                <w:color w:val="auto"/>
              </w:rPr>
              <w:t>Total stockholders' equity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8,338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8,754</w:t>
            </w:r>
          </w:p>
        </w:tc>
      </w:tr>
      <w:tr>
        <w:trPr>
          <w:trHeight w:val="33"/>
        </w:trPr>
        <w:tc>
          <w:tcPr>
            <w:tcW w:w="7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 xml:space="preserve">Net book value per common share </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21.09</w:t>
            </w:r>
          </w:p>
        </w:tc>
      </w:tr>
      <w:tr>
        <w:trPr>
          <w:trHeight w:val="311"/>
        </w:trPr>
        <w:tc>
          <w:tcPr>
            <w:tcW w:w="7160" w:type="dxa"/>
            <w:vAlign w:val="bottom"/>
            <w:gridSpan w:val="4"/>
          </w:tcPr>
          <w:p>
            <w:pPr>
              <w:ind w:left="20"/>
              <w:spacing w:after="0"/>
              <w:rPr>
                <w:sz w:val="20"/>
                <w:szCs w:val="20"/>
                <w:color w:val="auto"/>
              </w:rPr>
            </w:pPr>
            <w:r>
              <w:rPr>
                <w:rFonts w:ascii="Arial" w:cs="Arial" w:eastAsia="Arial" w:hAnsi="Arial"/>
                <w:sz w:val="16"/>
                <w:szCs w:val="16"/>
                <w:color w:val="auto"/>
              </w:rPr>
              <w:t xml:space="preserve">Tangible net book value per common share </w:t>
            </w:r>
            <w:r>
              <w:rPr>
                <w:rFonts w:ascii="Arial" w:cs="Arial" w:eastAsia="Arial" w:hAnsi="Arial"/>
                <w:sz w:val="21"/>
                <w:szCs w:val="21"/>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18.63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19.69</w:t>
            </w:r>
          </w:p>
        </w:tc>
      </w:tr>
      <w:tr>
        <w:trPr>
          <w:trHeight w:val="358"/>
        </w:trPr>
        <w:tc>
          <w:tcPr>
            <w:tcW w:w="7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Statement of Comprehensive Income Data</w:t>
            </w:r>
          </w:p>
        </w:tc>
        <w:tc>
          <w:tcPr>
            <w:tcW w:w="120" w:type="dxa"/>
            <w:vAlign w:val="bottom"/>
            <w:tcBorders>
              <w:bottom w:val="single" w:sz="8" w:color="CCEEFF"/>
            </w:tcBorders>
            <w:gridSpan w:val="2"/>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r>
      <w:tr>
        <w:trPr>
          <w:trHeight w:val="256"/>
        </w:trPr>
        <w:tc>
          <w:tcPr>
            <w:tcW w:w="71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r>
      <w:tr>
        <w:trPr>
          <w:trHeight w:val="264"/>
        </w:trPr>
        <w:tc>
          <w:tcPr>
            <w:tcW w:w="716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w:t>
            </w:r>
          </w:p>
        </w:tc>
      </w:tr>
      <w:tr>
        <w:trPr>
          <w:trHeight w:val="250"/>
        </w:trPr>
        <w:tc>
          <w:tcPr>
            <w:tcW w:w="71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50"/>
        </w:trPr>
        <w:tc>
          <w:tcPr>
            <w:tcW w:w="7160" w:type="dxa"/>
            <w:vAlign w:val="bottom"/>
            <w:gridSpan w:val="4"/>
          </w:tcPr>
          <w:p>
            <w:pPr>
              <w:ind w:left="20"/>
              <w:spacing w:after="0"/>
              <w:rPr>
                <w:sz w:val="20"/>
                <w:szCs w:val="20"/>
                <w:color w:val="auto"/>
              </w:rPr>
            </w:pPr>
            <w:r>
              <w:rPr>
                <w:rFonts w:ascii="Arial" w:cs="Arial" w:eastAsia="Arial" w:hAnsi="Arial"/>
                <w:sz w:val="14"/>
                <w:szCs w:val="14"/>
                <w:color w:val="auto"/>
              </w:rPr>
              <w:t>Other gain (loss), net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70"/>
        </w:trPr>
        <w:tc>
          <w:tcPr>
            <w:tcW w:w="71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50"/>
        </w:trPr>
        <w:tc>
          <w:tcPr>
            <w:tcW w:w="7160" w:type="dxa"/>
            <w:vAlign w:val="bottom"/>
            <w:gridSpan w:val="4"/>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w:t>
            </w:r>
          </w:p>
        </w:tc>
      </w:tr>
      <w:tr>
        <w:trPr>
          <w:trHeight w:val="270"/>
        </w:trPr>
        <w:tc>
          <w:tcPr>
            <w:tcW w:w="71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Dividend on preferred stock</w:t>
            </w: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96"/>
        </w:trPr>
        <w:tc>
          <w:tcPr>
            <w:tcW w:w="716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Net income available to common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w:t>
            </w:r>
          </w:p>
        </w:tc>
      </w:tr>
      <w:tr>
        <w:trPr>
          <w:trHeight w:val="278"/>
        </w:trPr>
        <w:tc>
          <w:tcPr>
            <w:tcW w:w="70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7160" w:type="dxa"/>
            <w:vAlign w:val="bottom"/>
            <w:gridSpan w:val="4"/>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424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w:t>
            </w:r>
          </w:p>
        </w:tc>
      </w:tr>
      <w:tr>
        <w:trPr>
          <w:trHeight w:val="270"/>
        </w:trPr>
        <w:tc>
          <w:tcPr>
            <w:tcW w:w="71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(621)</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50"/>
        </w:trPr>
        <w:tc>
          <w:tcPr>
            <w:tcW w:w="7160" w:type="dxa"/>
            <w:vAlign w:val="bottom"/>
            <w:gridSpan w:val="4"/>
          </w:tcPr>
          <w:p>
            <w:pPr>
              <w:ind w:left="20"/>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(197)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w:t>
            </w:r>
          </w:p>
        </w:tc>
      </w:tr>
      <w:tr>
        <w:trPr>
          <w:trHeight w:val="270"/>
        </w:trPr>
        <w:tc>
          <w:tcPr>
            <w:tcW w:w="71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Dividend on preferred stock</w:t>
            </w: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96"/>
        </w:trPr>
        <w:tc>
          <w:tcPr>
            <w:tcW w:w="716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Comprehensive income (loss) available (attributable) to common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(206)</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w:t>
            </w:r>
          </w:p>
        </w:tc>
      </w:tr>
      <w:tr>
        <w:trPr>
          <w:trHeight w:val="278"/>
        </w:trPr>
        <w:tc>
          <w:tcPr>
            <w:tcW w:w="70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97"/>
        </w:trPr>
        <w:tc>
          <w:tcPr>
            <w:tcW w:w="716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391.3</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331.0</w:t>
            </w:r>
          </w:p>
        </w:tc>
      </w:tr>
      <w:tr>
        <w:trPr>
          <w:trHeight w:val="237"/>
        </w:trPr>
        <w:tc>
          <w:tcPr>
            <w:tcW w:w="71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391.5</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331.1</w:t>
            </w:r>
          </w:p>
        </w:tc>
      </w:tr>
      <w:tr>
        <w:trPr>
          <w:trHeight w:val="20"/>
        </w:trPr>
        <w:tc>
          <w:tcPr>
            <w:tcW w:w="70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77"/>
        </w:trPr>
        <w:tc>
          <w:tcPr>
            <w:tcW w:w="716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Net income per common share - 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0.21</w:t>
            </w:r>
          </w:p>
        </w:tc>
      </w:tr>
      <w:tr>
        <w:trPr>
          <w:trHeight w:val="237"/>
        </w:trPr>
        <w:tc>
          <w:tcPr>
            <w:tcW w:w="71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Comprehensive income per common share -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(0.53)</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r>
      <w:tr>
        <w:trPr>
          <w:trHeight w:val="20"/>
        </w:trPr>
        <w:tc>
          <w:tcPr>
            <w:tcW w:w="70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7160" w:type="dxa"/>
            <w:vAlign w:val="bottom"/>
            <w:gridSpan w:val="4"/>
          </w:tcPr>
          <w:p>
            <w:pPr>
              <w:ind w:left="20"/>
              <w:spacing w:after="0"/>
              <w:rPr>
                <w:sz w:val="20"/>
                <w:szCs w:val="20"/>
                <w:color w:val="auto"/>
              </w:rPr>
            </w:pPr>
            <w:r>
              <w:rPr>
                <w:rFonts w:ascii="Arial" w:cs="Arial" w:eastAsia="Arial" w:hAnsi="Arial"/>
                <w:sz w:val="14"/>
                <w:szCs w:val="14"/>
                <w:color w:val="auto"/>
              </w:rPr>
              <w:t>Dividends declared per common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0.54</w:t>
            </w:r>
          </w:p>
        </w:tc>
      </w:tr>
      <w:tr>
        <w:trPr>
          <w:trHeight w:val="20"/>
        </w:trPr>
        <w:tc>
          <w:tcPr>
            <w:tcW w:w="7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380"/>
        </w:trPr>
        <w:tc>
          <w:tcPr>
            <w:tcW w:w="7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Other Data (Unaudited) *</w:t>
            </w:r>
          </w:p>
        </w:tc>
        <w:tc>
          <w:tcPr>
            <w:tcW w:w="100" w:type="dxa"/>
            <w:vAlign w:val="bottom"/>
            <w:tcBorders>
              <w:bottom w:val="single" w:sz="8" w:color="CCEEFF"/>
            </w:tcBorders>
            <w:gridSpan w:val="2"/>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2017</w:t>
            </w:r>
          </w:p>
        </w:tc>
      </w:tr>
      <w:tr>
        <w:trPr>
          <w:trHeight w:val="256"/>
        </w:trPr>
        <w:tc>
          <w:tcPr>
            <w:tcW w:w="71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Average investment securities - at par</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center"/>
              <w:ind w:right="120"/>
              <w:spacing w:after="0"/>
              <w:rPr>
                <w:sz w:val="20"/>
                <w:szCs w:val="20"/>
                <w:color w:val="auto"/>
              </w:rPr>
            </w:pPr>
            <w:r>
              <w:rPr>
                <w:rFonts w:ascii="Arial" w:cs="Arial" w:eastAsia="Arial" w:hAnsi="Arial"/>
                <w:sz w:val="16"/>
                <w:szCs w:val="16"/>
                <w:color w:val="auto"/>
                <w:w w:val="93"/>
              </w:rPr>
              <w:t>$53,986</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89"/>
              </w:rPr>
              <w:t>$42,218</w:t>
            </w:r>
          </w:p>
        </w:tc>
      </w:tr>
      <w:tr>
        <w:trPr>
          <w:trHeight w:val="264"/>
        </w:trPr>
        <w:tc>
          <w:tcPr>
            <w:tcW w:w="7160" w:type="dxa"/>
            <w:vAlign w:val="bottom"/>
            <w:gridSpan w:val="4"/>
          </w:tcPr>
          <w:p>
            <w:pPr>
              <w:ind w:left="20"/>
              <w:spacing w:after="0"/>
              <w:rPr>
                <w:sz w:val="20"/>
                <w:szCs w:val="20"/>
                <w:color w:val="auto"/>
              </w:rPr>
            </w:pPr>
            <w:r>
              <w:rPr>
                <w:rFonts w:ascii="Arial" w:cs="Arial" w:eastAsia="Arial" w:hAnsi="Arial"/>
                <w:sz w:val="14"/>
                <w:szCs w:val="14"/>
                <w:color w:val="auto"/>
              </w:rPr>
              <w:t>Average investment securities - at cost</w:t>
            </w:r>
          </w:p>
        </w:tc>
        <w:tc>
          <w:tcPr>
            <w:tcW w:w="120" w:type="dxa"/>
            <w:vAlign w:val="bottom"/>
          </w:tcPr>
          <w:p>
            <w:pPr>
              <w:spacing w:after="0"/>
              <w:rPr>
                <w:sz w:val="22"/>
                <w:szCs w:val="22"/>
                <w:color w:val="auto"/>
              </w:rPr>
            </w:pPr>
          </w:p>
        </w:tc>
        <w:tc>
          <w:tcPr>
            <w:tcW w:w="1100" w:type="dxa"/>
            <w:vAlign w:val="bottom"/>
          </w:tcPr>
          <w:p>
            <w:pPr>
              <w:jc w:val="center"/>
              <w:ind w:right="120"/>
              <w:spacing w:after="0"/>
              <w:rPr>
                <w:sz w:val="20"/>
                <w:szCs w:val="20"/>
                <w:color w:val="auto"/>
              </w:rPr>
            </w:pPr>
            <w:r>
              <w:rPr>
                <w:rFonts w:ascii="Arial" w:cs="Arial" w:eastAsia="Arial" w:hAnsi="Arial"/>
                <w:sz w:val="16"/>
                <w:szCs w:val="16"/>
                <w:color w:val="auto"/>
                <w:w w:val="93"/>
              </w:rPr>
              <w:t>$56,573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center"/>
              <w:ind w:right="199"/>
              <w:spacing w:after="0"/>
              <w:rPr>
                <w:sz w:val="20"/>
                <w:szCs w:val="20"/>
                <w:color w:val="auto"/>
              </w:rPr>
            </w:pPr>
            <w:r>
              <w:rPr>
                <w:rFonts w:ascii="Arial" w:cs="Arial" w:eastAsia="Arial" w:hAnsi="Arial"/>
                <w:sz w:val="16"/>
                <w:szCs w:val="16"/>
                <w:color w:val="auto"/>
                <w:w w:val="89"/>
              </w:rPr>
              <w:t>$44,215</w:t>
            </w:r>
          </w:p>
        </w:tc>
      </w:tr>
      <w:tr>
        <w:trPr>
          <w:trHeight w:val="276"/>
        </w:trPr>
        <w:tc>
          <w:tcPr>
            <w:tcW w:w="71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Average net TBA portfolio - at cost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center"/>
              <w:ind w:right="120"/>
              <w:spacing w:after="0"/>
              <w:rPr>
                <w:sz w:val="20"/>
                <w:szCs w:val="20"/>
                <w:color w:val="auto"/>
              </w:rPr>
            </w:pPr>
            <w:r>
              <w:rPr>
                <w:rFonts w:ascii="Arial" w:cs="Arial" w:eastAsia="Arial" w:hAnsi="Arial"/>
                <w:sz w:val="16"/>
                <w:szCs w:val="16"/>
                <w:color w:val="auto"/>
                <w:w w:val="93"/>
              </w:rPr>
              <w:t>$15,585</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89"/>
              </w:rPr>
              <w:t>$13,460</w:t>
            </w:r>
          </w:p>
        </w:tc>
      </w:tr>
      <w:tr>
        <w:trPr>
          <w:trHeight w:val="264"/>
        </w:trPr>
        <w:tc>
          <w:tcPr>
            <w:tcW w:w="7160" w:type="dxa"/>
            <w:vAlign w:val="bottom"/>
            <w:gridSpan w:val="4"/>
          </w:tcPr>
          <w:p>
            <w:pPr>
              <w:ind w:left="20"/>
              <w:spacing w:after="0"/>
              <w:rPr>
                <w:sz w:val="20"/>
                <w:szCs w:val="20"/>
                <w:color w:val="auto"/>
              </w:rPr>
            </w:pPr>
            <w:r>
              <w:rPr>
                <w:rFonts w:ascii="Arial" w:cs="Arial" w:eastAsia="Arial" w:hAnsi="Arial"/>
                <w:sz w:val="14"/>
                <w:szCs w:val="14"/>
                <w:color w:val="auto"/>
              </w:rPr>
              <w:t>Average total assets - at fair value</w:t>
            </w:r>
          </w:p>
        </w:tc>
        <w:tc>
          <w:tcPr>
            <w:tcW w:w="120" w:type="dxa"/>
            <w:vAlign w:val="bottom"/>
          </w:tcPr>
          <w:p>
            <w:pPr>
              <w:spacing w:after="0"/>
              <w:rPr>
                <w:sz w:val="22"/>
                <w:szCs w:val="22"/>
                <w:color w:val="auto"/>
              </w:rPr>
            </w:pPr>
          </w:p>
        </w:tc>
        <w:tc>
          <w:tcPr>
            <w:tcW w:w="1100" w:type="dxa"/>
            <w:vAlign w:val="bottom"/>
          </w:tcPr>
          <w:p>
            <w:pPr>
              <w:jc w:val="center"/>
              <w:ind w:right="120"/>
              <w:spacing w:after="0"/>
              <w:rPr>
                <w:sz w:val="20"/>
                <w:szCs w:val="20"/>
                <w:color w:val="auto"/>
              </w:rPr>
            </w:pPr>
            <w:r>
              <w:rPr>
                <w:rFonts w:ascii="Arial" w:cs="Arial" w:eastAsia="Arial" w:hAnsi="Arial"/>
                <w:sz w:val="16"/>
                <w:szCs w:val="16"/>
                <w:color w:val="auto"/>
                <w:w w:val="93"/>
              </w:rPr>
              <w:t>$68,781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center"/>
              <w:ind w:right="199"/>
              <w:spacing w:after="0"/>
              <w:rPr>
                <w:sz w:val="20"/>
                <w:szCs w:val="20"/>
                <w:color w:val="auto"/>
              </w:rPr>
            </w:pPr>
            <w:r>
              <w:rPr>
                <w:rFonts w:ascii="Arial" w:cs="Arial" w:eastAsia="Arial" w:hAnsi="Arial"/>
                <w:sz w:val="16"/>
                <w:szCs w:val="16"/>
                <w:color w:val="auto"/>
                <w:w w:val="89"/>
              </w:rPr>
              <w:t>$55,029</w:t>
            </w:r>
          </w:p>
        </w:tc>
      </w:tr>
      <w:tr>
        <w:trPr>
          <w:trHeight w:val="276"/>
        </w:trPr>
        <w:tc>
          <w:tcPr>
            <w:tcW w:w="71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 xml:space="preserve">Average Agency repurchase agreements and other debt outstanding </w:t>
            </w:r>
            <w:r>
              <w:rPr>
                <w:rFonts w:ascii="Arial" w:cs="Arial" w:eastAsia="Arial" w:hAnsi="Arial"/>
                <w:sz w:val="8"/>
                <w:szCs w:val="8"/>
                <w:color w:val="auto"/>
              </w:rPr>
              <w:t>3</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center"/>
              <w:ind w:right="120"/>
              <w:spacing w:after="0"/>
              <w:rPr>
                <w:sz w:val="20"/>
                <w:szCs w:val="20"/>
                <w:color w:val="auto"/>
              </w:rPr>
            </w:pPr>
            <w:r>
              <w:rPr>
                <w:rFonts w:ascii="Arial" w:cs="Arial" w:eastAsia="Arial" w:hAnsi="Arial"/>
                <w:sz w:val="16"/>
                <w:szCs w:val="16"/>
                <w:color w:val="auto"/>
                <w:w w:val="93"/>
              </w:rPr>
              <w:t>$49,567</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89"/>
              </w:rPr>
              <w:t>$39,203</w:t>
            </w:r>
          </w:p>
        </w:tc>
      </w:tr>
      <w:tr>
        <w:trPr>
          <w:trHeight w:val="264"/>
        </w:trPr>
        <w:tc>
          <w:tcPr>
            <w:tcW w:w="7160" w:type="dxa"/>
            <w:vAlign w:val="bottom"/>
            <w:gridSpan w:val="4"/>
          </w:tcPr>
          <w:p>
            <w:pPr>
              <w:ind w:left="20"/>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8"/>
                <w:szCs w:val="8"/>
                <w:color w:val="auto"/>
              </w:rPr>
              <w:t>4</w:t>
            </w:r>
          </w:p>
        </w:tc>
        <w:tc>
          <w:tcPr>
            <w:tcW w:w="120" w:type="dxa"/>
            <w:vAlign w:val="bottom"/>
          </w:tcPr>
          <w:p>
            <w:pPr>
              <w:spacing w:after="0"/>
              <w:rPr>
                <w:sz w:val="22"/>
                <w:szCs w:val="22"/>
                <w:color w:val="auto"/>
              </w:rPr>
            </w:pPr>
          </w:p>
        </w:tc>
        <w:tc>
          <w:tcPr>
            <w:tcW w:w="1100" w:type="dxa"/>
            <w:vAlign w:val="bottom"/>
          </w:tcPr>
          <w:p>
            <w:pPr>
              <w:jc w:val="center"/>
              <w:ind w:right="120"/>
              <w:spacing w:after="0"/>
              <w:rPr>
                <w:sz w:val="20"/>
                <w:szCs w:val="20"/>
                <w:color w:val="auto"/>
              </w:rPr>
            </w:pPr>
            <w:r>
              <w:rPr>
                <w:rFonts w:ascii="Arial" w:cs="Arial" w:eastAsia="Arial" w:hAnsi="Arial"/>
                <w:sz w:val="16"/>
                <w:szCs w:val="16"/>
                <w:color w:val="auto"/>
                <w:w w:val="93"/>
              </w:rPr>
              <w:t>$8,535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center"/>
              <w:ind w:right="199"/>
              <w:spacing w:after="0"/>
              <w:rPr>
                <w:sz w:val="20"/>
                <w:szCs w:val="20"/>
                <w:color w:val="auto"/>
              </w:rPr>
            </w:pPr>
            <w:r>
              <w:rPr>
                <w:rFonts w:ascii="Arial" w:cs="Arial" w:eastAsia="Arial" w:hAnsi="Arial"/>
                <w:sz w:val="16"/>
                <w:szCs w:val="16"/>
                <w:color w:val="auto"/>
                <w:w w:val="89"/>
              </w:rPr>
              <w:t>$7,310</w:t>
            </w:r>
          </w:p>
        </w:tc>
      </w:tr>
      <w:tr>
        <w:trPr>
          <w:trHeight w:val="276"/>
        </w:trPr>
        <w:tc>
          <w:tcPr>
            <w:tcW w:w="71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8"/>
                <w:szCs w:val="8"/>
                <w:color w:val="auto"/>
              </w:rPr>
              <w:t>5</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8.2:1</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7.8:1</w:t>
            </w:r>
          </w:p>
        </w:tc>
      </w:tr>
      <w:tr>
        <w:trPr>
          <w:trHeight w:val="264"/>
        </w:trPr>
        <w:tc>
          <w:tcPr>
            <w:tcW w:w="7160" w:type="dxa"/>
            <w:vAlign w:val="bottom"/>
            <w:gridSpan w:val="4"/>
          </w:tcPr>
          <w:p>
            <w:pPr>
              <w:ind w:left="20"/>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8"/>
                <w:szCs w:val="8"/>
                <w:color w:val="auto"/>
              </w:rPr>
              <w:t>6</w:t>
            </w:r>
          </w:p>
        </w:tc>
        <w:tc>
          <w:tcPr>
            <w:tcW w:w="120" w:type="dxa"/>
            <w:vAlign w:val="bottom"/>
          </w:tcPr>
          <w:p>
            <w:pPr>
              <w:spacing w:after="0"/>
              <w:rPr>
                <w:sz w:val="22"/>
                <w:szCs w:val="22"/>
                <w:color w:val="auto"/>
              </w:rPr>
            </w:pPr>
          </w:p>
        </w:tc>
        <w:tc>
          <w:tcPr>
            <w:tcW w:w="1100" w:type="dxa"/>
            <w:vAlign w:val="bottom"/>
          </w:tcPr>
          <w:p>
            <w:pPr>
              <w:jc w:val="right"/>
              <w:ind w:right="160"/>
              <w:spacing w:after="0"/>
              <w:rPr>
                <w:sz w:val="20"/>
                <w:szCs w:val="20"/>
                <w:color w:val="auto"/>
              </w:rPr>
            </w:pPr>
            <w:r>
              <w:rPr>
                <w:rFonts w:ascii="Arial" w:cs="Arial" w:eastAsia="Arial" w:hAnsi="Arial"/>
                <w:sz w:val="16"/>
                <w:szCs w:val="16"/>
                <w:color w:val="auto"/>
              </w:rPr>
              <w:t>8.2:1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8.0:1</w:t>
            </w:r>
          </w:p>
        </w:tc>
      </w:tr>
      <w:tr>
        <w:trPr>
          <w:trHeight w:val="276"/>
        </w:trPr>
        <w:tc>
          <w:tcPr>
            <w:tcW w:w="71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 xml:space="preserve">Economic return on tangible common equity, unannualized </w:t>
            </w:r>
            <w:r>
              <w:rPr>
                <w:rFonts w:ascii="Arial" w:cs="Arial" w:eastAsia="Arial" w:hAnsi="Arial"/>
                <w:sz w:val="8"/>
                <w:szCs w:val="8"/>
                <w:color w:val="auto"/>
              </w:rPr>
              <w:t>7</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64"/>
        </w:trPr>
        <w:tc>
          <w:tcPr>
            <w:tcW w:w="7160" w:type="dxa"/>
            <w:vAlign w:val="bottom"/>
            <w:gridSpan w:val="4"/>
          </w:tcPr>
          <w:p>
            <w:pPr>
              <w:ind w:left="20"/>
              <w:spacing w:after="0"/>
              <w:rPr>
                <w:sz w:val="20"/>
                <w:szCs w:val="20"/>
                <w:color w:val="auto"/>
              </w:rPr>
            </w:pPr>
            <w:r>
              <w:rPr>
                <w:rFonts w:ascii="Arial" w:cs="Arial" w:eastAsia="Arial" w:hAnsi="Arial"/>
                <w:sz w:val="14"/>
                <w:szCs w:val="14"/>
                <w:color w:val="auto"/>
              </w:rPr>
              <w:t>Expenses % of average total assets, annualized</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0.10 %</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276"/>
        </w:trPr>
        <w:tc>
          <w:tcPr>
            <w:tcW w:w="71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Expenses % of average assets, including average net TBA position, annualized</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0.09 %</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r>
      <w:tr>
        <w:trPr>
          <w:trHeight w:val="258"/>
        </w:trPr>
        <w:tc>
          <w:tcPr>
            <w:tcW w:w="7160" w:type="dxa"/>
            <w:vAlign w:val="bottom"/>
            <w:gridSpan w:val="4"/>
          </w:tcPr>
          <w:p>
            <w:pPr>
              <w:ind w:left="20"/>
              <w:spacing w:after="0"/>
              <w:rPr>
                <w:sz w:val="20"/>
                <w:szCs w:val="20"/>
                <w:color w:val="auto"/>
              </w:rPr>
            </w:pPr>
            <w:r>
              <w:rPr>
                <w:rFonts w:ascii="Arial" w:cs="Arial" w:eastAsia="Arial" w:hAnsi="Arial"/>
                <w:sz w:val="14"/>
                <w:szCs w:val="14"/>
                <w:color w:val="auto"/>
              </w:rPr>
              <w:t>Expenses % of average stockholders' equity, annualized</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0.84 %</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0.98%</w:t>
            </w:r>
          </w:p>
        </w:tc>
      </w:tr>
    </w:tbl>
    <w:p>
      <w:pPr>
        <w:spacing w:after="0"/>
        <w:rPr>
          <w:sz w:val="20"/>
          <w:szCs w:val="20"/>
          <w:color w:val="auto"/>
        </w:rPr>
      </w:pPr>
      <w:r>
        <w:rPr>
          <w:rFonts w:ascii="Arial" w:cs="Arial" w:eastAsia="Arial" w:hAnsi="Arial"/>
          <w:sz w:val="11"/>
          <w:szCs w:val="11"/>
          <w:color w:val="auto"/>
        </w:rPr>
        <w:t>________________________________</w:t>
      </w:r>
    </w:p>
    <w:p>
      <w:pPr>
        <w:ind w:left="34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w:t>
      </w:r>
    </w:p>
    <w:p>
      <w:pPr>
        <w:spacing w:after="0" w:line="1" w:lineRule="exact"/>
        <w:rPr>
          <w:sz w:val="20"/>
          <w:szCs w:val="20"/>
          <w:color w:val="auto"/>
        </w:rPr>
      </w:pPr>
    </w:p>
    <w:p>
      <w:pPr>
        <w:ind w:left="980" w:hanging="648"/>
        <w:spacing w:after="0" w:line="255"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Net book value per common share is calculated as our total stockholders' equity, less our preferred stock liquidation preference, divided by our number of common shares outstanding as of period end.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806" w:right="259" w:bottom="1440" w:gutter="0" w:footer="0" w:header="0"/>
        </w:sectPr>
      </w:pPr>
    </w:p>
    <w:bookmarkStart w:id="33" w:name="page34"/>
    <w:bookmarkEnd w:id="33"/>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Tangible net book value per common share excludes goodwill and other intangible assets, net.</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 excludes U.S. Treasury repo agreements and TBA contracts.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stockholders' equity calculated as our average month-ended stockholders' equity during the period.</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tangible net book value "at risk" leverage is calculated by dividing the sum of our daily weighted average mortgage borrowings outstanding (Agency repo, other debt and TBA securities (at cost)) for the period by the sum of our average stockholders' equity less our average investment in REIT equity securities, goodwill and other intangible assets, net for the period. Leverage excludes U.S. Treasury repurchase agreements.</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"At risk" leverage as of period end is calculated by dividing the sum of our mortgage borrowings outstanding and our receivable/payable for unsettled investment securities as of period end (at cost) by the sum of our total stockholders' equity less the fair value of investments in REIT equity securities, goodwill and other intangible assets, net at period end. Leverage excludes U.S. Treasury repurchase agreements.</w:t>
      </w:r>
    </w:p>
    <w:p>
      <w:pPr>
        <w:spacing w:after="0" w:line="1" w:lineRule="exact"/>
        <w:rPr>
          <w:rFonts w:ascii="Arial" w:cs="Arial" w:eastAsia="Arial" w:hAnsi="Arial"/>
          <w:sz w:val="14"/>
          <w:szCs w:val="14"/>
          <w:color w:val="auto"/>
        </w:rPr>
      </w:pPr>
    </w:p>
    <w:p>
      <w:pPr>
        <w:ind w:left="980" w:hanging="648"/>
        <w:spacing w:after="0" w:line="255" w:lineRule="auto"/>
        <w:tabs>
          <w:tab w:leader="none" w:pos="6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Economic return on tangible common equity represents the sum of the change in our tangible net book value per common share and our dividends declared on common stock during the period over our beginning tangible net book value per common share.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Income and Asset Yields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summarizes our economic interest income (a non-GAAP measure) for the three months ended March 31, 2018 and 2017, which includes the combination of interest income (a GAAP measure) on our holdings reported as investment securities on our consolidated balance sheets, adjusted to exclude estimated "catch-up" amortization adjustments due to changes in our CPR forecast, and implied interest income on our TBA securities (dollars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w w:val="98"/>
              </w:rPr>
              <w:t>Three Months Ended March 31,</w:t>
            </w:r>
          </w:p>
        </w:tc>
        <w:tc>
          <w:tcPr>
            <w:tcW w:w="920" w:type="dxa"/>
            <w:vAlign w:val="bottom"/>
            <w:tcBorders>
              <w:bottom w:val="single" w:sz="8" w:color="auto"/>
            </w:tcBorders>
          </w:tcPr>
          <w:p>
            <w:pPr>
              <w:spacing w:after="0"/>
              <w:rPr>
                <w:sz w:val="16"/>
                <w:szCs w:val="16"/>
                <w:color w:val="auto"/>
              </w:rPr>
            </w:pPr>
          </w:p>
        </w:tc>
      </w:tr>
      <w:tr>
        <w:trPr>
          <w:trHeight w:val="264"/>
        </w:trPr>
        <w:tc>
          <w:tcPr>
            <w:tcW w:w="6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22"/>
                <w:szCs w:val="22"/>
                <w:color w:val="auto"/>
              </w:rPr>
            </w:pPr>
          </w:p>
        </w:tc>
      </w:tr>
      <w:tr>
        <w:trPr>
          <w:trHeight w:val="263"/>
        </w:trPr>
        <w:tc>
          <w:tcPr>
            <w:tcW w:w="6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Yield</w:t>
            </w:r>
          </w:p>
        </w:tc>
        <w:tc>
          <w:tcPr>
            <w:tcW w:w="200" w:type="dxa"/>
            <w:vAlign w:val="bottom"/>
          </w:tcPr>
          <w:p>
            <w:pPr>
              <w:spacing w:after="0"/>
              <w:rPr>
                <w:sz w:val="22"/>
                <w:szCs w:val="22"/>
                <w:color w:val="auto"/>
              </w:rPr>
            </w:pPr>
          </w:p>
        </w:tc>
        <w:tc>
          <w:tcPr>
            <w:tcW w:w="13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Yield</w:t>
            </w:r>
          </w:p>
        </w:tc>
      </w:tr>
      <w:tr>
        <w:trPr>
          <w:trHeight w:val="264"/>
        </w:trPr>
        <w:tc>
          <w:tcPr>
            <w:tcW w:w="634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r>
      <w:tr>
        <w:trPr>
          <w:trHeight w:val="276"/>
        </w:trPr>
        <w:tc>
          <w:tcPr>
            <w:tcW w:w="6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Cash/coupon interest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3.70 %</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3.65 %</w:t>
            </w:r>
          </w:p>
        </w:tc>
      </w:tr>
      <w:tr>
        <w:trPr>
          <w:trHeight w:val="264"/>
        </w:trPr>
        <w:tc>
          <w:tcPr>
            <w:tcW w:w="63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premium amortization</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(0.97)%</w:t>
            </w:r>
          </w:p>
        </w:tc>
      </w:tr>
      <w:tr>
        <w:trPr>
          <w:trHeight w:val="256"/>
        </w:trPr>
        <w:tc>
          <w:tcPr>
            <w:tcW w:w="6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 (GAAP measure)</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2.68 %</w:t>
            </w:r>
          </w:p>
        </w:tc>
      </w:tr>
      <w:tr>
        <w:trPr>
          <w:trHeight w:val="264"/>
        </w:trPr>
        <w:tc>
          <w:tcPr>
            <w:tcW w:w="63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Estimated "catch-up" premium amortization (benefit) cost due to change in CPR forecast</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0.08 %</w:t>
            </w:r>
          </w:p>
        </w:tc>
      </w:tr>
      <w:tr>
        <w:trPr>
          <w:trHeight w:val="256"/>
        </w:trPr>
        <w:tc>
          <w:tcPr>
            <w:tcW w:w="6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 excluding "catch-up" premium amortization</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2.76 %</w:t>
            </w:r>
          </w:p>
        </w:tc>
      </w:tr>
      <w:tr>
        <w:trPr>
          <w:trHeight w:val="264"/>
        </w:trPr>
        <w:tc>
          <w:tcPr>
            <w:tcW w:w="63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 xml:space="preserve">TBA dollar roll income - implied interest income </w:t>
            </w:r>
            <w:r>
              <w:rPr>
                <w:rFonts w:ascii="Arial" w:cs="Arial" w:eastAsia="Arial" w:hAnsi="Arial"/>
                <w:sz w:val="8"/>
                <w:szCs w:val="8"/>
                <w:color w:val="auto"/>
              </w:rPr>
              <w:t>1,2</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3.08 %</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2.69 %</w:t>
            </w:r>
          </w:p>
        </w:tc>
      </w:tr>
      <w:tr>
        <w:trPr>
          <w:trHeight w:val="243"/>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 xml:space="preserve">Economic interest income, excluding "catch-up" amortization (non-GAAP measure) </w:t>
            </w:r>
            <w:r>
              <w:rPr>
                <w:rFonts w:ascii="Arial" w:cs="Arial" w:eastAsia="Arial" w:hAnsi="Arial"/>
                <w:sz w:val="8"/>
                <w:szCs w:val="8"/>
                <w:color w:val="auto"/>
              </w:rPr>
              <w:t>3</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2.74 %</w:t>
            </w:r>
          </w:p>
        </w:tc>
      </w:tr>
      <w:tr>
        <w:trPr>
          <w:trHeight w:val="20"/>
        </w:trPr>
        <w:tc>
          <w:tcPr>
            <w:tcW w:w="6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64"/>
        </w:trPr>
        <w:tc>
          <w:tcPr>
            <w:tcW w:w="6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6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actual portfolio CPR for investment securities held during the period</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6340" w:type="dxa"/>
            <w:vAlign w:val="bottom"/>
          </w:tcPr>
          <w:p>
            <w:pPr>
              <w:ind w:left="40"/>
              <w:spacing w:after="0"/>
              <w:rPr>
                <w:sz w:val="20"/>
                <w:szCs w:val="20"/>
                <w:color w:val="auto"/>
              </w:rPr>
            </w:pPr>
            <w:r>
              <w:rPr>
                <w:rFonts w:ascii="Arial" w:cs="Arial" w:eastAsia="Arial" w:hAnsi="Arial"/>
                <w:sz w:val="14"/>
                <w:szCs w:val="14"/>
                <w:color w:val="auto"/>
              </w:rPr>
              <w:t>Weighted average projected CPR for the remaining life of investment securities held as of period end</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6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4</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58"/>
        </w:trPr>
        <w:tc>
          <w:tcPr>
            <w:tcW w:w="6340" w:type="dxa"/>
            <w:vAlign w:val="bottom"/>
          </w:tcPr>
          <w:p>
            <w:pPr>
              <w:ind w:left="40"/>
              <w:spacing w:after="0"/>
              <w:rPr>
                <w:sz w:val="20"/>
                <w:szCs w:val="20"/>
                <w:color w:val="auto"/>
              </w:rPr>
            </w:pPr>
            <w:r>
              <w:rPr>
                <w:rFonts w:ascii="Arial" w:cs="Arial" w:eastAsia="Arial" w:hAnsi="Arial"/>
                <w:sz w:val="14"/>
                <w:szCs w:val="14"/>
                <w:color w:val="auto"/>
              </w:rPr>
              <w:t>10-year U.S. Treasury rate as of period end</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27"/>
        </w:trPr>
        <w:tc>
          <w:tcPr>
            <w:tcW w:w="6340" w:type="dxa"/>
            <w:vAlign w:val="bottom"/>
          </w:tcPr>
          <w:p>
            <w:pPr>
              <w:ind w:left="60"/>
              <w:spacing w:after="0"/>
              <w:rPr>
                <w:sz w:val="20"/>
                <w:szCs w:val="20"/>
                <w:color w:val="auto"/>
              </w:rPr>
            </w:pPr>
            <w:r>
              <w:rPr>
                <w:rFonts w:ascii="Arial" w:cs="Arial" w:eastAsia="Arial" w:hAnsi="Arial"/>
                <w:sz w:val="11"/>
                <w:szCs w:val="11"/>
                <w:color w:val="auto"/>
              </w:rPr>
              <w:t>________________________________</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r>
    </w:tbl>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Reported in gain (loss) on derivatives instruments and other securities, net in the accompanying consolidated statements of operations.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Implied interest income from TBA dollar roll transactions is computed as the sum of (i) our TBA dollar roll income and (ii) our estimated TBA implied funding cost (see </w:t>
      </w:r>
      <w:r>
        <w:rPr>
          <w:rFonts w:ascii="Arial" w:cs="Arial" w:eastAsia="Arial" w:hAnsi="Arial"/>
          <w:sz w:val="14"/>
          <w:szCs w:val="14"/>
          <w:i w:val="1"/>
          <w:iCs w:val="1"/>
          <w:color w:val="auto"/>
        </w:rPr>
        <w:t>Economic</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Interest Expense and Aggregate Cost of Funds </w:t>
      </w:r>
      <w:r>
        <w:rPr>
          <w:rFonts w:ascii="Arial" w:cs="Arial" w:eastAsia="Arial" w:hAnsi="Arial"/>
          <w:sz w:val="14"/>
          <w:szCs w:val="14"/>
          <w:color w:val="auto"/>
        </w:rPr>
        <w:t>below). TBA dollar roll income represents the price differential, or "price drop," between the TBA price for current month settlement</w:t>
      </w:r>
      <w:r>
        <w:rPr>
          <w:rFonts w:ascii="Arial" w:cs="Arial" w:eastAsia="Arial" w:hAnsi="Arial"/>
          <w:sz w:val="14"/>
          <w:szCs w:val="14"/>
          <w:i w:val="1"/>
          <w:iCs w:val="1"/>
          <w:color w:val="auto"/>
        </w:rPr>
        <w:t xml:space="preserve"> </w:t>
      </w:r>
      <w:r>
        <w:rPr>
          <w:rFonts w:ascii="Arial" w:cs="Arial" w:eastAsia="Arial" w:hAnsi="Arial"/>
          <w:sz w:val="14"/>
          <w:szCs w:val="14"/>
          <w:color w:val="auto"/>
        </w:rPr>
        <w:t>versus the 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 (see .</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combined asset yield is calculated on a weighted average basis based on our average investment and TBA balances outstanding during the period and their respective yields.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principal elements impacting our economic interest income are the size of our average investment portfolio and the yield (actual or implied) on our securities. The following is a summary of the estimated impact of each of these elements on our economic interest income for the three months ended March 31, 2018, compared to the prior year period (in millions):</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23495</wp:posOffset>
            </wp:positionV>
            <wp:extent cx="71951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3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Three Months Ended March 31, 2018 vs.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23495</wp:posOffset>
            </wp:positionV>
            <wp:extent cx="71951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10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Due to Change in Average</w:t>
            </w:r>
          </w:p>
        </w:tc>
      </w:tr>
      <w:tr>
        <w:trPr>
          <w:trHeight w:val="153"/>
        </w:trPr>
        <w:tc>
          <w:tcPr>
            <w:tcW w:w="6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Total Increase /</w:t>
            </w:r>
          </w:p>
        </w:tc>
        <w:tc>
          <w:tcPr>
            <w:tcW w:w="320" w:type="dxa"/>
            <w:vAlign w:val="bottom"/>
          </w:tcPr>
          <w:p>
            <w:pPr>
              <w:spacing w:after="0"/>
              <w:rPr>
                <w:sz w:val="13"/>
                <w:szCs w:val="13"/>
                <w:color w:val="auto"/>
              </w:rPr>
            </w:pPr>
          </w:p>
        </w:tc>
        <w:tc>
          <w:tcPr>
            <w:tcW w:w="13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3"/>
              </w:rPr>
              <w:t>Portfolio</w:t>
            </w:r>
          </w:p>
        </w:tc>
        <w:tc>
          <w:tcPr>
            <w:tcW w:w="360" w:type="dxa"/>
            <w:vAlign w:val="bottom"/>
          </w:tcPr>
          <w:p>
            <w:pPr>
              <w:spacing w:after="0"/>
              <w:rPr>
                <w:sz w:val="13"/>
                <w:szCs w:val="13"/>
                <w:color w:val="auto"/>
              </w:rPr>
            </w:pPr>
          </w:p>
        </w:tc>
        <w:tc>
          <w:tcPr>
            <w:tcW w:w="1200" w:type="dxa"/>
            <w:vAlign w:val="bottom"/>
          </w:tcPr>
          <w:p>
            <w:pPr>
              <w:jc w:val="right"/>
              <w:ind w:right="548"/>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32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Size</w:t>
            </w:r>
          </w:p>
        </w:tc>
        <w:tc>
          <w:tcPr>
            <w:tcW w:w="360" w:type="dxa"/>
            <w:vAlign w:val="bottom"/>
          </w:tcPr>
          <w:p>
            <w:pPr>
              <w:spacing w:after="0"/>
              <w:rPr>
                <w:sz w:val="16"/>
                <w:szCs w:val="16"/>
                <w:color w:val="auto"/>
              </w:rPr>
            </w:pPr>
          </w:p>
        </w:tc>
        <w:tc>
          <w:tcPr>
            <w:tcW w:w="1200" w:type="dxa"/>
            <w:vAlign w:val="bottom"/>
          </w:tcPr>
          <w:p>
            <w:pPr>
              <w:jc w:val="right"/>
              <w:ind w:right="548"/>
              <w:spacing w:after="0"/>
              <w:rPr>
                <w:sz w:val="20"/>
                <w:szCs w:val="20"/>
                <w:color w:val="auto"/>
              </w:rPr>
            </w:pPr>
            <w:r>
              <w:rPr>
                <w:rFonts w:ascii="Arial" w:cs="Arial" w:eastAsia="Arial" w:hAnsi="Arial"/>
                <w:sz w:val="14"/>
                <w:szCs w:val="14"/>
                <w:b w:val="1"/>
                <w:bCs w:val="1"/>
                <w:color w:val="auto"/>
              </w:rPr>
              <w:t>Yield</w:t>
            </w:r>
          </w:p>
        </w:tc>
      </w:tr>
      <w:tr>
        <w:trPr>
          <w:trHeight w:val="256"/>
        </w:trPr>
        <w:tc>
          <w:tcPr>
            <w:tcW w:w="6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 (GAAP measure)</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r>
      <w:tr>
        <w:trPr>
          <w:trHeight w:val="264"/>
        </w:trPr>
        <w:tc>
          <w:tcPr>
            <w:tcW w:w="6360" w:type="dxa"/>
            <w:vAlign w:val="bottom"/>
          </w:tcPr>
          <w:p>
            <w:pPr>
              <w:ind w:left="40"/>
              <w:spacing w:after="0"/>
              <w:rPr>
                <w:sz w:val="20"/>
                <w:szCs w:val="20"/>
                <w:color w:val="auto"/>
              </w:rPr>
            </w:pPr>
            <w:r>
              <w:rPr>
                <w:rFonts w:ascii="Arial" w:cs="Arial" w:eastAsia="Arial" w:hAnsi="Arial"/>
                <w:sz w:val="14"/>
                <w:szCs w:val="14"/>
                <w:color w:val="auto"/>
              </w:rPr>
              <w:t>Estimated "catch-up" premium amortization cost due to change in CPR forecast</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56"/>
        </w:trPr>
        <w:tc>
          <w:tcPr>
            <w:tcW w:w="6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 excluding "catch-up" premium amortization cost</w:t>
            </w:r>
          </w:p>
        </w:tc>
        <w:tc>
          <w:tcPr>
            <w:tcW w:w="22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64"/>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TBA dollar roll income - implied interest income</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r>
      <w:tr>
        <w:trPr>
          <w:trHeight w:val="243"/>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580" w:right="239" w:bottom="1440" w:gutter="0" w:footer="0" w:header="0"/>
          <w:type w:val="continuous"/>
        </w:sectPr>
      </w:pPr>
    </w:p>
    <w:bookmarkStart w:id="34" w:name="page35"/>
    <w:bookmarkEnd w:id="34"/>
    <w:p>
      <w:pPr>
        <w:jc w:val="both"/>
        <w:ind w:firstLine="432"/>
        <w:spacing w:after="0" w:line="297" w:lineRule="auto"/>
        <w:rPr>
          <w:sz w:val="20"/>
          <w:szCs w:val="20"/>
          <w:color w:val="auto"/>
        </w:rPr>
      </w:pPr>
      <w:r>
        <w:rPr>
          <w:rFonts w:ascii="Arial" w:cs="Arial" w:eastAsia="Arial" w:hAnsi="Arial"/>
          <w:sz w:val="16"/>
          <w:szCs w:val="16"/>
          <w:color w:val="auto"/>
        </w:rPr>
        <w:t>The size of our average investment portfolio increased 25% (at cost) from the prior year period, consisting of a 28% increase in holdings reported as investment securities and a 16% increase in TBA securities reported as derivative assets/(liabilities) on our consolidated balance sheets. The increase in our investment portfolio was primarily a function of equity issuances during 2017. The increase in our average asset yield on our investment portfolio to 2.94% for the three months ended March 31, 2018, from 2.74% for the prior year period, was largely due to changes in asset composition as we increased our holdings of 30-year fixed rate securities relative to shorter duration assets and lower prepayment speeds in line with higher interest rates.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primary measure of leverage is our tangible net book value "at risk" leverage ratio. Tangible net book value "at risk" leverage is measured as the sum of our Agency repurchase agreements and other debt used to fund our investment securities and our net TBA position (at cost) (together referred to as "mortgage borrowings") and our net receivable/payable for unsettled investment securities divided by the sum of our total stockholders' equity adjusted to exclude goodwill and other intangible assets.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for further discussion of TBA securities and dollar roll transactions). Repurchase agreements used to fund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U.S. Treasury securities ("U.S. Treasury repo") are excluded from our measure of leverage due to the temporary and highly liquid nature of these investments.</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tangible net book value "at risk" leverage was 8.2x and 8.1x as of March 31, 2018 and December 31, 2017, respectively. The table below presents a summary of our leverage ratios for the periods listed (dollars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gridSpan w:val="9"/>
            <w:vMerge w:val="restart"/>
          </w:tcPr>
          <w:p>
            <w:pPr>
              <w:jc w:val="center"/>
              <w:ind w:right="80"/>
              <w:spacing w:after="0"/>
              <w:rPr>
                <w:sz w:val="20"/>
                <w:szCs w:val="20"/>
                <w:color w:val="auto"/>
              </w:rPr>
            </w:pPr>
            <w:r>
              <w:rPr>
                <w:rFonts w:ascii="Arial" w:cs="Arial" w:eastAsia="Arial" w:hAnsi="Arial"/>
                <w:sz w:val="13"/>
                <w:szCs w:val="13"/>
                <w:b w:val="1"/>
                <w:bCs w:val="1"/>
                <w:color w:val="auto"/>
                <w:w w:val="86"/>
              </w:rPr>
              <w:t>Agency Repurchase Agreements and Other Debt</w:t>
            </w:r>
          </w:p>
        </w:tc>
        <w:tc>
          <w:tcPr>
            <w:tcW w:w="120" w:type="dxa"/>
            <w:vAlign w:val="bottom"/>
          </w:tcPr>
          <w:p>
            <w:pPr>
              <w:spacing w:after="0"/>
              <w:rPr>
                <w:sz w:val="13"/>
                <w:szCs w:val="13"/>
                <w:color w:val="auto"/>
              </w:rPr>
            </w:pPr>
          </w:p>
        </w:tc>
        <w:tc>
          <w:tcPr>
            <w:tcW w:w="1540" w:type="dxa"/>
            <w:vAlign w:val="bottom"/>
            <w:gridSpan w:val="4"/>
            <w:vMerge w:val="restart"/>
          </w:tcPr>
          <w:p>
            <w:pPr>
              <w:jc w:val="right"/>
              <w:ind w:right="272"/>
              <w:spacing w:after="0"/>
              <w:rPr>
                <w:sz w:val="20"/>
                <w:szCs w:val="20"/>
                <w:color w:val="auto"/>
              </w:rPr>
            </w:pPr>
            <w:r>
              <w:rPr>
                <w:rFonts w:ascii="Arial" w:cs="Arial" w:eastAsia="Arial" w:hAnsi="Arial"/>
                <w:sz w:val="13"/>
                <w:szCs w:val="13"/>
                <w:b w:val="1"/>
                <w:bCs w:val="1"/>
                <w:color w:val="auto"/>
              </w:rPr>
              <w:t>Net TBA Position</w:t>
            </w:r>
          </w:p>
        </w:tc>
        <w:tc>
          <w:tcPr>
            <w:tcW w:w="12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Average</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20" w:type="dxa"/>
            <w:vAlign w:val="bottom"/>
            <w:gridSpan w:val="9"/>
            <w:vMerge w:val="continue"/>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89"/>
              </w:rPr>
              <w:t>Tangible Net</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78"/>
              </w:rPr>
              <w:t>1</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ind w:right="372"/>
              <w:spacing w:after="0" w:line="135" w:lineRule="exact"/>
              <w:rPr>
                <w:sz w:val="20"/>
                <w:szCs w:val="20"/>
                <w:color w:val="auto"/>
              </w:rPr>
            </w:pPr>
            <w:r>
              <w:rPr>
                <w:rFonts w:ascii="Arial" w:cs="Arial" w:eastAsia="Arial" w:hAnsi="Arial"/>
                <w:sz w:val="13"/>
                <w:szCs w:val="13"/>
                <w:b w:val="1"/>
                <w:bCs w:val="1"/>
                <w:color w:val="auto"/>
              </w:rPr>
              <w:t xml:space="preserve">Long/(Short) </w:t>
            </w:r>
            <w:r>
              <w:rPr>
                <w:rFonts w:ascii="Arial" w:cs="Arial" w:eastAsia="Arial" w:hAnsi="Arial"/>
                <w:sz w:val="8"/>
                <w:szCs w:val="8"/>
                <w:b w:val="1"/>
                <w:bCs w:val="1"/>
                <w:color w:val="auto"/>
              </w:rPr>
              <w:t>2</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Book Value</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Average</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Tangible Net</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rPr>
              <w:t>"At Risk"</w:t>
            </w:r>
          </w:p>
        </w:tc>
        <w:tc>
          <w:tcPr>
            <w:tcW w:w="102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rPr>
              <w:t>"At Risk"</w:t>
            </w:r>
          </w:p>
        </w:tc>
        <w:tc>
          <w:tcPr>
            <w:tcW w:w="102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6"/>
              </w:rPr>
              <w:t>Book Value "At</w:t>
            </w:r>
          </w:p>
        </w:tc>
        <w:tc>
          <w:tcPr>
            <w:tcW w:w="9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"At Risk"</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Leverage</w:t>
            </w:r>
          </w:p>
        </w:tc>
        <w:tc>
          <w:tcPr>
            <w:tcW w:w="10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Leverage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Risk" Leverage</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Leverage</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Average Daily</w:t>
            </w: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Maximum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Ending</w:t>
            </w: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Daily</w:t>
            </w:r>
          </w:p>
        </w:tc>
        <w:tc>
          <w:tcPr>
            <w:tcW w:w="140" w:type="dxa"/>
            <w:vAlign w:val="bottom"/>
          </w:tcPr>
          <w:p>
            <w:pPr>
              <w:spacing w:after="0"/>
              <w:rPr>
                <w:sz w:val="11"/>
                <w:szCs w:val="11"/>
                <w:color w:val="auto"/>
              </w:rPr>
            </w:pPr>
          </w:p>
        </w:tc>
        <w:tc>
          <w:tcPr>
            <w:tcW w:w="640" w:type="dxa"/>
            <w:vAlign w:val="bottom"/>
          </w:tcPr>
          <w:p>
            <w:pPr>
              <w:jc w:val="right"/>
              <w:ind w:right="112"/>
              <w:spacing w:after="0" w:line="135" w:lineRule="exact"/>
              <w:rPr>
                <w:sz w:val="20"/>
                <w:szCs w:val="20"/>
                <w:color w:val="auto"/>
              </w:rPr>
            </w:pPr>
            <w:r>
              <w:rPr>
                <w:rFonts w:ascii="Arial" w:cs="Arial" w:eastAsia="Arial" w:hAnsi="Arial"/>
                <w:sz w:val="13"/>
                <w:szCs w:val="13"/>
                <w:b w:val="1"/>
                <w:bCs w:val="1"/>
                <w:color w:val="auto"/>
                <w:w w:val="99"/>
              </w:rPr>
              <w:t>Ending</w:t>
            </w: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78"/>
              </w:rPr>
              <w:t>as of</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as of</w:t>
            </w:r>
          </w:p>
        </w:tc>
        <w:tc>
          <w:tcPr>
            <w:tcW w:w="0" w:type="dxa"/>
            <w:vAlign w:val="bottom"/>
          </w:tcPr>
          <w:p>
            <w:pPr>
              <w:spacing w:after="0"/>
              <w:rPr>
                <w:sz w:val="1"/>
                <w:szCs w:val="1"/>
                <w:color w:val="auto"/>
              </w:rPr>
            </w:pP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Quarter Ended</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3"/>
              </w:rPr>
              <w:t>Daily Amount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Period </w:t>
            </w:r>
            <w:r>
              <w:rPr>
                <w:rFonts w:ascii="Arial" w:cs="Arial" w:eastAsia="Arial" w:hAnsi="Arial"/>
                <w:sz w:val="8"/>
                <w:szCs w:val="8"/>
                <w:b w:val="1"/>
                <w:bCs w:val="1"/>
                <w:color w:val="auto"/>
                <w:w w:val="86"/>
              </w:rPr>
              <w:t>3</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4</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 xml:space="preserve">Period End </w:t>
            </w:r>
            <w:r>
              <w:rPr>
                <w:rFonts w:ascii="Arial" w:cs="Arial" w:eastAsia="Arial" w:hAnsi="Arial"/>
                <w:sz w:val="8"/>
                <w:szCs w:val="8"/>
                <w:b w:val="1"/>
                <w:bCs w:val="1"/>
                <w:color w:val="auto"/>
                <w:w w:val="88"/>
              </w:rPr>
              <w:t>3</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Period End </w:t>
            </w:r>
            <w:r>
              <w:rPr>
                <w:rFonts w:ascii="Arial" w:cs="Arial" w:eastAsia="Arial" w:hAnsi="Arial"/>
                <w:sz w:val="8"/>
                <w:szCs w:val="8"/>
                <w:b w:val="1"/>
                <w:bCs w:val="1"/>
                <w:color w:val="auto"/>
                <w:w w:val="91"/>
              </w:rPr>
              <w:t>5</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2018</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49,567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50,645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49,292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15,585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13,529</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8.2:1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7.7:1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8.2:1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7.6:1</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December 31, 2017</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48,122</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5"/>
              <w:spacing w:after="0"/>
              <w:rPr>
                <w:sz w:val="20"/>
                <w:szCs w:val="20"/>
                <w:color w:val="auto"/>
              </w:rPr>
            </w:pPr>
            <w:r>
              <w:rPr>
                <w:rFonts w:ascii="Arial" w:cs="Arial" w:eastAsia="Arial" w:hAnsi="Arial"/>
                <w:sz w:val="14"/>
                <w:szCs w:val="14"/>
                <w:color w:val="auto"/>
              </w:rPr>
              <w:t>51,322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50,653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4"/>
              <w:spacing w:after="0"/>
              <w:rPr>
                <w:sz w:val="20"/>
                <w:szCs w:val="20"/>
                <w:color w:val="auto"/>
              </w:rPr>
            </w:pPr>
            <w:r>
              <w:rPr>
                <w:rFonts w:ascii="Arial" w:cs="Arial" w:eastAsia="Arial" w:hAnsi="Arial"/>
                <w:sz w:val="14"/>
                <w:szCs w:val="14"/>
                <w:color w:val="auto"/>
              </w:rPr>
              <w:t>18,355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15,739</w:t>
            </w:r>
          </w:p>
        </w:tc>
        <w:tc>
          <w:tcPr>
            <w:tcW w:w="102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8.1:1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7.6:1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8.1:1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7.6:1</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2017</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39,203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41,221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39,809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13,460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14,377</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7.8:1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7.2:1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8.0:1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7.4:1</w:t>
            </w:r>
          </w:p>
        </w:tc>
        <w:tc>
          <w:tcPr>
            <w:tcW w:w="0" w:type="dxa"/>
            <w:vAlign w:val="bottom"/>
          </w:tcPr>
          <w:p>
            <w:pPr>
              <w:spacing w:after="0"/>
              <w:rPr>
                <w:sz w:val="1"/>
                <w:szCs w:val="1"/>
                <w:color w:val="auto"/>
              </w:rPr>
            </w:pPr>
          </w:p>
        </w:tc>
      </w:tr>
      <w:tr>
        <w:trPr>
          <w:trHeight w:val="115"/>
        </w:trPr>
        <w:tc>
          <w:tcPr>
            <w:tcW w:w="2740" w:type="dxa"/>
            <w:vAlign w:val="bottom"/>
          </w:tcPr>
          <w:p>
            <w:pPr>
              <w:spacing w:after="0" w:line="115" w:lineRule="exact"/>
              <w:rPr>
                <w:sz w:val="20"/>
                <w:szCs w:val="20"/>
                <w:color w:val="auto"/>
              </w:rPr>
            </w:pPr>
            <w:r>
              <w:rPr>
                <w:rFonts w:ascii="Arial" w:cs="Arial" w:eastAsia="Arial" w:hAnsi="Arial"/>
                <w:sz w:val="11"/>
                <w:szCs w:val="11"/>
                <w:color w:val="auto"/>
              </w:rPr>
              <w:t>________________________________</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Amounts exclude U.S. Treasury repo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Tangible net book value "at risk" leverage includes the components of "at risk" leverage with stockholders' equity adjusted to exclude goodwill and other intangible assets, net.</w:t>
      </w:r>
    </w:p>
    <w:p>
      <w:pPr>
        <w:spacing w:after="0" w:line="12" w:lineRule="exact"/>
        <w:rPr>
          <w:rFonts w:ascii="Arial" w:cs="Arial" w:eastAsia="Arial" w:hAnsi="Arial"/>
          <w:sz w:val="13"/>
          <w:szCs w:val="13"/>
          <w:color w:val="auto"/>
        </w:rPr>
      </w:pPr>
    </w:p>
    <w:p>
      <w:pPr>
        <w:ind w:left="660" w:hanging="328"/>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Average "at risk" leverage during the period was calculated by dividing the sum of our daily weighted average mortgage borrowings outstanding during the period by the sum of our average month-ended stockholders' equity less our average investment in REIT equity securities for the period.</w:t>
      </w:r>
    </w:p>
    <w:p>
      <w:pPr>
        <w:ind w:left="660" w:hanging="328"/>
        <w:spacing w:after="0" w:line="293" w:lineRule="auto"/>
        <w:tabs>
          <w:tab w:leader="none" w:pos="6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"At risk" leverage as of period end is calculated by dividing the sum of our mortgage borrowings outstanding and our receivable/payable for unsettled investment securities as of period end (at cost) by the sum of our total stockholders' equity less the fair value of investments in REIT equity securities at period end. Leverage excludes U.S. Treasury repo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Expense and Aggregate Cost of Funds</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summarizes our economic interest expense and aggregate cost of funds (non-GAAP measures) for the three months ended March 31, 2018 and 2017 (dollars in millions), which includes the combination of interest expense on Agency repurchase agreements and other debt (GAAP measure), implied interest expense on our TBA securities and periodic interest rate swap costs:</w:t>
      </w:r>
    </w:p>
    <w:p>
      <w:pPr>
        <w:spacing w:after="0" w:line="267"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97"/>
              </w:rPr>
              <w:t>Three Months Ended March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Economic Interest Expense and Aggregate Cost of Funds </w:t>
            </w:r>
            <w:r>
              <w:rPr>
                <w:rFonts w:ascii="Arial" w:cs="Arial" w:eastAsia="Arial" w:hAnsi="Arial"/>
                <w:sz w:val="8"/>
                <w:szCs w:val="8"/>
                <w:b w:val="1"/>
                <w:bCs w:val="1"/>
                <w:color w:val="auto"/>
              </w:rPr>
              <w:t>1</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0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Cost of</w:t>
            </w:r>
          </w:p>
        </w:tc>
        <w:tc>
          <w:tcPr>
            <w:tcW w:w="140" w:type="dxa"/>
            <w:vAlign w:val="bottom"/>
          </w:tcPr>
          <w:p>
            <w:pPr>
              <w:spacing w:after="0"/>
              <w:rPr>
                <w:sz w:val="13"/>
                <w:szCs w:val="13"/>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74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9"/>
              </w:rPr>
              <w:t>Cost of</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Funds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Funds</w:t>
            </w:r>
          </w:p>
        </w:tc>
        <w:tc>
          <w:tcPr>
            <w:tcW w:w="0" w:type="dxa"/>
            <w:vAlign w:val="bottom"/>
          </w:tcPr>
          <w:p>
            <w:pPr>
              <w:spacing w:after="0"/>
              <w:rPr>
                <w:sz w:val="1"/>
                <w:szCs w:val="1"/>
                <w:color w:val="auto"/>
              </w:rPr>
            </w:pPr>
          </w:p>
        </w:tc>
      </w:tr>
      <w:tr>
        <w:trPr>
          <w:trHeight w:val="256"/>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agreement and other debt - interest expense (GAAP measure)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TBA dollar roll income - implied interest expense </w:t>
            </w:r>
            <w:r>
              <w:rPr>
                <w:rFonts w:ascii="Arial" w:cs="Arial" w:eastAsia="Arial" w:hAnsi="Arial"/>
                <w:sz w:val="8"/>
                <w:szCs w:val="8"/>
                <w:color w:val="auto"/>
              </w:rPr>
              <w:t>2,3</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256"/>
        </w:trPr>
        <w:tc>
          <w:tcPr>
            <w:tcW w:w="5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 xml:space="preserve">Economic interest expense - before interest rate swap costs </w:t>
            </w:r>
            <w:r>
              <w:rPr>
                <w:rFonts w:ascii="Arial" w:cs="Arial" w:eastAsia="Arial" w:hAnsi="Arial"/>
                <w:sz w:val="8"/>
                <w:szCs w:val="8"/>
                <w:color w:val="auto"/>
              </w:rPr>
              <w:t>4</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0.89%</w:t>
            </w:r>
          </w:p>
        </w:tc>
        <w:tc>
          <w:tcPr>
            <w:tcW w:w="0" w:type="dxa"/>
            <w:vAlign w:val="bottom"/>
          </w:tcPr>
          <w:p>
            <w:pPr>
              <w:spacing w:after="0"/>
              <w:rPr>
                <w:sz w:val="1"/>
                <w:szCs w:val="1"/>
                <w:color w:val="auto"/>
              </w:rPr>
            </w:pPr>
          </w:p>
        </w:tc>
      </w:tr>
      <w:tr>
        <w:trPr>
          <w:trHeight w:val="157"/>
        </w:trPr>
        <w:tc>
          <w:tcPr>
            <w:tcW w:w="53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Periodic interest costs of interest rate swaps reported in gain (loss) on derivative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instruments and other securities, net </w:t>
            </w:r>
            <w:r>
              <w:rPr>
                <w:rFonts w:ascii="Arial" w:cs="Arial" w:eastAsia="Arial" w:hAnsi="Arial"/>
                <w:sz w:val="8"/>
                <w:szCs w:val="8"/>
                <w:color w:val="auto"/>
              </w:rPr>
              <w:t>5</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 economic interest expense (non-GAAP measure)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8890</wp:posOffset>
            </wp:positionV>
            <wp:extent cx="2470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1"/>
          <w:szCs w:val="11"/>
          <w:color w:val="auto"/>
        </w:rPr>
        <w:t>________________________________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6" w:right="239" w:bottom="1440" w:gutter="0" w:footer="0" w:header="0"/>
        </w:sectPr>
      </w:pPr>
    </w:p>
    <w:bookmarkStart w:id="35" w:name="page36"/>
    <w:bookmarkEnd w:id="35"/>
    <w:p>
      <w:pPr>
        <w:ind w:left="660" w:right="460" w:hanging="328"/>
        <w:spacing w:after="0" w:line="250"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exclude interest rate swap termination fees and variation margin settlements paid or received, forward starting swaps or the impact of other supplemental hedges, such as swaptions and U.S. Treasury positions.</w:t>
      </w: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 w:lineRule="exact"/>
        <w:rPr>
          <w:rFonts w:ascii="Arial" w:cs="Arial" w:eastAsia="Arial" w:hAnsi="Arial"/>
          <w:sz w:val="14"/>
          <w:szCs w:val="14"/>
          <w:color w:val="auto"/>
        </w:rPr>
      </w:pPr>
    </w:p>
    <w:p>
      <w:pPr>
        <w:jc w:val="both"/>
        <w:ind w:left="660" w:right="10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implied funding cost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for all TBA transactions is weighted based on our daily average TBA balance outstanding for the period.</w:t>
      </w:r>
    </w:p>
    <w:p>
      <w:pPr>
        <w:spacing w:after="0" w:line="1" w:lineRule="exact"/>
        <w:rPr>
          <w:rFonts w:ascii="Arial" w:cs="Arial" w:eastAsia="Arial" w:hAnsi="Arial"/>
          <w:sz w:val="14"/>
          <w:szCs w:val="14"/>
          <w:color w:val="auto"/>
        </w:rPr>
      </w:pPr>
    </w:p>
    <w:p>
      <w:pPr>
        <w:ind w:left="660" w:right="22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Interest rate swap cost of funds measured as a percent of average mortgage borrowings outstanding for the period.</w:t>
      </w:r>
    </w:p>
    <w:p>
      <w:pPr>
        <w:spacing w:after="0" w:line="2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principal elements impacting our economic interest expense are (i) the size of our average mortgage borrowings and interest rate swap portfolio outstanding during the period, (ii) the average interest rate (actual or implied) on our mortgage borrowings and (iii) the average net interest rate paid/received on our interest rate swaps. The following is a summary of the estimated impact of these elements on our economic interest expense for the three months ended March 31, 2018, compared to the prior year period (in millions):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 2018 vs.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Due to Change in Average</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Borrowing / Swap</w:t>
            </w:r>
          </w:p>
        </w:tc>
        <w:tc>
          <w:tcPr>
            <w:tcW w:w="128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w w:val="99"/>
              </w:rPr>
              <w:t>Borrowing / Swap</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Rate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vMerge w:val="restart"/>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61"/>
        </w:trPr>
        <w:tc>
          <w:tcPr>
            <w:tcW w:w="6540" w:type="dxa"/>
            <w:vAlign w:val="bottom"/>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12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540" w:type="dxa"/>
            <w:vAlign w:val="bottom"/>
          </w:tcPr>
          <w:p>
            <w:pPr>
              <w:ind w:left="20"/>
              <w:spacing w:after="0"/>
              <w:rPr>
                <w:sz w:val="20"/>
                <w:szCs w:val="20"/>
                <w:color w:val="auto"/>
              </w:rPr>
            </w:pPr>
            <w:r>
              <w:rPr>
                <w:rFonts w:ascii="Arial" w:cs="Arial" w:eastAsia="Arial" w:hAnsi="Arial"/>
                <w:sz w:val="14"/>
                <w:szCs w:val="14"/>
                <w:color w:val="auto"/>
              </w:rPr>
              <w:t>TBA dollar roll income - implied interest expense</w:t>
            </w:r>
          </w:p>
        </w:tc>
        <w:tc>
          <w:tcPr>
            <w:tcW w:w="16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Periodic interest rate swap costs</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43"/>
        </w:trPr>
        <w:tc>
          <w:tcPr>
            <w:tcW w:w="6540" w:type="dxa"/>
            <w:vAlign w:val="bottom"/>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1"/>
                <w:szCs w:val="21"/>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average interest rate on our mortgage borrowings increased for current year periods largely due to increases in the federal funds rate, which were partly offset by the benefit of shifting a larger portion of our total Agency repo funding through our captive broker-dealer subsidiary, Bethesda Securities, LLC ("BES"). The decrease in our periodic swap costs was due to an increase in the floating rate received on our pay-fixed receive-floating interest rate swaps and a smaller swap portfolio relative to our total mortgage borrowings, partly offset by a higher average pay rate.</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presents a summary of the ratio of our average interest rates swaps outstanding, excluding forward starting swaps, to our average mortgage borrowings for the three months ended March 31, 2018 and 2017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Average Ratio of Interest Rate Swaps (Excluding Forward Starting Swaps) to Mortgage Borrowings Outstanding</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56"/>
        </w:trPr>
        <w:tc>
          <w:tcPr>
            <w:tcW w:w="8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Agency repo and other debt outstanding</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49,567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39,203</w:t>
            </w:r>
          </w:p>
        </w:tc>
      </w:tr>
      <w:tr>
        <w:trPr>
          <w:trHeight w:val="264"/>
        </w:trPr>
        <w:tc>
          <w:tcPr>
            <w:tcW w:w="84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Average net TBA portfolio outstanding - at cost</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15,585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13,460</w:t>
            </w:r>
          </w:p>
        </w:tc>
      </w:tr>
      <w:tr>
        <w:trPr>
          <w:trHeight w:val="256"/>
        </w:trPr>
        <w:tc>
          <w:tcPr>
            <w:tcW w:w="8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mortgage borrowings outstanding</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65,152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52,663</w:t>
            </w:r>
          </w:p>
        </w:tc>
      </w:tr>
      <w:tr>
        <w:trPr>
          <w:trHeight w:val="264"/>
        </w:trPr>
        <w:tc>
          <w:tcPr>
            <w:tcW w:w="8420" w:type="dxa"/>
            <w:vAlign w:val="bottom"/>
            <w:gridSpan w:val="2"/>
          </w:tcPr>
          <w:p>
            <w:pPr>
              <w:ind w:left="40"/>
              <w:spacing w:after="0"/>
              <w:rPr>
                <w:sz w:val="20"/>
                <w:szCs w:val="20"/>
                <w:color w:val="auto"/>
              </w:rPr>
            </w:pPr>
            <w:r>
              <w:rPr>
                <w:rFonts w:ascii="Arial" w:cs="Arial" w:eastAsia="Arial" w:hAnsi="Arial"/>
                <w:sz w:val="14"/>
                <w:szCs w:val="14"/>
                <w:color w:val="auto"/>
              </w:rPr>
              <w:t>Average notional amount of interest rate swaps outstanding (excluding forward starting swaps)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41,021</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35,769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420" w:type="dxa"/>
            <w:vAlign w:val="bottom"/>
          </w:tcPr>
          <w:p>
            <w:pPr>
              <w:ind w:left="40"/>
              <w:spacing w:after="0"/>
              <w:rPr>
                <w:sz w:val="20"/>
                <w:szCs w:val="20"/>
                <w:color w:val="auto"/>
              </w:rPr>
            </w:pPr>
            <w:r>
              <w:rPr>
                <w:rFonts w:ascii="Arial" w:cs="Arial" w:eastAsia="Arial" w:hAnsi="Arial"/>
                <w:sz w:val="14"/>
                <w:szCs w:val="14"/>
                <w:color w:val="auto"/>
              </w:rPr>
              <w:t>Ratio of average interest rate swaps to mortgage borrowings outstanding</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63 %</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68 %</w:t>
            </w:r>
          </w:p>
        </w:tc>
      </w:tr>
      <w:tr>
        <w:trPr>
          <w:trHeight w:val="20"/>
        </w:trPr>
        <w:tc>
          <w:tcPr>
            <w:tcW w:w="8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78"/>
        </w:trPr>
        <w:tc>
          <w:tcPr>
            <w:tcW w:w="8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8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Average interest rate swap pay-fixed rate (excluding forward starting swaps)</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1.72 %</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1.49 %</w:t>
            </w:r>
          </w:p>
        </w:tc>
      </w:tr>
      <w:tr>
        <w:trPr>
          <w:trHeight w:val="264"/>
        </w:trPr>
        <w:tc>
          <w:tcPr>
            <w:tcW w:w="8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Average interest rate swap receive-floating rate</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(0.99)%</w:t>
            </w:r>
          </w:p>
        </w:tc>
      </w:tr>
      <w:tr>
        <w:trPr>
          <w:trHeight w:val="243"/>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Average interest rate swap net pay/(receive) rate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0.50 %</w:t>
            </w:r>
          </w:p>
        </w:tc>
      </w:tr>
      <w:tr>
        <w:trPr>
          <w:trHeight w:val="20"/>
        </w:trPr>
        <w:tc>
          <w:tcPr>
            <w:tcW w:w="8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the three months ended March 31, 2018 and 2017, we had an average forward starting swap balance of $3.4 billion and $0.6 billion, respectively. Forward starting interest rate swaps do not impact our economic interest expense and aggregate cost of funds until they commence accruing net interest settlements on their forward start dates. Including forward starting swaps, our average ratio of interest rate swaps outstanding to our average mortgage borrowings for the three months ended March 31, 2018 and 2017 was 68% and 69%,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Net Interest Margin</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presents a summary of our net interest margin (including the impact of TBA dollar roll income and interest rate swap costs and excluding "catch-up" premium amortization) for the three months ended March 31, 2018 and 2017:</w:t>
      </w:r>
    </w:p>
    <w:p>
      <w:pPr>
        <w:spacing w:after="0" w:line="25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w w:val="99"/>
              </w:rPr>
              <w:t>Three Months Ended March</w:t>
            </w:r>
          </w:p>
        </w:tc>
      </w:tr>
      <w:tr>
        <w:trPr>
          <w:trHeight w:val="192"/>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w w:val="81"/>
              </w:rPr>
              <w:t>31,</w:t>
            </w:r>
          </w:p>
        </w:tc>
      </w:tr>
      <w:tr>
        <w:trPr>
          <w:trHeight w:val="264"/>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Investment and TBA Securities - Net Interest Margin</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r>
      <w:tr>
        <w:trPr>
          <w:trHeight w:val="25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asset yield, excluding "catch-up" premium amortization</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2.94 %</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2.74 %</w:t>
            </w:r>
          </w:p>
        </w:tc>
      </w:tr>
      <w:tr>
        <w:trPr>
          <w:trHeight w:val="264"/>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aggregate cost of funds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r>
      <w:tr>
        <w:trPr>
          <w:trHeight w:val="243"/>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net interest margin, excluding "catch-up" premium amortization</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1.26 %</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1.51 %</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presents a summary of our net spread and dollar roll income, excluding estimated "catch-up" premium amortization, per diluted common share (a non-GAAP financial measure) and a reconciliation to our net interest income (the most comparable GAAP financial measure) for the three months ended March 31, 2018 and 2017 (dollars in millions):</w:t>
      </w:r>
    </w:p>
    <w:p>
      <w:pPr>
        <w:spacing w:after="0" w:line="200"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13335</wp:posOffset>
            </wp:positionV>
            <wp:extent cx="12693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87"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7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 (GAAP measure)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64"/>
        </w:trPr>
        <w:tc>
          <w:tcPr>
            <w:tcW w:w="7200" w:type="dxa"/>
            <w:vAlign w:val="bottom"/>
          </w:tcPr>
          <w:p>
            <w:pPr>
              <w:ind w:left="160"/>
              <w:spacing w:after="0"/>
              <w:rPr>
                <w:sz w:val="20"/>
                <w:szCs w:val="20"/>
                <w:color w:val="auto"/>
              </w:rPr>
            </w:pPr>
            <w:r>
              <w:rPr>
                <w:rFonts w:ascii="Arial" w:cs="Arial" w:eastAsia="Arial" w:hAnsi="Arial"/>
                <w:sz w:val="14"/>
                <w:szCs w:val="14"/>
                <w:color w:val="auto"/>
              </w:rPr>
              <w:t xml:space="preserve">TBA dollar roll income, net </w:t>
            </w:r>
            <w:r>
              <w:rPr>
                <w:rFonts w:ascii="Arial" w:cs="Arial" w:eastAsia="Arial" w:hAnsi="Arial"/>
                <w:sz w:val="8"/>
                <w:szCs w:val="8"/>
                <w:color w:val="auto"/>
              </w:rPr>
              <w:t>1</w:t>
            </w:r>
          </w:p>
        </w:tc>
        <w:tc>
          <w:tcPr>
            <w:tcW w:w="2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76"/>
        </w:trPr>
        <w:tc>
          <w:tcPr>
            <w:tcW w:w="7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xml:space="preserve">Periodic interest costs of interest rate swaps, net </w:t>
            </w:r>
            <w:r>
              <w:rPr>
                <w:rFonts w:ascii="Arial" w:cs="Arial" w:eastAsia="Arial" w:hAnsi="Arial"/>
                <w:sz w:val="8"/>
                <w:szCs w:val="8"/>
                <w:color w:val="auto"/>
              </w:rPr>
              <w:t>1</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 xml:space="preserve">Dividend income from REIT equity securities </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and dollar roll income</w:t>
            </w: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64"/>
        </w:trPr>
        <w:tc>
          <w:tcPr>
            <w:tcW w:w="7200" w:type="dxa"/>
            <w:vAlign w:val="bottom"/>
          </w:tcPr>
          <w:p>
            <w:pPr>
              <w:ind w:left="20"/>
              <w:spacing w:after="0"/>
              <w:rPr>
                <w:sz w:val="20"/>
                <w:szCs w:val="20"/>
                <w:color w:val="auto"/>
              </w:rPr>
            </w:pPr>
            <w:r>
              <w:rPr>
                <w:rFonts w:ascii="Arial" w:cs="Arial" w:eastAsia="Arial" w:hAnsi="Arial"/>
                <w:sz w:val="14"/>
                <w:szCs w:val="14"/>
                <w:color w:val="auto"/>
              </w:rPr>
              <w:t>Other operating income (expense):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Management fee income</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Operating expenses</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income (expense), net</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50"/>
        </w:trPr>
        <w:tc>
          <w:tcPr>
            <w:tcW w:w="7200" w:type="dxa"/>
            <w:vAlign w:val="bottom"/>
          </w:tcPr>
          <w:p>
            <w:pPr>
              <w:ind w:left="20"/>
              <w:spacing w:after="0"/>
              <w:rPr>
                <w:sz w:val="20"/>
                <w:szCs w:val="20"/>
                <w:color w:val="auto"/>
              </w:rPr>
            </w:pPr>
            <w:r>
              <w:rPr>
                <w:rFonts w:ascii="Arial" w:cs="Arial" w:eastAsia="Arial" w:hAnsi="Arial"/>
                <w:sz w:val="14"/>
                <w:szCs w:val="14"/>
                <w:color w:val="auto"/>
              </w:rPr>
              <w:t>Net spread and dollar roll income</w:t>
            </w:r>
          </w:p>
        </w:tc>
        <w:tc>
          <w:tcPr>
            <w:tcW w:w="2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70"/>
        </w:trPr>
        <w:tc>
          <w:tcPr>
            <w:tcW w:w="7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on preferred stock</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0"/>
        </w:trPr>
        <w:tc>
          <w:tcPr>
            <w:tcW w:w="7200" w:type="dxa"/>
            <w:vAlign w:val="bottom"/>
          </w:tcPr>
          <w:p>
            <w:pPr>
              <w:ind w:left="20"/>
              <w:spacing w:after="0"/>
              <w:rPr>
                <w:sz w:val="20"/>
                <w:szCs w:val="20"/>
                <w:color w:val="auto"/>
              </w:rPr>
            </w:pPr>
            <w:r>
              <w:rPr>
                <w:rFonts w:ascii="Arial" w:cs="Arial" w:eastAsia="Arial" w:hAnsi="Arial"/>
                <w:sz w:val="14"/>
                <w:szCs w:val="14"/>
                <w:color w:val="auto"/>
              </w:rPr>
              <w:t>Net spread and dollar roll income available to common stockholders (non-GAAP measure)</w:t>
            </w:r>
          </w:p>
        </w:tc>
        <w:tc>
          <w:tcPr>
            <w:tcW w:w="2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76"/>
        </w:trPr>
        <w:tc>
          <w:tcPr>
            <w:tcW w:w="7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Estimated "catch-up" premium amortization (benefit) cost due to change in CPR forecast</w:t>
            </w:r>
          </w:p>
        </w:tc>
        <w:tc>
          <w:tcPr>
            <w:tcW w:w="2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7"/>
        </w:trPr>
        <w:tc>
          <w:tcPr>
            <w:tcW w:w="7200" w:type="dxa"/>
            <w:vAlign w:val="bottom"/>
          </w:tcPr>
          <w:p>
            <w:pPr>
              <w:ind w:left="20"/>
              <w:spacing w:after="0" w:line="137" w:lineRule="exact"/>
              <w:rPr>
                <w:sz w:val="20"/>
                <w:szCs w:val="20"/>
                <w:color w:val="auto"/>
              </w:rPr>
            </w:pPr>
            <w:r>
              <w:rPr>
                <w:rFonts w:ascii="Arial" w:cs="Arial" w:eastAsia="Arial" w:hAnsi="Arial"/>
                <w:sz w:val="14"/>
                <w:szCs w:val="14"/>
                <w:color w:val="auto"/>
                <w:w w:val="97"/>
              </w:rPr>
              <w:t>Net spread and dollar roll income, excluding "catch-up" premium amortization, available to common stockholders (non-</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21"/>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GAAP measure)</w:t>
            </w:r>
          </w:p>
        </w:tc>
        <w:tc>
          <w:tcPr>
            <w:tcW w:w="20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391.3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331.0</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391.5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331.1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0.61</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per common share - diluted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basic</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diluted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8890</wp:posOffset>
            </wp:positionV>
            <wp:extent cx="12693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spread and dollar roll income, excluding "catch-up" premium amortization adjustments, for the three months ended March 31, 2018 decreased $(0.04) per diluted common share, or (6)%, to $0.60 per diluted common share, compared to $0.64 per diluted common share for the prior year period, primarily due to higher funding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Gain (Loss) on Investment Securities,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is a summary of our net gain (loss) on investment securities for the three months ended March 31, 2018 and 2017 (in millions):</w:t>
      </w:r>
    </w:p>
    <w:p>
      <w:pPr>
        <w:spacing w:after="0" w:line="334"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264"/>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Gain (Loss) on Investment Securities, Net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r>
      <w:tr>
        <w:trPr>
          <w:trHeight w:val="25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on sale of investment securities, net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264"/>
        </w:trPr>
        <w:tc>
          <w:tcPr>
            <w:tcW w:w="8280" w:type="dxa"/>
            <w:vAlign w:val="bottom"/>
            <w:gridSpan w:val="2"/>
          </w:tcPr>
          <w:p>
            <w:pPr>
              <w:ind w:left="20"/>
              <w:spacing w:after="0"/>
              <w:rPr>
                <w:sz w:val="20"/>
                <w:szCs w:val="20"/>
                <w:color w:val="auto"/>
              </w:rPr>
            </w:pPr>
            <w:r>
              <w:rPr>
                <w:rFonts w:ascii="Arial" w:cs="Arial" w:eastAsia="Arial" w:hAnsi="Arial"/>
                <w:sz w:val="14"/>
                <w:szCs w:val="14"/>
                <w:color w:val="auto"/>
              </w:rPr>
              <w:t xml:space="preserve">Unrealized gain (loss) on investment securities measured at fair value through net income, net </w:t>
            </w:r>
            <w:r>
              <w:rPr>
                <w:rFonts w:ascii="Arial" w:cs="Arial" w:eastAsia="Arial" w:hAnsi="Arial"/>
                <w:sz w:val="8"/>
                <w:szCs w:val="8"/>
                <w:color w:val="auto"/>
              </w:rPr>
              <w:t>2</w:t>
            </w: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gain (loss) on investment securities measured at fair value through other comprehensive income, net</w:t>
            </w:r>
          </w:p>
        </w:tc>
        <w:tc>
          <w:tcPr>
            <w:tcW w:w="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r>
      <w:tr>
        <w:trPr>
          <w:trHeight w:val="244"/>
        </w:trPr>
        <w:tc>
          <w:tcPr>
            <w:tcW w:w="8280" w:type="dxa"/>
            <w:vAlign w:val="bottom"/>
            <w:gridSpan w:val="2"/>
          </w:tcPr>
          <w:p>
            <w:pPr>
              <w:ind w:left="20"/>
              <w:spacing w:after="0"/>
              <w:rPr>
                <w:sz w:val="20"/>
                <w:szCs w:val="20"/>
                <w:color w:val="auto"/>
              </w:rPr>
            </w:pPr>
            <w:r>
              <w:rPr>
                <w:rFonts w:ascii="Arial" w:cs="Arial" w:eastAsia="Arial" w:hAnsi="Arial"/>
                <w:sz w:val="14"/>
                <w:szCs w:val="14"/>
                <w:color w:val="auto"/>
              </w:rPr>
              <w:t>Total gain (loss) on investment securities, net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(1,146)</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0</wp:posOffset>
            </wp:positionV>
            <wp:extent cx="13722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2235" cy="260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980" w:hanging="648"/>
        <w:spacing w:after="0" w:line="241" w:lineRule="auto"/>
        <w:tabs>
          <w:tab w:leader="none" w:pos="6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exclude gain (loss) on TBA securities, which are reported in gain (loss) on derivative instruments and other securities, net in our Consolidated Statements of Comprehensive Income.</w:t>
      </w: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Investment securities acquired after fiscal year 2016 are measured at fair value through net income (see Note 3 of our Consolidated Financial Statements in this Form 10-Q).</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our gain (loss) on derivative instruments and other securities, net for the three months ended March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(in millions):</w:t>
      </w:r>
    </w:p>
    <w:p>
      <w:pPr>
        <w:spacing w:after="0" w:line="297"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230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68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r>
      <w:tr>
        <w:trPr>
          <w:trHeight w:val="256"/>
        </w:trPr>
        <w:tc>
          <w:tcPr>
            <w:tcW w:w="6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Periodic interest costs of interest rate swaps, net</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258"/>
        </w:trPr>
        <w:tc>
          <w:tcPr>
            <w:tcW w:w="6880" w:type="dxa"/>
            <w:vAlign w:val="bottom"/>
          </w:tcPr>
          <w:p>
            <w:pPr>
              <w:ind w:left="4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68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TBA securities - dollar roll income, net</w:t>
            </w: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r>
      <w:tr>
        <w:trPr>
          <w:trHeight w:val="264"/>
        </w:trPr>
        <w:tc>
          <w:tcPr>
            <w:tcW w:w="6880" w:type="dxa"/>
            <w:vAlign w:val="bottom"/>
          </w:tcPr>
          <w:p>
            <w:pPr>
              <w:ind w:left="1200"/>
              <w:spacing w:after="0"/>
              <w:rPr>
                <w:sz w:val="20"/>
                <w:szCs w:val="20"/>
                <w:color w:val="auto"/>
              </w:rPr>
            </w:pPr>
            <w:r>
              <w:rPr>
                <w:rFonts w:ascii="Arial" w:cs="Arial" w:eastAsia="Arial" w:hAnsi="Arial"/>
                <w:sz w:val="14"/>
                <w:szCs w:val="14"/>
                <w:color w:val="auto"/>
              </w:rPr>
              <w:t>TBA securities - mark-to-market net loss</w:t>
            </w:r>
          </w:p>
        </w:tc>
        <w:tc>
          <w:tcPr>
            <w:tcW w:w="7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7"/>
              </w:rPr>
              <w:t>(432)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76"/>
        </w:trPr>
        <w:tc>
          <w:tcPr>
            <w:tcW w:w="68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Payer swaptions</w:t>
            </w: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6880" w:type="dxa"/>
            <w:vAlign w:val="bottom"/>
          </w:tcPr>
          <w:p>
            <w:pPr>
              <w:ind w:left="1200"/>
              <w:spacing w:after="0"/>
              <w:rPr>
                <w:sz w:val="20"/>
                <w:szCs w:val="20"/>
                <w:color w:val="auto"/>
              </w:rPr>
            </w:pPr>
            <w:r>
              <w:rPr>
                <w:rFonts w:ascii="Arial" w:cs="Arial" w:eastAsia="Arial" w:hAnsi="Arial"/>
                <w:sz w:val="14"/>
                <w:szCs w:val="14"/>
                <w:color w:val="auto"/>
              </w:rPr>
              <w:t>U.S. Treasury securities - long position</w:t>
            </w:r>
          </w:p>
        </w:tc>
        <w:tc>
          <w:tcPr>
            <w:tcW w:w="720" w:type="dxa"/>
            <w:vAlign w:val="bottom"/>
          </w:tcPr>
          <w:p>
            <w:pPr>
              <w:spacing w:after="0"/>
              <w:rPr>
                <w:sz w:val="22"/>
                <w:szCs w:val="22"/>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w:t>
            </w:r>
          </w:p>
        </w:tc>
      </w:tr>
      <w:tr>
        <w:trPr>
          <w:trHeight w:val="276"/>
        </w:trPr>
        <w:tc>
          <w:tcPr>
            <w:tcW w:w="68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U.S. Treasury securities - short position</w:t>
            </w: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r>
      <w:tr>
        <w:trPr>
          <w:trHeight w:val="264"/>
        </w:trPr>
        <w:tc>
          <w:tcPr>
            <w:tcW w:w="6880" w:type="dxa"/>
            <w:vAlign w:val="bottom"/>
          </w:tcPr>
          <w:p>
            <w:pPr>
              <w:ind w:left="1200"/>
              <w:spacing w:after="0"/>
              <w:rPr>
                <w:sz w:val="20"/>
                <w:szCs w:val="20"/>
                <w:color w:val="auto"/>
              </w:rPr>
            </w:pPr>
            <w:r>
              <w:rPr>
                <w:rFonts w:ascii="Arial" w:cs="Arial" w:eastAsia="Arial" w:hAnsi="Arial"/>
                <w:sz w:val="14"/>
                <w:szCs w:val="14"/>
                <w:color w:val="auto"/>
              </w:rPr>
              <w:t>U.S. Treasury futures - short position</w:t>
            </w:r>
          </w:p>
        </w:tc>
        <w:tc>
          <w:tcPr>
            <w:tcW w:w="720" w:type="dxa"/>
            <w:vAlign w:val="bottom"/>
          </w:tcPr>
          <w:p>
            <w:pPr>
              <w:spacing w:after="0"/>
              <w:rPr>
                <w:sz w:val="22"/>
                <w:szCs w:val="22"/>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w:t>
            </w:r>
          </w:p>
        </w:tc>
      </w:tr>
      <w:tr>
        <w:trPr>
          <w:trHeight w:val="276"/>
        </w:trPr>
        <w:tc>
          <w:tcPr>
            <w:tcW w:w="68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Interest rate swaps - termination fees and variation margin settlements, net</w:t>
            </w: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w:t>
            </w:r>
          </w:p>
        </w:tc>
      </w:tr>
      <w:tr>
        <w:trPr>
          <w:trHeight w:val="264"/>
        </w:trPr>
        <w:tc>
          <w:tcPr>
            <w:tcW w:w="6880" w:type="dxa"/>
            <w:vAlign w:val="bottom"/>
          </w:tcPr>
          <w:p>
            <w:pPr>
              <w:ind w:left="1200"/>
              <w:spacing w:after="0"/>
              <w:rPr>
                <w:sz w:val="20"/>
                <w:szCs w:val="20"/>
                <w:color w:val="auto"/>
              </w:rPr>
            </w:pPr>
            <w:r>
              <w:rPr>
                <w:rFonts w:ascii="Arial" w:cs="Arial" w:eastAsia="Arial" w:hAnsi="Arial"/>
                <w:sz w:val="14"/>
                <w:szCs w:val="14"/>
                <w:color w:val="auto"/>
              </w:rPr>
              <w:t>REIT equity securities</w:t>
            </w:r>
          </w:p>
        </w:tc>
        <w:tc>
          <w:tcPr>
            <w:tcW w:w="720" w:type="dxa"/>
            <w:vAlign w:val="bottom"/>
          </w:tcPr>
          <w:p>
            <w:pPr>
              <w:spacing w:after="0"/>
              <w:rPr>
                <w:sz w:val="22"/>
                <w:szCs w:val="22"/>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68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Other</w:t>
            </w:r>
          </w:p>
        </w:tc>
        <w:tc>
          <w:tcPr>
            <w:tcW w:w="7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250"/>
        </w:trPr>
        <w:tc>
          <w:tcPr>
            <w:tcW w:w="6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7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332</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98</w:t>
            </w:r>
          </w:p>
        </w:tc>
      </w:tr>
      <w:tr>
        <w:trPr>
          <w:trHeight w:val="270"/>
        </w:trPr>
        <w:tc>
          <w:tcPr>
            <w:tcW w:w="6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7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64"/>
        </w:trPr>
        <w:tc>
          <w:tcPr>
            <w:tcW w:w="6880" w:type="dxa"/>
            <w:vAlign w:val="bottom"/>
          </w:tcPr>
          <w:p>
            <w:pPr>
              <w:ind w:left="1200"/>
              <w:spacing w:after="0"/>
              <w:rPr>
                <w:sz w:val="20"/>
                <w:szCs w:val="20"/>
                <w:color w:val="auto"/>
              </w:rPr>
            </w:pPr>
            <w:r>
              <w:rPr>
                <w:rFonts w:ascii="Arial" w:cs="Arial" w:eastAsia="Arial" w:hAnsi="Arial"/>
                <w:sz w:val="14"/>
                <w:szCs w:val="14"/>
                <w:color w:val="auto"/>
              </w:rPr>
              <w:t>TBA securities - mark-to-market net gain</w:t>
            </w:r>
          </w:p>
        </w:tc>
        <w:tc>
          <w:tcPr>
            <w:tcW w:w="720" w:type="dxa"/>
            <w:vAlign w:val="bottom"/>
          </w:tcPr>
          <w:p>
            <w:pPr>
              <w:spacing w:after="0"/>
              <w:rPr>
                <w:sz w:val="22"/>
                <w:szCs w:val="22"/>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218</w:t>
            </w:r>
          </w:p>
        </w:tc>
      </w:tr>
      <w:tr>
        <w:trPr>
          <w:trHeight w:val="276"/>
        </w:trPr>
        <w:tc>
          <w:tcPr>
            <w:tcW w:w="68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Interest rate swaps</w:t>
            </w: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264"/>
        </w:trPr>
        <w:tc>
          <w:tcPr>
            <w:tcW w:w="6880" w:type="dxa"/>
            <w:vAlign w:val="bottom"/>
          </w:tcPr>
          <w:p>
            <w:pPr>
              <w:ind w:left="1200"/>
              <w:spacing w:after="0"/>
              <w:rPr>
                <w:sz w:val="20"/>
                <w:szCs w:val="20"/>
                <w:color w:val="auto"/>
              </w:rPr>
            </w:pPr>
            <w:r>
              <w:rPr>
                <w:rFonts w:ascii="Arial" w:cs="Arial" w:eastAsia="Arial" w:hAnsi="Arial"/>
                <w:sz w:val="14"/>
                <w:szCs w:val="14"/>
                <w:color w:val="auto"/>
              </w:rPr>
              <w:t>Payer swaptions</w:t>
            </w:r>
          </w:p>
        </w:tc>
        <w:tc>
          <w:tcPr>
            <w:tcW w:w="720" w:type="dxa"/>
            <w:vAlign w:val="bottom"/>
          </w:tcPr>
          <w:p>
            <w:pPr>
              <w:spacing w:after="0"/>
              <w:rPr>
                <w:sz w:val="22"/>
                <w:szCs w:val="22"/>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76"/>
        </w:trPr>
        <w:tc>
          <w:tcPr>
            <w:tcW w:w="68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U.S. Treasury securities - short position</w:t>
            </w: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264"/>
        </w:trPr>
        <w:tc>
          <w:tcPr>
            <w:tcW w:w="6880" w:type="dxa"/>
            <w:vAlign w:val="bottom"/>
          </w:tcPr>
          <w:p>
            <w:pPr>
              <w:ind w:left="1200"/>
              <w:spacing w:after="0"/>
              <w:rPr>
                <w:sz w:val="20"/>
                <w:szCs w:val="20"/>
                <w:color w:val="auto"/>
              </w:rPr>
            </w:pPr>
            <w:r>
              <w:rPr>
                <w:rFonts w:ascii="Arial" w:cs="Arial" w:eastAsia="Arial" w:hAnsi="Arial"/>
                <w:sz w:val="14"/>
                <w:szCs w:val="14"/>
                <w:color w:val="auto"/>
              </w:rPr>
              <w:t>U.S. Treasury futures - short position</w:t>
            </w:r>
          </w:p>
        </w:tc>
        <w:tc>
          <w:tcPr>
            <w:tcW w:w="7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70"/>
        </w:trPr>
        <w:tc>
          <w:tcPr>
            <w:tcW w:w="68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50"/>
        </w:trPr>
        <w:tc>
          <w:tcPr>
            <w:tcW w:w="6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7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r>
      <w:tr>
        <w:trPr>
          <w:trHeight w:val="243"/>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0"/>
        </w:trPr>
        <w:tc>
          <w:tcPr>
            <w:tcW w:w="6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3 and 6 of our Consolidated Financial Statements in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Taxable Income</w:t>
      </w:r>
    </w:p>
    <w:p>
      <w:pPr>
        <w:spacing w:after="0" w:line="18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For the three months ended March 31, 2018 and 2017, we had estimated taxable income available to common stockholders of $80 million and $30 million (or $0.20 and $0.09 per diluted common share), respectively. Income as determined under GAAP differs from income as determined under tax rules because of both temporary and permanent differences in income and expense recognition. The primary differences are (i) unrealized gains and losses on derivative instruments and other securities marked-to-market in current income for GAAP purposes, but excluded from taxable income until realized or settled, (ii) timing differences, both temporary and potentially permanent, in the recognition of certain realized gains and losses and (iii) temporary differences</w:t>
      </w:r>
    </w:p>
    <w:p>
      <w:pPr>
        <w:sectPr>
          <w:pgSz w:w="11900" w:h="16838" w:orient="portrait"/>
          <w:cols w:equalWidth="0" w:num="1">
            <w:col w:w="11420"/>
          </w:cols>
          <w:pgMar w:left="240" w:top="746"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746" w:right="239" w:bottom="1440" w:gutter="0" w:footer="0" w:header="0"/>
          <w:type w:val="continuous"/>
        </w:sectPr>
      </w:pPr>
    </w:p>
    <w:bookmarkStart w:id="38" w:name="page39"/>
    <w:bookmarkEnd w:id="38"/>
    <w:p>
      <w:pPr>
        <w:jc w:val="both"/>
        <w:spacing w:after="0" w:line="286" w:lineRule="auto"/>
        <w:rPr>
          <w:sz w:val="20"/>
          <w:szCs w:val="20"/>
          <w:color w:val="auto"/>
        </w:rPr>
      </w:pPr>
      <w:r>
        <w:rPr>
          <w:rFonts w:ascii="Arial" w:cs="Arial" w:eastAsia="Arial" w:hAnsi="Arial"/>
          <w:sz w:val="17"/>
          <w:szCs w:val="17"/>
          <w:color w:val="auto"/>
        </w:rPr>
        <w:t>related to the amortization of premiums and discounts on investments. Furthermore, our estimated taxable income is subject to potential adjustments up to the time of filing our appropriate tax returns, which occurs after the end of our fiscal year. The following is a reconciliation of our GAAP net income to our estimated taxable income for the three months ended March 31, 2018 and 2017 (dollars in millions, except per share amounts):</w:t>
      </w:r>
    </w:p>
    <w:p>
      <w:pPr>
        <w:spacing w:after="0" w:line="252"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230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68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r>
      <w:tr>
        <w:trPr>
          <w:trHeight w:val="256"/>
        </w:trPr>
        <w:tc>
          <w:tcPr>
            <w:tcW w:w="6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w:t>
            </w:r>
          </w:p>
        </w:tc>
      </w:tr>
      <w:tr>
        <w:trPr>
          <w:trHeight w:val="264"/>
        </w:trPr>
        <w:tc>
          <w:tcPr>
            <w:tcW w:w="6800" w:type="dxa"/>
            <w:vAlign w:val="bottom"/>
          </w:tcPr>
          <w:p>
            <w:pPr>
              <w:ind w:left="40"/>
              <w:spacing w:after="0"/>
              <w:rPr>
                <w:sz w:val="20"/>
                <w:szCs w:val="20"/>
                <w:color w:val="auto"/>
              </w:rPr>
            </w:pPr>
            <w:r>
              <w:rPr>
                <w:rFonts w:ascii="Arial" w:cs="Arial" w:eastAsia="Arial" w:hAnsi="Arial"/>
                <w:sz w:val="14"/>
                <w:szCs w:val="14"/>
                <w:color w:val="auto"/>
              </w:rPr>
              <w:t>Estimated book to tax differences:</w:t>
            </w: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Premium amortization, net</w:t>
            </w:r>
          </w:p>
        </w:tc>
        <w:tc>
          <w:tcPr>
            <w:tcW w:w="7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6800" w:type="dxa"/>
            <w:vAlign w:val="bottom"/>
          </w:tcPr>
          <w:p>
            <w:pPr>
              <w:ind w:left="180"/>
              <w:spacing w:after="0"/>
              <w:rPr>
                <w:sz w:val="20"/>
                <w:szCs w:val="20"/>
                <w:color w:val="auto"/>
              </w:rPr>
            </w:pPr>
            <w:r>
              <w:rPr>
                <w:rFonts w:ascii="Arial" w:cs="Arial" w:eastAsia="Arial" w:hAnsi="Arial"/>
                <w:sz w:val="14"/>
                <w:szCs w:val="14"/>
                <w:color w:val="auto"/>
              </w:rPr>
              <w:t>Realized gain/loss, net</w:t>
            </w:r>
          </w:p>
        </w:tc>
        <w:tc>
          <w:tcPr>
            <w:tcW w:w="7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(379)</w:t>
            </w:r>
          </w:p>
        </w:tc>
      </w:tr>
      <w:tr>
        <w:trPr>
          <w:trHeight w:val="27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capital loss/(utilization of net capital loss carryforward)</w:t>
            </w:r>
          </w:p>
        </w:tc>
        <w:tc>
          <w:tcPr>
            <w:tcW w:w="7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w:t>
            </w:r>
          </w:p>
        </w:tc>
      </w:tr>
      <w:tr>
        <w:trPr>
          <w:trHeight w:val="264"/>
        </w:trPr>
        <w:tc>
          <w:tcPr>
            <w:tcW w:w="6800" w:type="dxa"/>
            <w:vAlign w:val="bottom"/>
          </w:tcPr>
          <w:p>
            <w:pPr>
              <w:ind w:left="180"/>
              <w:spacing w:after="0"/>
              <w:rPr>
                <w:sz w:val="20"/>
                <w:szCs w:val="20"/>
                <w:color w:val="auto"/>
              </w:rPr>
            </w:pPr>
            <w:r>
              <w:rPr>
                <w:rFonts w:ascii="Arial" w:cs="Arial" w:eastAsia="Arial" w:hAnsi="Arial"/>
                <w:sz w:val="14"/>
                <w:szCs w:val="14"/>
                <w:color w:val="auto"/>
              </w:rPr>
              <w:t>Unrealized gain/loss, net</w:t>
            </w:r>
          </w:p>
        </w:tc>
        <w:tc>
          <w:tcPr>
            <w:tcW w:w="700" w:type="dxa"/>
            <w:vAlign w:val="bottom"/>
          </w:tcPr>
          <w:p>
            <w:pPr>
              <w:spacing w:after="0"/>
              <w:rPr>
                <w:sz w:val="22"/>
                <w:szCs w:val="22"/>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77</w:t>
            </w:r>
          </w:p>
        </w:tc>
      </w:tr>
      <w:tr>
        <w:trPr>
          <w:trHeight w:val="270"/>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7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50"/>
        </w:trPr>
        <w:tc>
          <w:tcPr>
            <w:tcW w:w="680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Total book to tax differences</w:t>
            </w:r>
          </w:p>
        </w:tc>
        <w:tc>
          <w:tcPr>
            <w:tcW w:w="7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256"/>
        </w:trPr>
        <w:tc>
          <w:tcPr>
            <w:tcW w:w="6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Estimated REIT taxable income</w:t>
            </w:r>
          </w:p>
        </w:tc>
        <w:tc>
          <w:tcPr>
            <w:tcW w:w="7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r>
      <w:tr>
        <w:trPr>
          <w:trHeight w:val="264"/>
        </w:trPr>
        <w:tc>
          <w:tcPr>
            <w:tcW w:w="6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Dividend on preferred stock</w:t>
            </w:r>
          </w:p>
        </w:tc>
        <w:tc>
          <w:tcPr>
            <w:tcW w:w="7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r>
      <w:tr>
        <w:trPr>
          <w:trHeight w:val="243"/>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Estimated REIT taxable income available to common stockholders</w:t>
            </w: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r>
      <w:tr>
        <w:trPr>
          <w:trHeight w:val="20"/>
        </w:trPr>
        <w:tc>
          <w:tcPr>
            <w:tcW w:w="68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50"/>
        </w:trPr>
        <w:tc>
          <w:tcPr>
            <w:tcW w:w="6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number of common shares outstanding - basic</w:t>
            </w:r>
          </w:p>
        </w:tc>
        <w:tc>
          <w:tcPr>
            <w:tcW w:w="7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85"/>
              </w:rPr>
              <w:t>391.3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331.0</w:t>
            </w:r>
          </w:p>
        </w:tc>
      </w:tr>
      <w:tr>
        <w:trPr>
          <w:trHeight w:val="21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diluted</w:t>
            </w:r>
          </w:p>
        </w:tc>
        <w:tc>
          <w:tcPr>
            <w:tcW w:w="7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85"/>
              </w:rPr>
              <w:t>391.5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331.1</w:t>
            </w:r>
          </w:p>
        </w:tc>
      </w:tr>
      <w:tr>
        <w:trPr>
          <w:trHeight w:val="20"/>
        </w:trPr>
        <w:tc>
          <w:tcPr>
            <w:tcW w:w="68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50"/>
        </w:trPr>
        <w:tc>
          <w:tcPr>
            <w:tcW w:w="6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Estimated REIT taxable income per common share - basic and diluted</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0.09</w:t>
            </w:r>
          </w:p>
        </w:tc>
      </w:tr>
      <w:tr>
        <w:trPr>
          <w:trHeight w:val="264"/>
        </w:trPr>
        <w:tc>
          <w:tcPr>
            <w:tcW w:w="68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64"/>
        </w:trPr>
        <w:tc>
          <w:tcPr>
            <w:tcW w:w="6800" w:type="dxa"/>
            <w:vAlign w:val="bottom"/>
          </w:tcPr>
          <w:p>
            <w:pPr>
              <w:ind w:left="40"/>
              <w:spacing w:after="0"/>
              <w:rPr>
                <w:sz w:val="20"/>
                <w:szCs w:val="20"/>
                <w:color w:val="auto"/>
              </w:rPr>
            </w:pPr>
            <w:r>
              <w:rPr>
                <w:rFonts w:ascii="Arial" w:cs="Arial" w:eastAsia="Arial" w:hAnsi="Arial"/>
                <w:sz w:val="14"/>
                <w:szCs w:val="14"/>
                <w:color w:val="auto"/>
              </w:rPr>
              <w:t>Beginning cumulative non-deductible net capital loss</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452</w:t>
            </w:r>
          </w:p>
        </w:tc>
      </w:tr>
      <w:tr>
        <w:trPr>
          <w:trHeight w:val="270"/>
        </w:trPr>
        <w:tc>
          <w:tcPr>
            <w:tcW w:w="6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capital loss / (utilization of net capital loss carryforward)</w:t>
            </w:r>
          </w:p>
        </w:tc>
        <w:tc>
          <w:tcPr>
            <w:tcW w:w="7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276</w:t>
            </w:r>
          </w:p>
        </w:tc>
      </w:tr>
      <w:tr>
        <w:trPr>
          <w:trHeight w:val="250"/>
        </w:trPr>
        <w:tc>
          <w:tcPr>
            <w:tcW w:w="6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Ending cumulative non-deductible net capital loss </w:t>
            </w:r>
            <w:r>
              <w:rPr>
                <w:rFonts w:ascii="Arial" w:cs="Arial" w:eastAsia="Arial" w:hAnsi="Arial"/>
                <w:sz w:val="8"/>
                <w:szCs w:val="8"/>
                <w:color w:val="auto"/>
              </w:rPr>
              <w:t>1</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728</w:t>
            </w:r>
          </w:p>
        </w:tc>
      </w:tr>
      <w:tr>
        <w:trPr>
          <w:trHeight w:val="243"/>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Ending cumulative non-deductible net capital loss per ending common share</w:t>
            </w: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8890</wp:posOffset>
            </wp:positionV>
            <wp:extent cx="14579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1"/>
          <w:szCs w:val="11"/>
          <w:color w:val="auto"/>
        </w:rPr>
        <w:t>________________________________</w:t>
      </w:r>
    </w:p>
    <w:p>
      <w:pPr>
        <w:ind w:left="980" w:hanging="648"/>
        <w:spacing w:after="0" w:line="255" w:lineRule="auto"/>
        <w:tabs>
          <w:tab w:leader="none" w:pos="6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Capital losses in excess of capital gains are not deductible from ordinary taxable income, but may be carried forward for up to five years and applied against future net capital gains. As of March 31, 2018, $0.4 B and $0.2 B of net capital losses were available through 2018 and 2023, respectively.</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dividends declared during the three months ended March 31, 2018 and 2017:</w:t>
      </w:r>
    </w:p>
    <w:p>
      <w:pPr>
        <w:spacing w:after="0" w:line="347"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gridSpan w:val="5"/>
          </w:tcPr>
          <w:p>
            <w:pPr>
              <w:ind w:left="420"/>
              <w:spacing w:after="0"/>
              <w:rPr>
                <w:sz w:val="20"/>
                <w:szCs w:val="20"/>
                <w:color w:val="auto"/>
              </w:rPr>
            </w:pPr>
            <w:r>
              <w:rPr>
                <w:rFonts w:ascii="Arial" w:cs="Arial" w:eastAsia="Arial" w:hAnsi="Arial"/>
                <w:sz w:val="16"/>
                <w:szCs w:val="16"/>
                <w:b w:val="1"/>
                <w:bCs w:val="1"/>
                <w:color w:val="auto"/>
              </w:rPr>
              <w:t>Dividends Declared per Share</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B Preferred</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Series C Preferred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Series A Preferred</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Stock (Per Depositary</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Stock (Per Depositary</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0"/>
        </w:trPr>
        <w:tc>
          <w:tcPr>
            <w:tcW w:w="410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560" w:type="dxa"/>
            <w:vAlign w:val="bottom"/>
            <w:gridSpan w:val="2"/>
          </w:tcPr>
          <w:p>
            <w:pPr>
              <w:ind w:left="420"/>
              <w:spacing w:after="0"/>
              <w:rPr>
                <w:sz w:val="20"/>
                <w:szCs w:val="20"/>
                <w:color w:val="auto"/>
              </w:rPr>
            </w:pPr>
            <w:r>
              <w:rPr>
                <w:rFonts w:ascii="Arial" w:cs="Arial" w:eastAsia="Arial" w:hAnsi="Arial"/>
                <w:sz w:val="16"/>
                <w:szCs w:val="16"/>
                <w:b w:val="1"/>
                <w:bCs w:val="1"/>
                <w:color w:val="auto"/>
              </w:rPr>
              <w:t>Share)</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Share)</w:t>
            </w:r>
          </w:p>
        </w:tc>
        <w:tc>
          <w:tcPr>
            <w:tcW w:w="1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Common Stock</w:t>
            </w:r>
          </w:p>
        </w:tc>
      </w:tr>
      <w:tr>
        <w:trPr>
          <w:trHeight w:val="33"/>
        </w:trPr>
        <w:tc>
          <w:tcPr>
            <w:tcW w:w="3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0.43750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r>
      <w:tr>
        <w:trPr>
          <w:trHeight w:val="237"/>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March 31, 2017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0.50000</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0.54</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primary sources of funds are borrowings under master repurchase agreements, asset sales, receipts of monthly principal and interest payments on our investment portfolio and equity offerings. We may also enter into TBA contracts to acquire or dispose of Agency RMBS and TBA dollar roll transactions to finance Agency RMBS purchases. Because the level of our borrowings can be adjusted daily, the level of cash and cash equivalents carried on our balance sheet is significantly less important than the potential liquidity available under our borrowing arrangements. Our leverage will vary periodically depending on market conditions and our assessment of risks and returns. We generally would expect our leverage to be within six to twelve times the amount of our tangible stockholders' equity. However, under certain market conditions, we may operate at leverage levels outside of this range for extended periods of time.</w:t>
      </w:r>
    </w:p>
    <w:p>
      <w:pPr>
        <w:spacing w:after="0" w:line="1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We currently expect to distribute 100% of our taxable income so that we are not subject to U.S. Federal and state corporate income taxes. Our REIT distribution requirement of at least 90% of our taxable income limits our ability to retain earnings and thereby replenish or increase capital from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2018 and December 31, 2017, our mortgage borrowings consisted of the following (dollars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8"/>
              </w:rPr>
              <w:t>March 31, 2018</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0"/>
              </w:rPr>
              <w:t>December 31, 2017</w:t>
            </w:r>
          </w:p>
        </w:tc>
        <w:tc>
          <w:tcPr>
            <w:tcW w:w="720" w:type="dxa"/>
            <w:vAlign w:val="bottom"/>
            <w:tcBorders>
              <w:bottom w:val="single" w:sz="8" w:color="auto"/>
            </w:tcBorders>
          </w:tcPr>
          <w:p>
            <w:pPr>
              <w:spacing w:after="0"/>
              <w:rPr>
                <w:sz w:val="16"/>
                <w:szCs w:val="16"/>
                <w:color w:val="auto"/>
              </w:rPr>
            </w:pPr>
          </w:p>
        </w:tc>
      </w:tr>
      <w:tr>
        <w:trPr>
          <w:trHeight w:val="264"/>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Mortgage Borrowings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r>
      <w:tr>
        <w:trPr>
          <w:trHeight w:val="256"/>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Repurchase agreements used to fund Agency RMBS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48,956</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50,296</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264"/>
        </w:trPr>
        <w:tc>
          <w:tcPr>
            <w:tcW w:w="60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Debt of consolidated variable interest entities, at fair value</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56"/>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49,292</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50,653</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64"/>
        </w:trPr>
        <w:tc>
          <w:tcPr>
            <w:tcW w:w="60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TBA position, at cost</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13,529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15,739</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43"/>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mortgage borrowings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62,821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66,392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tangible net book value "at risk" leverage was 8.2x and 8.1x as of March 31, 2018 and December 31, 2017, respectively, measured as the sum of our total mortgage borrowings, net payable / (receivable) for unsettled investment securities divided by the sum of our total stockholders' equity adjusted to exclude goodwill and other intangible assets and investments in REIT securities.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 Agreements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part of our investment strategy, we borrow against our investment portfolio pursuant to master repurchase agreements. We expect that the majority of our borrowings under repurchase agreements will have maturities ranging up to one year, but may have terms ranging up to five years or longer. Borrowings with maturities greater than one year typically have floating rates of interest based on LIBOR plus or minus a fixed spread.</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2018, we had $49.0 billion of repurchase agreements outstanding used to fund acquisitions of investment securities with a weighted average cost of funds of 1.82% and a weighted average remaining days-to-maturity of 109 days, compared $50.3 billion, 1.57% and 116 days, respectively, as of December 31, 2017.</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limit our counterparty exposure, we diversify our funding across multiple counterparties and by counterparty region. As of March 31, 2018, we had master repurchase agreements with 46 financial institutions located throughout North America, Europe and Asia, including counterparties accessed through our wholly-owned captive broker-dealer subsidiary, BES. BES has direct access to bilateral and triparty funding, including the General Collateral Finance Repo service offered by the Fixed Income Clearing Corporation, or "FICC," which provides us greater depth and diversity of funding at favorable terms relative to traditional bilateral repurchase agreement funding. As of March 31, 2018, $18.8 billion of our repurchase agreement funding was sourced through BES.</w:t>
      </w:r>
    </w:p>
    <w:p>
      <w:pPr>
        <w:spacing w:after="0" w:line="13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table below includes a summary of our Agency RMBS repurchase agreement funding by number of repo counterparties and counterparty region as of March 31, 2018. For further details regarding our borrowings under repurchase agreements as of March 31, 2018, please refer to Notes 5 and 7 to our Consolidated Financial Statements in this Form 10-Q.</w:t>
      </w:r>
    </w:p>
    <w:p>
      <w:pPr>
        <w:spacing w:after="0" w:line="267" w:lineRule="exact"/>
        <w:rPr>
          <w:sz w:val="20"/>
          <w:szCs w:val="20"/>
          <w:color w:val="auto"/>
        </w:rPr>
      </w:pPr>
    </w:p>
    <w:tbl>
      <w:tblPr>
        <w:tblLayout w:type="fixed"/>
        <w:tblInd w:w="27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Number of Counter-</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Percent of Agency</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RMBS Repurchase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040" w:type="dxa"/>
            <w:vAlign w:val="bottom"/>
            <w:gridSpan w:val="2"/>
          </w:tcPr>
          <w:p>
            <w:pPr>
              <w:ind w:left="160"/>
              <w:spacing w:after="0"/>
              <w:rPr>
                <w:sz w:val="20"/>
                <w:szCs w:val="20"/>
                <w:color w:val="auto"/>
              </w:rPr>
            </w:pPr>
            <w:r>
              <w:rPr>
                <w:rFonts w:ascii="Arial" w:cs="Arial" w:eastAsia="Arial" w:hAnsi="Arial"/>
                <w:sz w:val="14"/>
                <w:szCs w:val="14"/>
                <w:color w:val="auto"/>
              </w:rPr>
              <w:t>FICC</w:t>
            </w:r>
          </w:p>
        </w:tc>
        <w:tc>
          <w:tcPr>
            <w:tcW w:w="142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35%</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44%</w:t>
            </w:r>
          </w:p>
        </w:tc>
        <w:tc>
          <w:tcPr>
            <w:tcW w:w="0" w:type="dxa"/>
            <w:vAlign w:val="bottom"/>
          </w:tcPr>
          <w:p>
            <w:pPr>
              <w:spacing w:after="0"/>
              <w:rPr>
                <w:sz w:val="1"/>
                <w:szCs w:val="1"/>
                <w:color w:val="auto"/>
              </w:rPr>
            </w:pP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Total North America</w:t>
            </w: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27</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79%</w:t>
            </w:r>
          </w:p>
        </w:tc>
        <w:tc>
          <w:tcPr>
            <w:tcW w:w="0" w:type="dxa"/>
            <w:vAlign w:val="bottom"/>
          </w:tcPr>
          <w:p>
            <w:pPr>
              <w:spacing w:after="0"/>
              <w:rPr>
                <w:sz w:val="1"/>
                <w:szCs w:val="1"/>
                <w:color w:val="auto"/>
              </w:rPr>
            </w:pPr>
          </w:p>
        </w:tc>
      </w:tr>
      <w:tr>
        <w:trPr>
          <w:trHeight w:val="27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Asia</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8%</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6" w:right="239" w:bottom="1440" w:gutter="0" w:footer="0" w:header="0"/>
        </w:sectPr>
      </w:pPr>
    </w:p>
    <w:bookmarkStart w:id="40" w:name="page41"/>
    <w:bookmarkEnd w:id="40"/>
    <w:p>
      <w:pPr>
        <w:jc w:val="both"/>
        <w:spacing w:after="0" w:line="273" w:lineRule="auto"/>
        <w:rPr>
          <w:sz w:val="20"/>
          <w:szCs w:val="20"/>
          <w:color w:val="auto"/>
        </w:rPr>
      </w:pPr>
      <w:r>
        <w:rPr>
          <w:rFonts w:ascii="Arial" w:cs="Arial" w:eastAsia="Arial" w:hAnsi="Arial"/>
          <w:sz w:val="17"/>
          <w:szCs w:val="17"/>
          <w:color w:val="auto"/>
        </w:rPr>
        <w:t>conversely subjects us to counterparty credit risk and limits the amount we can borrow against our investment securities. Our master repurchase agreements do not specify the haircut; rather haircuts are determined on an individual repurchase transaction basis. Throughout the three months ended March 31, 2018, haircuts on our pledged collateral remained stable and, as of March 31, 2018, our weighted average haircut was approximately 4.2% of the value of our collateral, inclusive of collateral funded through BES. As of March 31, 2018, our maximum amount at risk (or the amount of our repurchase liabilities in excess of the value of collateral pledged) with any counterparty related to our repurchase agreements was less than 5% of our tangible stockholders' equity, and our top five repo counterparties represented less than 15% of our tangible stockholders' equity.</w:t>
      </w:r>
    </w:p>
    <w:p>
      <w:pPr>
        <w:spacing w:after="0" w:line="12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may be required to pledge additional assets to our counterparties in the event the estimated fair value of the existing collateral pledged under our agreements declines and our counterparties demand additional collateral (a "margin call"), which may take the form of additional securities or cash. Specifically, margin calls would result from a decline in the fair value of our investment securities securing our repurchase agreements as well as due to prepayments on the mortgages securing such securities. Similarly, if the estimated fair value of our investment securities increases due to changes in interest rates or other factors, counterparties may release collateral back to us. Our repurchase agreements generally provide that the valuations of securities securing our repurchase agreements are to be obtained from a generally recognized source agreed to by the parties. In certain circumstances, however, our lenders have the sole discretion to determine the value of pledged collateral.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1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March 31, 2018, we had met all of our margin requirements and we had unrestricted cash and cash equivalents of $1.0 billion and unpledged securities of approximately $3.5 billion, including securities pledged to us and unpledged interests in our consolidated VIEs, available to meet margin calls on our repurchase agreements and other funding liabilities, derivative instruments and for other corporate purposes.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primary derivative instruments that we use are interest rate swaps, interest rate swaptions, U.S. Treasury securities and U.S. Treasury futures contracts. Please refer to Notes 3 and 6 to our Consolidated Financial Statements in this Form 10-Q for further details regarding our use of derivative instruments.</w:t>
      </w:r>
    </w:p>
    <w:p>
      <w:pPr>
        <w:spacing w:after="0" w:line="10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As with repurchase agreements, our derivative agreements typically require that we pledge/receive collateral to/from our counterparties. Our counterparties, or the central clearing agency, typically have the sole discretion to determine the value of the derivative instruments and the value of the collateral securing such instruments. In the event of a margin call, we must provide additional collateral generally on the same or next business day. We minimize counterparty credit risk associated with our derivative instruments by limiting our counterparties to central clearing exchanges and major financial institutions with acceptable credit ratings and by monitoring positions with individual counterparties. Excluding centrally cleared derivative instruments, as of March 31, 2018, our amount at risk with any counterparty related to our interest rate swap and swaption agreements was less than 1% of our stockholders' equity. In the case of centrally cleared derivative instruments, we could be exposed to credit risk if the central clearing agency or a clearing member defaults on its respective obligation to perform under the contract. However, we believe that the risk is minimal due to the exchanges' initial and daily mark to market margin requirements and clearinghouse guarantee funds and other resources that are available in the event of a clearing member default.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Dollar Roll Transactions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TBA dollar roll transactions represent a form of off-balance sheet financing accounted for as derivative instruments. We may also use TBAs to leverage (or deleverage) our investment portfolio using long (or short) TBA contracts (see Notes 3 and 6 to our Consolidated Financial Statements in this Form 10-Q additional details on of our TBA transactions).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March 31, 2018, we had a net long TBA position with a total market value of $13.6 billion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6"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and a net carrying value of $82 million recognized in derivative assets/(liabilities), at fair value, on our Consolidated Balance Sheets in this Form 10-Q.</w:t>
      </w:r>
    </w:p>
    <w:p>
      <w:pPr>
        <w:spacing w:after="0" w:line="18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TBA dollar roll contracts are also subject to margin requirements governed by the Mortgage-Backed Securities Division ("MBSD") of the FICC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Bethesda Securities Regulatory Capital Requirements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BES is subject to regulations of the securities business that include but are not limited to trade practices, capital structure, recordkeeping and conduct of directors, officers and employees. As a self-clearing registered broker-dealer, BES is required to maintain minimum net regulatory capital as defined by SEC Rule 15c3-1 (the "Rule"). As of March 31, 2018, the minimum net capital required was $0.3 million and BES had excess net capital of $264.1 million. Regulatory capital in excess of the minimum required by the Rule is held to meet levels required by clearing organizations, the clearing bank and other repo counterparties.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maintain a portfolio of highly liquid mortgage-backed securities. We may sell our Agency securities through the TBA market by delivering them into TBA contracts, subject to "good delivery" provisions promulgated by the Securities Industry and Financial Markets Association ("SIFMA"). We may alternatively sell Agency securities that have more unique attributes on a specified basis when such securities trade at a premium over generic TBA securities or if the securities are not otherwise eligible for TBA delivery. Since the TBA market is the second most liquid market (after the U.S. Treasury market), maintaining a significant level of Agency securities eligible for TBA delivery enhances our liquidity profile and provides price support for our TBA eligible securities at or above generic TBA prices. As of March 31, 2018, approximately 90% of our fixed rate Agency RMBS portfolio was eligible for TBA delivery.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To the extent we raise additional equity capital we may use cash proceeds from such transactions to purchase additional investment securities, make scheduled payments of principal and interest on our funding liabilities and/or for other general corporate purposes. There can be no assurance, however, that we will be able to raise additional equity capital at any particular time or on any particular terms. Furthermore, when the trading price of our common stock is significantly less than our estimate of our current tangible net book value per common share, among other conditions, we may repurchase shares of our common stock, subject to the provisions of a stock repurchase program in effect at such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March 31, 2018,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March 31, 2018, we had not guaranteed obligations of unconsolidated entities or entered into a commitment or intent to provide funding to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This document contains forward looking statements within the meaning of the Private Securities Litigation Reform Act of 1995. These forward looking statements are based on estimates, projections, beliefs and assumptions of our management as of the date of this Quarterly Report on Form 10-Q and involve risks and uncertainties in predicting future results and conditions. Our actual performance could differ materially from those projected or anticipated in any forward looking statements due to a variety of factors, including, without limitation, changes in interest rates, the yield curve or prepayment rates; the availability and terms of financing; changes in the market value of our assets; the effectiveness of our risk mitigation strategies; conditions in the market for Agency and other mortgage securities; or legislative or regulatory changes that affect our status as a REIT or our exemption from the Investment Company Act of 1940 or that affect the GSE’s or secondary mortgage market in which we participate. A discussion of risks and uncertainties that could cause actual results to differ from any of our forward looking statements is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6"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 xml:space="preserve">included in our most recent Annual Report on Form 10-K and this document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We caution readers not to place undue reliance on our forward looking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rates are highly sensitive to many factors, including fiscal and monetary policies and domestic and international economic and political considerations, as well as other factors beyond our control. We are subject to interest rate risk in connection with our assets and related financing obligations. Subject to maintaining our qualification as a REIT, we engage in a variety of interest rate management techniques to mitigate the influence of interest rate changes on our net interest income and fluctuations of our net asset value.</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seek to hedge interest rate risk with respect to both the fixed income nature of our assets and short-term, variable rate nature of our financing. In hedging interest rates with respect to our fixed income assets, we attempt to reduce the risk of losses on the value of our investments that may result from changes in interest rates in the broader markets. In utilizing interest rate hedges with respect to our financing, we attempt to improve risk-adjusted returns and, where possible, to obtain a favorable spread between the yield on our assets and the cost of our financing. The principal instruments that we use to hedge our interest rate risk are interest rate swaps, swaptions, U.S. Treasury securities and U.S. Treasury futures contracts.</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margin. The severity of any such decline would depend on our asset, liability and hedge composition at the time, as well as the magnitude and duration of the interest rate increase.</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Changes in the level of interest rates can also affect the rate of mortgage prepayments and the value of our assets. Our hedging techniques are highly complex and are partly based on assumed levels of prepayments of our assets. If prepayments are slower or faster than assumed, the maturity our investments will also differ from our expectations, which could reduce the effectiveness of our hedging strategies and may cause losses on such transactions and adversely affect our cash flow.</w:t>
      </w:r>
    </w:p>
    <w:p>
      <w:pPr>
        <w:spacing w:after="0" w:line="13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Primary measures of an instrument's price sensitivity to interest rate fluctuations are its duration and convexity. Duration measures the estimated percentage change in market value of our assets or our hedge portfolio that would be caused by a parallel change in short and long-term interest rates. The duration of our assets changes with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assets using both a third-party risk management system and market data. We review the duration estimates from the third-party model and may make adjustments based on our judgment to better reflect any unique characteristics and market trading conventions associated with certain types of securities.</w:t>
      </w:r>
    </w:p>
    <w:p>
      <w:pPr>
        <w:spacing w:after="0" w:line="12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table below quantifies the estimated changes in (i) net interest income (including periodic interest costs on our interest rate swaps); (ii) the fair value of our investment portfolio (including derivatives and other securities used for hedging purposes); and (iii) our tangible net book value as of March 31, 2018 and December 31, 2017 should interest rates go up or down by 50 and 100 basis points, assuming instantaneous parallel shifts in the yield curve and including the impact of both duration and convexity. All changes in income and value in the table below are measured as percentage changes from the base interest rate scenario. The base interest rate scenario assumes interest rates and prepayment projections as of March 31, 2018 and December 31, 2017.</w:t>
      </w:r>
    </w:p>
    <w:p>
      <w:pPr>
        <w:spacing w:after="0" w:line="10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 the extent that these estimates or other assumptions do not hold true, which is likely in a period of high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6"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493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103" w:lineRule="exact"/>
        <w:rPr>
          <w:sz w:val="20"/>
          <w:szCs w:val="20"/>
          <w:color w:val="auto"/>
        </w:rPr>
      </w:pPr>
    </w:p>
    <w:tbl>
      <w:tblPr>
        <w:tblLayout w:type="fixed"/>
        <w:tblInd w:w="218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Net Interest</w:t>
            </w: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Portfolio</w:t>
            </w: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Tangible Net</w:t>
            </w:r>
          </w:p>
        </w:tc>
        <w:tc>
          <w:tcPr>
            <w:tcW w:w="0" w:type="dxa"/>
            <w:vAlign w:val="bottom"/>
          </w:tcPr>
          <w:p>
            <w:pPr>
              <w:spacing w:after="0"/>
              <w:rPr>
                <w:sz w:val="1"/>
                <w:szCs w:val="1"/>
                <w:color w:val="auto"/>
              </w:rPr>
            </w:pPr>
          </w:p>
        </w:tc>
      </w:tr>
      <w:tr>
        <w:trPr>
          <w:trHeight w:val="149"/>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00" w:type="dxa"/>
            <w:vAlign w:val="bottom"/>
            <w:vMerge w:val="restart"/>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Market</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Asset</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Income </w:t>
            </w:r>
            <w:r>
              <w:rPr>
                <w:rFonts w:ascii="Arial" w:cs="Arial" w:eastAsia="Arial" w:hAnsi="Arial"/>
                <w:sz w:val="8"/>
                <w:szCs w:val="8"/>
                <w:b w:val="1"/>
                <w:bCs w:val="1"/>
                <w:color w:val="auto"/>
                <w:w w:val="94"/>
              </w:rPr>
              <w:t>2</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3,4</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3,5</w:t>
            </w: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March 31, 2018</w:t>
            </w: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-7.1%</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-0.1%</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-2.8%</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+0.7%</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-0.4%</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-3.9%</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+1.6%</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0" w:type="dxa"/>
            <w:vAlign w:val="bottom"/>
          </w:tcPr>
          <w:p>
            <w:pPr>
              <w:spacing w:after="0"/>
              <w:rPr>
                <w:sz w:val="1"/>
                <w:szCs w:val="1"/>
                <w:color w:val="auto"/>
              </w:rPr>
            </w:pPr>
          </w:p>
        </w:tc>
      </w:tr>
      <w:tr>
        <w:trPr>
          <w:trHeight w:val="324"/>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-10.4%</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-1.0%</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-9.1%</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-3.9%</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-1.9%</w:t>
            </w:r>
          </w:p>
        </w:tc>
        <w:tc>
          <w:tcPr>
            <w:tcW w:w="0" w:type="dxa"/>
            <w:vAlign w:val="bottom"/>
          </w:tcPr>
          <w:p>
            <w:pPr>
              <w:spacing w:after="0"/>
              <w:rPr>
                <w:sz w:val="1"/>
                <w:szCs w:val="1"/>
                <w:color w:val="auto"/>
              </w:rPr>
            </w:pPr>
          </w:p>
        </w:tc>
      </w:tr>
      <w:tr>
        <w:trPr>
          <w:trHeight w:val="258"/>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+0.4%</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-0.2%</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270"/>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+0.2%</w:t>
            </w:r>
          </w:p>
        </w:tc>
        <w:tc>
          <w:tcPr>
            <w:tcW w:w="1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-0.7%</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-163195</wp:posOffset>
            </wp:positionV>
            <wp:extent cx="449389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93895"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41"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Interest rate sensitivity is derived from models that are dependent on inputs and assumptions provided by third parties, assumes there are no changes in mortgage spreads and assumes a static portfolio. Actual results could differ materially from these estimates.</w:t>
      </w:r>
    </w:p>
    <w:p>
      <w:pPr>
        <w:jc w:val="both"/>
        <w:ind w:left="660" w:hanging="328"/>
        <w:spacing w:after="0" w:line="241"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estimated dollar change in net interest income expressed as a percent of net interest income based on asset yields and cost of funds as of such date. It includes the effect of periodic interest costs on our interest rate swaps, but excludes costs associated with our forward starting swaps and other supplemental hedges, such as swaptions and U.S. Treasury securities. Amounts also exclude costs associated with our TBA position and TBA dollar roll income/loss, which are accounted for as derivative instruments in accordance with GAAP. Base case scenario assumes interest rates and forecasted CPR of 7.6% and 8.4% as of March 31, 2018 and December 31, 2017, respectively. As of March 31, 2018, rate shock scenarios assume a forecasted CPR of 10%, 8%, 7% and 6% for the -100, -50, +50 and +100 basis points scenarios, respectively. As of December 31, 2017, rate shock scenarios assume a forecasted CPR of 13%, 10%, 7% and 7% for such scenarios, respectively. Estimated dollar change in net interest income does not include the impact of retroactive "catch-up" premium amortization adjustments due to changes in our forecasted CPR.</w:t>
      </w:r>
    </w:p>
    <w:p>
      <w:pPr>
        <w:spacing w:after="0" w:line="2" w:lineRule="exact"/>
        <w:rPr>
          <w:rFonts w:ascii="Arial" w:cs="Arial" w:eastAsia="Arial" w:hAnsi="Arial"/>
          <w:sz w:val="14"/>
          <w:szCs w:val="14"/>
          <w:color w:val="auto"/>
        </w:rPr>
      </w:pP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Estimated dollar change in portfolio value expressed as a percent of tangible stockholders' equity, net of the aggregate preferred stock liquidation preference, as of such date.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Prepayment risk is the risk that our assets will be repaid at a faster rate than anticipated. Interest rates and numerous other factors affect the rate of prepayments, including housing prices, general economic conditions, loan age, size and loan-to-value ratios, and the pace of GSE buyouts of delinquent loans underlying our securities among other factors. Generally, prepayments increase during periods of falling mortgage interest rates and decrease during periods of rising mortgage interest rates. However, this may not always be the case.</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Extension risk is the risk that our assets will be repaid at a slower rate than anticipated and generally increases when interest rates rise. In which case, we may have to finance our investments at potentially higher costs without the ability to reinvest principal into higher yielding securities because borrowers prepay their mortgages at a slower pace than originally expected, adversely impacting our net interest margin, and thus our net interest income.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Spread risk is the risk that the market spread between the yield on our assets and the yield on benchmark interest rates linked to our interest rate hedges, such as U.S. Treasury rates and interest rate swap rates, may vary. The inherent spread risk associated with our investment securities and the resulting fluctuations in fair value of these securities can occur independent of interest rates and may relate to other factors impacting the mortgage and fixed income markets, such as actual or anticipated monetary policy actions by the Fed, liquidity, or changes in required rates of return on different assets. Our strategies are generally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19" w:right="239" w:bottom="1440" w:gutter="0" w:footer="0" w:header="0"/>
        </w:sectPr>
      </w:pPr>
    </w:p>
    <w:bookmarkStart w:id="44" w:name="page45"/>
    <w:bookmarkEnd w:id="44"/>
    <w:p>
      <w:pPr>
        <w:jc w:val="both"/>
        <w:spacing w:after="0" w:line="308" w:lineRule="auto"/>
        <w:rPr>
          <w:sz w:val="20"/>
          <w:szCs w:val="20"/>
          <w:color w:val="auto"/>
        </w:rPr>
      </w:pPr>
      <w:r>
        <w:rPr>
          <w:rFonts w:ascii="Arial" w:cs="Arial" w:eastAsia="Arial" w:hAnsi="Arial"/>
          <w:sz w:val="17"/>
          <w:szCs w:val="17"/>
          <w:color w:val="auto"/>
        </w:rPr>
        <w:t>not specifically designed to protect against spread risk, thus while we use interest rate swaps and other hedges to attempt to protect against moves in interest rates, our hedges will typically not protect our net book value against spread risk and our tangible net book value could decline if spreads widen.</w:t>
      </w:r>
    </w:p>
    <w:p>
      <w:pPr>
        <w:spacing w:after="0" w:line="93"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table below quantifies the estimated changes in the fair value of our assets, net of hedges, and our tangible net book value as of March 31, 2018 and December 31, 2017 should spreads widen or tighten by 10 and 25 basis points. The estimated impact of changes in spreads is in addition to our interest rate shock sensitivity included in the interest rate shock table above. The table below assumes a spread duration of 5.7 and 5.3 years as of March 31, 2018 and December 31, 2017, respectively, based on interest rates and prices as of such dates. However, our portfolio's sensitivity of mortgage spread changes will vary with changes in interest rates and in the size and composition of our portfolio. Therefore, actual results could differ materially from our estimates.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23495</wp:posOffset>
            </wp:positionV>
            <wp:extent cx="37306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103" w:lineRule="exact"/>
        <w:rPr>
          <w:sz w:val="20"/>
          <w:szCs w:val="20"/>
          <w:color w:val="auto"/>
        </w:rPr>
      </w:pPr>
    </w:p>
    <w:tbl>
      <w:tblPr>
        <w:tblLayout w:type="fixed"/>
        <w:tblInd w:w="278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Portfolio</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Tangible Net Asset</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Market</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2,3</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2,4</w:t>
            </w: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March 31, 2018</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+1.4%</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+13.4%</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+5.4%</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-0.6%</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-5.4%</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-13.4%</w:t>
            </w: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+12.6%</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+5.0%</w:t>
            </w:r>
          </w:p>
        </w:tc>
        <w:tc>
          <w:tcPr>
            <w:tcW w:w="0" w:type="dxa"/>
            <w:vAlign w:val="bottom"/>
          </w:tcPr>
          <w:p>
            <w:pPr>
              <w:spacing w:after="0"/>
              <w:rPr>
                <w:sz w:val="1"/>
                <w:szCs w:val="1"/>
                <w:color w:val="auto"/>
              </w:rPr>
            </w:pPr>
          </w:p>
        </w:tc>
      </w:tr>
      <w:tr>
        <w:trPr>
          <w:trHeight w:val="258"/>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270"/>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-163195</wp:posOffset>
            </wp:positionV>
            <wp:extent cx="37306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30625"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Estimated dollar change in portfolio value expressed as a percent of tangible stockholders' equity, net of the aggregate preferred stock liquidation preference, as of such date.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liquidity risk principally arises from financing long-term fixed rate assets with shorter-term variable rate borrowings. As of March 31, 2018, we had unrestricted cash and cash equivalents of $1.0 billion and unpledged securities of approximately $3.5 billion available to meet margin calls on our funding liabilities and derivative contracts and for other corporate purposes. However, should the value of our collateral or the value of our derivative instruments suddenly 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even force us to sell assets, especially if correlated with asset price declines or faster prepayment rates on our assets.</w:t>
      </w:r>
    </w:p>
    <w:p>
      <w:pPr>
        <w:spacing w:after="0" w:line="1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we often utilize TBA dollar roll transactions to invest in and finance Agency RMBS. Under certain conditions it may be uneconomical to roll our TBA dollar roll transactions beyond the next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Credit risk is the risk that we may not receive full repayment of principal, interest or other remuneration related to credit sensitive instruments. Investments in CRT and non-Agency securities expose us to credit risk. We are also exposed to credit risk in the event our derivative counterparties do not perform under the terms of our derivative agreements or in the event our repurchase agreement counterparties default on their obligations to resell the underlying collateral back to us at the end of the repo term.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6" w:right="239" w:bottom="1440" w:gutter="0" w:footer="0" w:header="0"/>
        </w:sectPr>
      </w:pPr>
    </w:p>
    <w:bookmarkStart w:id="45" w:name="page46"/>
    <w:bookmarkEnd w:id="45"/>
    <w:p>
      <w:pPr>
        <w:jc w:val="both"/>
        <w:ind w:firstLine="432"/>
        <w:spacing w:after="0" w:line="291" w:lineRule="auto"/>
        <w:rPr>
          <w:sz w:val="20"/>
          <w:szCs w:val="20"/>
          <w:color w:val="auto"/>
        </w:rPr>
      </w:pPr>
      <w:r>
        <w:rPr>
          <w:rFonts w:ascii="Arial" w:cs="Arial" w:eastAsia="Arial" w:hAnsi="Arial"/>
          <w:sz w:val="16"/>
          <w:szCs w:val="16"/>
          <w:color w:val="auto"/>
        </w:rPr>
        <w:t>We accept credit exposure related to our credit sensitive assets at levels we deem to be prudent within the context of our overall investment strategy. We attempt to manage this risk through prudent asset selection, pre-acquisition due diligence, post-acquisition performance monitoring, and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and monitoring concentration levels with any one counterparty. We also monitor and adjust the amount of collateral pledged based on changes in market value.</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is no guarantee that our efforts to manage credit risk will be successful and we could suffer losses if credit performance is worse than our expectations or our counterparties default on their obligations. As of March 31, 2018, our amount at risk with any counterparty related to our repurchase agreements was less than 5% of our tangible stockholders' equity and our maximum amount at risk with any counterparty related to our interest rate swap and swaption agreements, excluding centrally cleared swaps, was less than 1% of our stockholders' equity.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March 31, 2018. Based on the foregoing, our Chief Executive Officer and Chief Financial Officer concluded that our disclosure controls and procedures were effective.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AGNC is named as a nominal defendant in three stockholder derivative lawsuits filed against the Company and certain of our current and former directors and officers. There have been no material changes to such matters previously disclosed in our Annual Report on Form 10-K for the year ended December 31, 2017. We believe the claims in these lawsuits lack merit, and we expect that the defendants will vigorously defend them. See also "Loss Contingencies" in Note 3 to our Consolidated Financial Statements included in this Form 10-Q.</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There have been no material changes to the risk factors previously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 Index</w:t>
      </w:r>
    </w:p>
    <w:p>
      <w:pPr>
        <w:spacing w:after="0" w:line="32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p>
      <w:pPr>
        <w:ind w:left="1020"/>
        <w:spacing w:after="0"/>
        <w:rPr>
          <w:rFonts w:ascii="Arial" w:cs="Arial" w:eastAsia="Arial" w:hAnsi="Arial"/>
          <w:sz w:val="18"/>
          <w:szCs w:val="18"/>
          <w:color w:val="auto"/>
        </w:rPr>
      </w:pPr>
      <w:hyperlink w:anchor="page50">
        <w:r>
          <w:rPr>
            <w:rFonts w:ascii="Arial" w:cs="Arial" w:eastAsia="Arial" w:hAnsi="Arial"/>
            <w:sz w:val="18"/>
            <w:szCs w:val="18"/>
            <w:color w:val="auto"/>
          </w:rPr>
          <w:t>3.1 AGNC Investment Corp. Amended and Restated Certificate of Incorporation, as amended, filed herewith.</w:t>
        </w:r>
      </w:hyperlink>
    </w:p>
    <w:p>
      <w:pPr>
        <w:spacing w:after="0" w:line="185" w:lineRule="exact"/>
        <w:rPr>
          <w:sz w:val="20"/>
          <w:szCs w:val="20"/>
          <w:color w:val="auto"/>
        </w:rPr>
      </w:pPr>
    </w:p>
    <w:p>
      <w:pPr>
        <w:ind w:left="1300" w:right="140" w:hanging="368"/>
        <w:spacing w:after="0" w:line="277" w:lineRule="auto"/>
        <w:rPr>
          <w:rFonts w:ascii="Arial" w:cs="Arial" w:eastAsia="Arial" w:hAnsi="Arial"/>
          <w:sz w:val="18"/>
          <w:szCs w:val="18"/>
          <w:color w:val="auto"/>
        </w:rPr>
      </w:pPr>
      <w:hyperlink r:id="rId30">
        <w:r>
          <w:rPr>
            <w:rFonts w:ascii="Arial" w:cs="Arial" w:eastAsia="Arial" w:hAnsi="Arial"/>
            <w:sz w:val="18"/>
            <w:szCs w:val="18"/>
            <w:color w:val="auto"/>
          </w:rPr>
          <w:t>*3.2 AGNC Investment Corp. Third Amended and Restated Bylaws, as amended, incorporated herein by reference to Exhibit 3.2 of Form 10-Q</w:t>
        </w:r>
      </w:hyperlink>
      <w:r>
        <w:rPr>
          <w:rFonts w:ascii="Arial" w:cs="Arial" w:eastAsia="Arial" w:hAnsi="Arial"/>
          <w:sz w:val="18"/>
          <w:szCs w:val="18"/>
          <w:color w:val="auto"/>
        </w:rPr>
        <w:t xml:space="preserve"> </w:t>
      </w:r>
      <w:hyperlink r:id="rId30">
        <w:r>
          <w:rPr>
            <w:rFonts w:ascii="Arial" w:cs="Arial" w:eastAsia="Arial" w:hAnsi="Arial"/>
            <w:sz w:val="18"/>
            <w:szCs w:val="18"/>
            <w:color w:val="auto"/>
          </w:rPr>
          <w:t>for the quarter ended September 30, 2016 (File No. 001-34057), filed November 7, 2016.</w:t>
        </w:r>
      </w:hyperlink>
    </w:p>
    <w:p>
      <w:pPr>
        <w:spacing w:after="0" w:line="130" w:lineRule="exact"/>
        <w:rPr>
          <w:sz w:val="20"/>
          <w:szCs w:val="20"/>
          <w:color w:val="auto"/>
        </w:rPr>
      </w:pPr>
    </w:p>
    <w:p>
      <w:pPr>
        <w:ind w:left="1300" w:right="100" w:hanging="368"/>
        <w:spacing w:after="0" w:line="277" w:lineRule="auto"/>
        <w:rPr>
          <w:rFonts w:ascii="Arial" w:cs="Arial" w:eastAsia="Arial" w:hAnsi="Arial"/>
          <w:sz w:val="18"/>
          <w:szCs w:val="18"/>
          <w:color w:val="auto"/>
        </w:rPr>
      </w:pPr>
      <w:hyperlink r:id="rId31">
        <w:r>
          <w:rPr>
            <w:rFonts w:ascii="Arial" w:cs="Arial" w:eastAsia="Arial" w:hAnsi="Arial"/>
            <w:sz w:val="18"/>
            <w:szCs w:val="18"/>
            <w:color w:val="auto"/>
          </w:rPr>
          <w:t>*3.3 Certificate of Designations of 7.750% Series B Cumulative Redeemable Preferred Stock, incorporated herein by reference to Exhibit 3.4 of</w:t>
        </w:r>
      </w:hyperlink>
      <w:r>
        <w:rPr>
          <w:rFonts w:ascii="Arial" w:cs="Arial" w:eastAsia="Arial" w:hAnsi="Arial"/>
          <w:sz w:val="18"/>
          <w:szCs w:val="18"/>
          <w:color w:val="auto"/>
        </w:rPr>
        <w:t xml:space="preserve"> </w:t>
      </w:r>
      <w:hyperlink r:id="rId31">
        <w:r>
          <w:rPr>
            <w:rFonts w:ascii="Arial" w:cs="Arial" w:eastAsia="Arial" w:hAnsi="Arial"/>
            <w:sz w:val="18"/>
            <w:szCs w:val="18"/>
            <w:color w:val="auto"/>
          </w:rPr>
          <w:t>Form 8-A (File No. 001-34057), filed May 7, 2014.</w:t>
        </w:r>
      </w:hyperlink>
    </w:p>
    <w:p>
      <w:pPr>
        <w:spacing w:after="0" w:line="130" w:lineRule="exact"/>
        <w:rPr>
          <w:sz w:val="20"/>
          <w:szCs w:val="20"/>
          <w:color w:val="auto"/>
        </w:rPr>
      </w:pPr>
    </w:p>
    <w:p>
      <w:pPr>
        <w:ind w:left="1300" w:right="440" w:hanging="368"/>
        <w:spacing w:after="0" w:line="277" w:lineRule="auto"/>
        <w:rPr>
          <w:rFonts w:ascii="Arial" w:cs="Arial" w:eastAsia="Arial" w:hAnsi="Arial"/>
          <w:sz w:val="18"/>
          <w:szCs w:val="18"/>
          <w:color w:val="auto"/>
        </w:rPr>
      </w:pPr>
      <w:hyperlink r:id="rId32">
        <w:r>
          <w:rPr>
            <w:rFonts w:ascii="Arial" w:cs="Arial" w:eastAsia="Arial" w:hAnsi="Arial"/>
            <w:sz w:val="18"/>
            <w:szCs w:val="18"/>
            <w:color w:val="auto"/>
          </w:rPr>
          <w:t>*3.4 Certificate of Designations of 7.00% Series C Fixed-to-Floating Rate Cumulative Redeemable Preferred Stock, incorporated herein by</w:t>
        </w:r>
      </w:hyperlink>
      <w:r>
        <w:rPr>
          <w:rFonts w:ascii="Arial" w:cs="Arial" w:eastAsia="Arial" w:hAnsi="Arial"/>
          <w:sz w:val="18"/>
          <w:szCs w:val="18"/>
          <w:color w:val="auto"/>
        </w:rPr>
        <w:t xml:space="preserve"> </w:t>
      </w:r>
      <w:hyperlink r:id="rId32">
        <w:r>
          <w:rPr>
            <w:rFonts w:ascii="Arial" w:cs="Arial" w:eastAsia="Arial" w:hAnsi="Arial"/>
            <w:sz w:val="18"/>
            <w:szCs w:val="18"/>
            <w:color w:val="auto"/>
          </w:rPr>
          <w:t>reference to Exhibit 3.5 of Form 8-A (File No. 001-34057), filed August 18, 2017.</w:t>
        </w:r>
      </w:hyperlink>
    </w:p>
    <w:p>
      <w:pPr>
        <w:spacing w:after="0" w:line="130" w:lineRule="exact"/>
        <w:rPr>
          <w:sz w:val="20"/>
          <w:szCs w:val="20"/>
          <w:color w:val="auto"/>
        </w:rPr>
      </w:pPr>
    </w:p>
    <w:p>
      <w:pPr>
        <w:ind w:left="1300" w:right="180" w:hanging="368"/>
        <w:spacing w:after="0" w:line="277" w:lineRule="auto"/>
        <w:rPr>
          <w:rFonts w:ascii="Arial" w:cs="Arial" w:eastAsia="Arial" w:hAnsi="Arial"/>
          <w:sz w:val="18"/>
          <w:szCs w:val="18"/>
          <w:color w:val="auto"/>
        </w:rPr>
      </w:pPr>
      <w:hyperlink r:id="rId33">
        <w:r>
          <w:rPr>
            <w:rFonts w:ascii="Arial" w:cs="Arial" w:eastAsia="Arial" w:hAnsi="Arial"/>
            <w:sz w:val="18"/>
            <w:szCs w:val="18"/>
            <w:color w:val="auto"/>
          </w:rPr>
          <w:t>*3.5 Certificate of Elimination of 8.000% Series A Cumulative Redeemable Preferred Stock, incorporated herein by reference to Exhibit 3.1 of</w:t>
        </w:r>
      </w:hyperlink>
      <w:r>
        <w:rPr>
          <w:rFonts w:ascii="Arial" w:cs="Arial" w:eastAsia="Arial" w:hAnsi="Arial"/>
          <w:sz w:val="18"/>
          <w:szCs w:val="18"/>
          <w:color w:val="auto"/>
        </w:rPr>
        <w:t xml:space="preserve"> </w:t>
      </w:r>
      <w:hyperlink r:id="rId33">
        <w:r>
          <w:rPr>
            <w:rFonts w:ascii="Arial" w:cs="Arial" w:eastAsia="Arial" w:hAnsi="Arial"/>
            <w:sz w:val="18"/>
            <w:szCs w:val="18"/>
            <w:color w:val="auto"/>
          </w:rPr>
          <w:t>Form 8-K (File No 001-34057), filed October 26, 2017.</w:t>
        </w:r>
      </w:hyperlink>
    </w:p>
    <w:p>
      <w:pPr>
        <w:spacing w:after="0" w:line="130" w:lineRule="exact"/>
        <w:rPr>
          <w:sz w:val="20"/>
          <w:szCs w:val="20"/>
          <w:color w:val="auto"/>
        </w:rPr>
      </w:pPr>
    </w:p>
    <w:p>
      <w:pPr>
        <w:ind w:left="1300" w:right="360" w:hanging="368"/>
        <w:spacing w:after="0" w:line="264" w:lineRule="auto"/>
        <w:rPr>
          <w:rFonts w:ascii="Arial" w:cs="Arial" w:eastAsia="Arial" w:hAnsi="Arial"/>
          <w:sz w:val="18"/>
          <w:szCs w:val="18"/>
          <w:color w:val="auto"/>
        </w:rPr>
      </w:pPr>
      <w:hyperlink r:id="rId34">
        <w:r>
          <w:rPr>
            <w:rFonts w:ascii="Arial" w:cs="Arial" w:eastAsia="Arial" w:hAnsi="Arial"/>
            <w:sz w:val="18"/>
            <w:szCs w:val="18"/>
            <w:color w:val="auto"/>
          </w:rPr>
          <w:t>*4.1 Instruments defining the rights of holders of securities: See Article IV of our Amended and Restated Certificate of Incorporation, as</w:t>
        </w:r>
      </w:hyperlink>
      <w:r>
        <w:rPr>
          <w:rFonts w:ascii="Arial" w:cs="Arial" w:eastAsia="Arial" w:hAnsi="Arial"/>
          <w:sz w:val="18"/>
          <w:szCs w:val="18"/>
          <w:color w:val="auto"/>
        </w:rPr>
        <w:t xml:space="preserve"> </w:t>
      </w:r>
      <w:hyperlink r:id="rId34">
        <w:r>
          <w:rPr>
            <w:rFonts w:ascii="Arial" w:cs="Arial" w:eastAsia="Arial" w:hAnsi="Arial"/>
            <w:sz w:val="18"/>
            <w:szCs w:val="18"/>
            <w:color w:val="auto"/>
          </w:rPr>
          <w:t>amended, incorporated herein by reference to Exhibit 3.1 of Form 10-Q for the quarter ended September 30, 2016 (File No. 001-34057)</w:t>
        </w:r>
      </w:hyperlink>
      <w:r>
        <w:rPr>
          <w:rFonts w:ascii="Arial" w:cs="Arial" w:eastAsia="Arial" w:hAnsi="Arial"/>
          <w:sz w:val="18"/>
          <w:szCs w:val="18"/>
          <w:color w:val="auto"/>
        </w:rPr>
        <w:t xml:space="preserve"> </w:t>
      </w:r>
      <w:hyperlink r:id="rId34">
        <w:r>
          <w:rPr>
            <w:rFonts w:ascii="Arial" w:cs="Arial" w:eastAsia="Arial" w:hAnsi="Arial"/>
            <w:sz w:val="18"/>
            <w:szCs w:val="18"/>
            <w:color w:val="auto"/>
          </w:rPr>
          <w:t>filed November 7, 2016.</w:t>
        </w:r>
      </w:hyperlink>
    </w:p>
    <w:p>
      <w:pPr>
        <w:spacing w:after="0" w:line="141" w:lineRule="exact"/>
        <w:rPr>
          <w:rFonts w:ascii="Arial" w:cs="Arial" w:eastAsia="Arial" w:hAnsi="Arial"/>
          <w:sz w:val="18"/>
          <w:szCs w:val="18"/>
          <w:color w:val="auto"/>
        </w:rPr>
      </w:pPr>
    </w:p>
    <w:p>
      <w:pPr>
        <w:ind w:left="1300" w:right="720" w:hanging="368"/>
        <w:spacing w:after="0" w:line="264" w:lineRule="auto"/>
        <w:rPr>
          <w:rFonts w:ascii="Arial" w:cs="Arial" w:eastAsia="Arial" w:hAnsi="Arial"/>
          <w:sz w:val="18"/>
          <w:szCs w:val="18"/>
          <w:color w:val="auto"/>
        </w:rPr>
      </w:pPr>
      <w:hyperlink r:id="rId30">
        <w:r>
          <w:rPr>
            <w:rFonts w:ascii="Arial" w:cs="Arial" w:eastAsia="Arial" w:hAnsi="Arial"/>
            <w:sz w:val="18"/>
            <w:szCs w:val="18"/>
            <w:color w:val="auto"/>
          </w:rPr>
          <w:t>*4.2 Instruments defining the rights of holders of securities: See Article VI of our Third Amended and Restated Bylaws, as amended,</w:t>
        </w:r>
      </w:hyperlink>
      <w:r>
        <w:rPr>
          <w:rFonts w:ascii="Arial" w:cs="Arial" w:eastAsia="Arial" w:hAnsi="Arial"/>
          <w:sz w:val="18"/>
          <w:szCs w:val="18"/>
          <w:color w:val="auto"/>
        </w:rPr>
        <w:t xml:space="preserve"> </w:t>
      </w:r>
      <w:hyperlink r:id="rId30">
        <w:r>
          <w:rPr>
            <w:rFonts w:ascii="Arial" w:cs="Arial" w:eastAsia="Arial" w:hAnsi="Arial"/>
            <w:sz w:val="18"/>
            <w:szCs w:val="18"/>
            <w:color w:val="auto"/>
          </w:rPr>
          <w:t>incorporated herein by reference to Exhibit 3.2 of Form 10-Q for the quarter ended September 30, 2016 (File No. 001-34057) filed</w:t>
        </w:r>
      </w:hyperlink>
      <w:r>
        <w:rPr>
          <w:rFonts w:ascii="Arial" w:cs="Arial" w:eastAsia="Arial" w:hAnsi="Arial"/>
          <w:sz w:val="18"/>
          <w:szCs w:val="18"/>
          <w:color w:val="auto"/>
        </w:rPr>
        <w:t xml:space="preserve"> </w:t>
      </w:r>
      <w:hyperlink r:id="rId30">
        <w:r>
          <w:rPr>
            <w:rFonts w:ascii="Arial" w:cs="Arial" w:eastAsia="Arial" w:hAnsi="Arial"/>
            <w:sz w:val="18"/>
            <w:szCs w:val="18"/>
            <w:color w:val="auto"/>
          </w:rPr>
          <w:t>November 7, 2016.</w:t>
        </w:r>
      </w:hyperlink>
    </w:p>
    <w:p>
      <w:pPr>
        <w:spacing w:after="0" w:line="141" w:lineRule="exact"/>
        <w:rPr>
          <w:rFonts w:ascii="Arial" w:cs="Arial" w:eastAsia="Arial" w:hAnsi="Arial"/>
          <w:sz w:val="18"/>
          <w:szCs w:val="18"/>
          <w:color w:val="auto"/>
        </w:rPr>
      </w:pPr>
    </w:p>
    <w:p>
      <w:pPr>
        <w:ind w:left="920"/>
        <w:spacing w:after="0"/>
        <w:rPr>
          <w:rFonts w:ascii="Arial" w:cs="Arial" w:eastAsia="Arial" w:hAnsi="Arial"/>
          <w:sz w:val="16"/>
          <w:szCs w:val="16"/>
          <w:color w:val="auto"/>
        </w:rPr>
      </w:pPr>
      <w:hyperlink r:id="rId35">
        <w:r>
          <w:rPr>
            <w:rFonts w:ascii="Arial" w:cs="Arial" w:eastAsia="Arial" w:hAnsi="Arial"/>
            <w:sz w:val="16"/>
            <w:szCs w:val="16"/>
            <w:color w:val="auto"/>
          </w:rPr>
          <w:t>*4.3 Form of Certificate for Common Stock, incorporated herein by reference to Exhibit 4.3 of Form 10-Q for the quarter ended September 30,</w:t>
        </w:r>
      </w:hyperlink>
    </w:p>
    <w:p>
      <w:pPr>
        <w:spacing w:after="0" w:line="4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hyperlink r:id="rId35">
        <w:r>
          <w:rPr>
            <w:rFonts w:ascii="Arial" w:cs="Arial" w:eastAsia="Arial" w:hAnsi="Arial"/>
            <w:sz w:val="18"/>
            <w:szCs w:val="18"/>
            <w:color w:val="auto"/>
          </w:rPr>
          <w:t>2016 (File No. 001-34057), filed November 7, 2016.</w:t>
        </w:r>
      </w:hyperlink>
    </w:p>
    <w:p>
      <w:pPr>
        <w:spacing w:after="0" w:line="170" w:lineRule="exact"/>
        <w:rPr>
          <w:rFonts w:ascii="Arial" w:cs="Arial" w:eastAsia="Arial" w:hAnsi="Arial"/>
          <w:sz w:val="18"/>
          <w:szCs w:val="18"/>
          <w:color w:val="auto"/>
        </w:rPr>
      </w:pPr>
    </w:p>
    <w:p>
      <w:pPr>
        <w:ind w:left="1300" w:right="80" w:hanging="368"/>
        <w:spacing w:after="0" w:line="277" w:lineRule="auto"/>
        <w:rPr>
          <w:rFonts w:ascii="Arial" w:cs="Arial" w:eastAsia="Arial" w:hAnsi="Arial"/>
          <w:sz w:val="18"/>
          <w:szCs w:val="18"/>
          <w:color w:val="auto"/>
        </w:rPr>
      </w:pPr>
      <w:hyperlink r:id="rId36">
        <w:r>
          <w:rPr>
            <w:rFonts w:ascii="Arial" w:cs="Arial" w:eastAsia="Arial" w:hAnsi="Arial"/>
            <w:sz w:val="18"/>
            <w:szCs w:val="18"/>
            <w:color w:val="auto"/>
          </w:rPr>
          <w:t>*4.4 Specimen 7.750% Series B Cumulative Redeemable Preferred Stock Certificate, incorporated herein by reference to Exhibit 4.1 of Form 8-</w:t>
        </w:r>
      </w:hyperlink>
      <w:hyperlink r:id="rId36">
        <w:r>
          <w:rPr>
            <w:rFonts w:ascii="Arial" w:cs="Arial" w:eastAsia="Arial" w:hAnsi="Arial"/>
            <w:sz w:val="18"/>
            <w:szCs w:val="18"/>
            <w:color w:val="auto"/>
          </w:rPr>
          <w:t>A (File No. 001-34057), filed May 7, 2014.</w:t>
        </w:r>
      </w:hyperlink>
    </w:p>
    <w:p>
      <w:pPr>
        <w:spacing w:after="0" w:line="130" w:lineRule="exact"/>
        <w:rPr>
          <w:sz w:val="20"/>
          <w:szCs w:val="20"/>
          <w:color w:val="auto"/>
        </w:rPr>
      </w:pPr>
    </w:p>
    <w:p>
      <w:pPr>
        <w:ind w:left="1300" w:right="160" w:hanging="368"/>
        <w:spacing w:after="0" w:line="277" w:lineRule="auto"/>
        <w:rPr>
          <w:rFonts w:ascii="Arial" w:cs="Arial" w:eastAsia="Arial" w:hAnsi="Arial"/>
          <w:sz w:val="18"/>
          <w:szCs w:val="18"/>
          <w:color w:val="auto"/>
        </w:rPr>
      </w:pPr>
      <w:hyperlink r:id="rId37">
        <w:r>
          <w:rPr>
            <w:rFonts w:ascii="Arial" w:cs="Arial" w:eastAsia="Arial" w:hAnsi="Arial"/>
            <w:sz w:val="18"/>
            <w:szCs w:val="18"/>
            <w:color w:val="auto"/>
          </w:rPr>
          <w:t>*4.5 Specimen 7.00% Series C Fixed-to-Floating Rate Cumulative Redeemable Preferred Stock Certificate, incorporated herein by reference to</w:t>
        </w:r>
      </w:hyperlink>
      <w:r>
        <w:rPr>
          <w:rFonts w:ascii="Arial" w:cs="Arial" w:eastAsia="Arial" w:hAnsi="Arial"/>
          <w:sz w:val="18"/>
          <w:szCs w:val="18"/>
          <w:color w:val="auto"/>
        </w:rPr>
        <w:t xml:space="preserve"> </w:t>
      </w:r>
      <w:hyperlink r:id="rId37">
        <w:r>
          <w:rPr>
            <w:rFonts w:ascii="Arial" w:cs="Arial" w:eastAsia="Arial" w:hAnsi="Arial"/>
            <w:sz w:val="18"/>
            <w:szCs w:val="18"/>
            <w:color w:val="auto"/>
          </w:rPr>
          <w:t>Exhibit 4.1 of Form 8-A (File No. 001-34057), filed August 18, 2017.</w:t>
        </w:r>
      </w:hyperlink>
    </w:p>
    <w:p>
      <w:pPr>
        <w:sectPr>
          <w:pgSz w:w="11900" w:h="16838" w:orient="portrait"/>
          <w:cols w:equalWidth="0" w:num="1">
            <w:col w:w="11420"/>
          </w:cols>
          <w:pgMar w:left="240" w:top="580"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580" w:right="239" w:bottom="1440" w:gutter="0" w:footer="0" w:header="0"/>
          <w:type w:val="continuous"/>
        </w:sectPr>
      </w:pPr>
    </w:p>
    <w:bookmarkStart w:id="47" w:name="page48"/>
    <w:bookmarkEnd w:id="47"/>
    <w:p>
      <w:pPr>
        <w:jc w:val="both"/>
        <w:ind w:left="1300" w:right="340" w:hanging="368"/>
        <w:spacing w:after="0" w:line="264" w:lineRule="auto"/>
        <w:rPr>
          <w:rFonts w:ascii="Arial" w:cs="Arial" w:eastAsia="Arial" w:hAnsi="Arial"/>
          <w:sz w:val="18"/>
          <w:szCs w:val="18"/>
          <w:color w:val="auto"/>
        </w:rPr>
      </w:pPr>
      <w:hyperlink r:id="rId38">
        <w:r>
          <w:rPr>
            <w:rFonts w:ascii="Arial" w:cs="Arial" w:eastAsia="Arial" w:hAnsi="Arial"/>
            <w:sz w:val="18"/>
            <w:szCs w:val="18"/>
            <w:color w:val="auto"/>
          </w:rPr>
          <w:t>*4.6 Deposit Agreement relating to 7.750% Series B Cumulative Redeemable Preferred Stock, dated May 8, 2014, among American Capital</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Agency Corp., Computershare Inc. and Computershare Trust Company, N.A., jointly as depositary, incorporated herein by reference to</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Exhibit 4.2 of Form 8-K (File No. 001-34057), filed May 8, 2014.</w:t>
        </w:r>
      </w:hyperlink>
    </w:p>
    <w:p>
      <w:pPr>
        <w:spacing w:after="0" w:line="141" w:lineRule="exact"/>
        <w:rPr>
          <w:rFonts w:ascii="Arial" w:cs="Arial" w:eastAsia="Arial" w:hAnsi="Arial"/>
          <w:sz w:val="18"/>
          <w:szCs w:val="18"/>
          <w:color w:val="auto"/>
        </w:rPr>
      </w:pPr>
    </w:p>
    <w:p>
      <w:pPr>
        <w:ind w:left="1300" w:hanging="368"/>
        <w:spacing w:after="0" w:line="308" w:lineRule="auto"/>
        <w:rPr>
          <w:rFonts w:ascii="Arial" w:cs="Arial" w:eastAsia="Arial" w:hAnsi="Arial"/>
          <w:sz w:val="17"/>
          <w:szCs w:val="17"/>
          <w:color w:val="auto"/>
        </w:rPr>
      </w:pPr>
      <w:hyperlink r:id="rId38">
        <w:r>
          <w:rPr>
            <w:rFonts w:ascii="Arial" w:cs="Arial" w:eastAsia="Arial" w:hAnsi="Arial"/>
            <w:sz w:val="17"/>
            <w:szCs w:val="17"/>
            <w:color w:val="auto"/>
          </w:rPr>
          <w:t>*4.7 Form of Depositary Receipt representing 1/1,000th of a share of 7.750% Series B Cumulative Redeemable Preferred Stock (included as part</w:t>
        </w:r>
      </w:hyperlink>
      <w:r>
        <w:rPr>
          <w:rFonts w:ascii="Arial" w:cs="Arial" w:eastAsia="Arial" w:hAnsi="Arial"/>
          <w:sz w:val="17"/>
          <w:szCs w:val="17"/>
          <w:color w:val="auto"/>
        </w:rPr>
        <w:t xml:space="preserve"> </w:t>
      </w:r>
      <w:hyperlink r:id="rId38">
        <w:r>
          <w:rPr>
            <w:rFonts w:ascii="Arial" w:cs="Arial" w:eastAsia="Arial" w:hAnsi="Arial"/>
            <w:sz w:val="17"/>
            <w:szCs w:val="17"/>
            <w:color w:val="auto"/>
          </w:rPr>
          <w:t>of Exhibit 4.6), incorporated herein by reference to Exhibit A of Exhibit 4.2 of Form 8-K (File No. 001-34057), filed May 8, 2014.</w:t>
        </w:r>
      </w:hyperlink>
    </w:p>
    <w:p>
      <w:pPr>
        <w:spacing w:after="0" w:line="106" w:lineRule="exact"/>
        <w:rPr>
          <w:sz w:val="20"/>
          <w:szCs w:val="20"/>
          <w:color w:val="auto"/>
        </w:rPr>
      </w:pPr>
    </w:p>
    <w:p>
      <w:pPr>
        <w:ind w:left="1300" w:right="180" w:hanging="368"/>
        <w:spacing w:after="0" w:line="264" w:lineRule="auto"/>
        <w:rPr>
          <w:rFonts w:ascii="Arial" w:cs="Arial" w:eastAsia="Arial" w:hAnsi="Arial"/>
          <w:sz w:val="18"/>
          <w:szCs w:val="18"/>
          <w:color w:val="auto"/>
        </w:rPr>
      </w:pPr>
      <w:hyperlink r:id="rId39">
        <w:r>
          <w:rPr>
            <w:rFonts w:ascii="Arial" w:cs="Arial" w:eastAsia="Arial" w:hAnsi="Arial"/>
            <w:sz w:val="18"/>
            <w:szCs w:val="18"/>
            <w:color w:val="auto"/>
          </w:rPr>
          <w:t>*4.8 Deposit Agreement relating to 7.00% Series C Fixed-to-Floating Rate Cumulative Redeemable Preferred Stock, dated August 22, 2017,</w:t>
        </w:r>
      </w:hyperlink>
      <w:r>
        <w:rPr>
          <w:rFonts w:ascii="Arial" w:cs="Arial" w:eastAsia="Arial" w:hAnsi="Arial"/>
          <w:sz w:val="18"/>
          <w:szCs w:val="18"/>
          <w:color w:val="auto"/>
        </w:rPr>
        <w:t xml:space="preserve"> </w:t>
      </w:r>
      <w:hyperlink r:id="rId39">
        <w:r>
          <w:rPr>
            <w:rFonts w:ascii="Arial" w:cs="Arial" w:eastAsia="Arial" w:hAnsi="Arial"/>
            <w:sz w:val="18"/>
            <w:szCs w:val="18"/>
            <w:color w:val="auto"/>
          </w:rPr>
          <w:t>among AGNC Investment Corp., Computershare Inc. and Computershare Trust Company, N.A., jointly as depositary, incorporated herein</w:t>
        </w:r>
      </w:hyperlink>
      <w:r>
        <w:rPr>
          <w:rFonts w:ascii="Arial" w:cs="Arial" w:eastAsia="Arial" w:hAnsi="Arial"/>
          <w:sz w:val="18"/>
          <w:szCs w:val="18"/>
          <w:color w:val="auto"/>
        </w:rPr>
        <w:t xml:space="preserve"> </w:t>
      </w:r>
      <w:hyperlink r:id="rId39">
        <w:r>
          <w:rPr>
            <w:rFonts w:ascii="Arial" w:cs="Arial" w:eastAsia="Arial" w:hAnsi="Arial"/>
            <w:sz w:val="18"/>
            <w:szCs w:val="18"/>
            <w:color w:val="auto"/>
          </w:rPr>
          <w:t>by reference to Exhibit 4.2 of Form 8-K (File No. 001-34057) filed August 22, 2017.</w:t>
        </w:r>
      </w:hyperlink>
    </w:p>
    <w:p>
      <w:pPr>
        <w:spacing w:after="0" w:line="141" w:lineRule="exact"/>
        <w:rPr>
          <w:rFonts w:ascii="Arial" w:cs="Arial" w:eastAsia="Arial" w:hAnsi="Arial"/>
          <w:sz w:val="18"/>
          <w:szCs w:val="18"/>
          <w:color w:val="auto"/>
        </w:rPr>
      </w:pPr>
    </w:p>
    <w:p>
      <w:pPr>
        <w:jc w:val="both"/>
        <w:ind w:left="1300" w:right="40" w:hanging="368"/>
        <w:spacing w:after="0" w:line="264" w:lineRule="auto"/>
        <w:rPr>
          <w:rFonts w:ascii="Arial" w:cs="Arial" w:eastAsia="Arial" w:hAnsi="Arial"/>
          <w:sz w:val="18"/>
          <w:szCs w:val="18"/>
          <w:color w:val="auto"/>
        </w:rPr>
      </w:pPr>
      <w:hyperlink r:id="rId39">
        <w:r>
          <w:rPr>
            <w:rFonts w:ascii="Arial" w:cs="Arial" w:eastAsia="Arial" w:hAnsi="Arial"/>
            <w:sz w:val="18"/>
            <w:szCs w:val="18"/>
            <w:color w:val="auto"/>
          </w:rPr>
          <w:t>*4.9 Form of Depositary Receipt representing 1/1,000th of a share of 7.00% Series C Fixed-to-Floating Rate Cumulative Redeemable Preferred</w:t>
        </w:r>
      </w:hyperlink>
      <w:r>
        <w:rPr>
          <w:rFonts w:ascii="Arial" w:cs="Arial" w:eastAsia="Arial" w:hAnsi="Arial"/>
          <w:sz w:val="18"/>
          <w:szCs w:val="18"/>
          <w:color w:val="auto"/>
        </w:rPr>
        <w:t xml:space="preserve"> </w:t>
      </w:r>
      <w:hyperlink r:id="rId39">
        <w:r>
          <w:rPr>
            <w:rFonts w:ascii="Arial" w:cs="Arial" w:eastAsia="Arial" w:hAnsi="Arial"/>
            <w:sz w:val="18"/>
            <w:szCs w:val="18"/>
            <w:color w:val="auto"/>
          </w:rPr>
          <w:t>Stock (included as part of Exhibit 4.8), incorporated herein by reference to Exhibit A of Exhibit 4.2 of Form 8-K (File No. 001-34057) filed</w:t>
        </w:r>
      </w:hyperlink>
      <w:r>
        <w:rPr>
          <w:rFonts w:ascii="Arial" w:cs="Arial" w:eastAsia="Arial" w:hAnsi="Arial"/>
          <w:sz w:val="18"/>
          <w:szCs w:val="18"/>
          <w:color w:val="auto"/>
        </w:rPr>
        <w:t xml:space="preserve"> </w:t>
      </w:r>
      <w:hyperlink r:id="rId39">
        <w:r>
          <w:rPr>
            <w:rFonts w:ascii="Arial" w:cs="Arial" w:eastAsia="Arial" w:hAnsi="Arial"/>
            <w:sz w:val="18"/>
            <w:szCs w:val="18"/>
            <w:color w:val="auto"/>
          </w:rPr>
          <w:t>August 22, 2017.</w:t>
        </w:r>
      </w:hyperlink>
    </w:p>
    <w:p>
      <w:pPr>
        <w:spacing w:after="0" w:line="14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hyperlink w:anchor="page62">
        <w:r>
          <w:rPr>
            <w:rFonts w:ascii="Arial" w:cs="Arial" w:eastAsia="Arial" w:hAnsi="Arial"/>
            <w:sz w:val="18"/>
            <w:szCs w:val="18"/>
            <w:color w:val="auto"/>
          </w:rPr>
          <w:t>31.1 Certification of CEO Pursuant to Section 302(a) of the Sarbanes-Oxley Act of 2002.</w:t>
        </w:r>
      </w:hyperlink>
    </w:p>
    <w:p>
      <w:pPr>
        <w:spacing w:after="0" w:line="18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hyperlink w:anchor="page63">
        <w:r>
          <w:rPr>
            <w:rFonts w:ascii="Arial" w:cs="Arial" w:eastAsia="Arial" w:hAnsi="Arial"/>
            <w:sz w:val="18"/>
            <w:szCs w:val="18"/>
            <w:color w:val="auto"/>
          </w:rPr>
          <w:t>31.2 Certification of CFO Pursuant to Section 302(a) of the Sarbanes-Oxley Act of 2002.</w:t>
        </w:r>
      </w:hyperlink>
    </w:p>
    <w:p>
      <w:pPr>
        <w:spacing w:after="0" w:line="185"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hyperlink w:anchor="page64">
        <w:r>
          <w:rPr>
            <w:rFonts w:ascii="Arial" w:cs="Arial" w:eastAsia="Arial" w:hAnsi="Arial"/>
            <w:sz w:val="18"/>
            <w:szCs w:val="18"/>
            <w:color w:val="auto"/>
          </w:rPr>
          <w:t>32 Certification of CEO and CFO Pursuant to Section 906 of the Sarbanes-Oxley Act of 2002.</w:t>
        </w:r>
      </w:hyperlink>
    </w:p>
    <w:p>
      <w:pPr>
        <w:spacing w:after="0" w:line="185"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101.INS** XBRL Instance Document</w:t>
      </w:r>
    </w:p>
    <w:p>
      <w:pPr>
        <w:spacing w:after="0" w:line="185" w:lineRule="exact"/>
        <w:rPr>
          <w:rFonts w:ascii="Arial" w:cs="Arial" w:eastAsia="Arial" w:hAnsi="Arial"/>
          <w:sz w:val="18"/>
          <w:szCs w:val="18"/>
          <w:color w:val="auto"/>
        </w:rPr>
      </w:pPr>
    </w:p>
    <w:p>
      <w:pPr>
        <w:ind w:left="400"/>
        <w:spacing w:after="0"/>
        <w:rPr>
          <w:sz w:val="20"/>
          <w:szCs w:val="20"/>
          <w:color w:val="auto"/>
        </w:rPr>
      </w:pPr>
      <w:r>
        <w:rPr>
          <w:rFonts w:ascii="Arial" w:cs="Arial" w:eastAsia="Arial" w:hAnsi="Arial"/>
          <w:sz w:val="18"/>
          <w:szCs w:val="18"/>
          <w:color w:val="auto"/>
        </w:rPr>
        <w:t>101.SCH** XBRL Taxonomy Extension Schema Document</w:t>
      </w:r>
    </w:p>
    <w:p>
      <w:pPr>
        <w:spacing w:after="0" w:line="185" w:lineRule="exact"/>
        <w:rPr>
          <w:rFonts w:ascii="Arial" w:cs="Arial" w:eastAsia="Arial" w:hAnsi="Arial"/>
          <w:sz w:val="18"/>
          <w:szCs w:val="18"/>
          <w:color w:val="auto"/>
        </w:rPr>
      </w:pPr>
    </w:p>
    <w:p>
      <w:pPr>
        <w:ind w:left="38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85" w:lineRule="exact"/>
        <w:rPr>
          <w:rFonts w:ascii="Arial" w:cs="Arial" w:eastAsia="Arial" w:hAnsi="Arial"/>
          <w:sz w:val="18"/>
          <w:szCs w:val="18"/>
          <w:color w:val="auto"/>
        </w:rPr>
      </w:pPr>
    </w:p>
    <w:p>
      <w:pPr>
        <w:ind w:left="380"/>
        <w:spacing w:after="0"/>
        <w:rPr>
          <w:sz w:val="20"/>
          <w:szCs w:val="20"/>
          <w:color w:val="auto"/>
        </w:rPr>
      </w:pPr>
      <w:r>
        <w:rPr>
          <w:rFonts w:ascii="Arial" w:cs="Arial" w:eastAsia="Arial" w:hAnsi="Arial"/>
          <w:sz w:val="18"/>
          <w:szCs w:val="18"/>
          <w:color w:val="auto"/>
        </w:rPr>
        <w:t>101.LAB** XBRL Taxonomy Extension Labels Linkbase Document</w:t>
      </w:r>
    </w:p>
    <w:p>
      <w:pPr>
        <w:spacing w:after="0" w:line="185" w:lineRule="exact"/>
        <w:rPr>
          <w:rFonts w:ascii="Arial" w:cs="Arial" w:eastAsia="Arial" w:hAnsi="Arial"/>
          <w:sz w:val="18"/>
          <w:szCs w:val="18"/>
          <w:color w:val="auto"/>
        </w:rPr>
      </w:pPr>
    </w:p>
    <w:p>
      <w:pPr>
        <w:ind w:left="42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185" w:lineRule="exact"/>
        <w:rPr>
          <w:rFonts w:ascii="Arial" w:cs="Arial" w:eastAsia="Arial" w:hAnsi="Arial"/>
          <w:sz w:val="18"/>
          <w:szCs w:val="18"/>
          <w:color w:val="auto"/>
        </w:rPr>
      </w:pPr>
    </w:p>
    <w:p>
      <w:pPr>
        <w:ind w:left="40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4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6" w:lineRule="exact"/>
        <w:rPr>
          <w:rFonts w:ascii="Arial" w:cs="Arial" w:eastAsia="Arial" w:hAnsi="Arial"/>
          <w:sz w:val="18"/>
          <w:szCs w:val="18"/>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7" w:lineRule="exact"/>
        <w:rPr>
          <w:rFonts w:ascii="Arial" w:cs="Arial" w:eastAsia="Arial" w:hAnsi="Arial"/>
          <w:sz w:val="18"/>
          <w:szCs w:val="18"/>
          <w:color w:val="auto"/>
        </w:rPr>
      </w:pPr>
    </w:p>
    <w:p>
      <w:pPr>
        <w:ind w:left="660" w:right="220" w:hanging="652"/>
        <w:spacing w:after="0" w:line="26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183" w:lineRule="exact"/>
        <w:rPr>
          <w:rFonts w:ascii="Arial" w:cs="Arial" w:eastAsia="Arial" w:hAnsi="Arial"/>
          <w:sz w:val="18"/>
          <w:szCs w:val="18"/>
          <w:color w:val="auto"/>
        </w:rPr>
      </w:pPr>
    </w:p>
    <w:p>
      <w:pPr>
        <w:ind w:left="880" w:hanging="467"/>
        <w:spacing w:after="0"/>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right="7600" w:hanging="467"/>
        <w:spacing w:after="0" w:line="277" w:lineRule="auto"/>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197"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909" w:right="25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AGNC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640"/>
        <w:spacing w:after="0"/>
        <w:tabs>
          <w:tab w:leader="none" w:pos="8060" w:val="left"/>
          <w:tab w:leader="none" w:pos="8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Gary D. Kain</w:t>
      </w:r>
    </w:p>
    <w:p>
      <w:pPr>
        <w:jc w:val="center"/>
        <w:ind w:left="6140"/>
        <w:spacing w:after="0" w:line="226" w:lineRule="auto"/>
        <w:rPr>
          <w:sz w:val="20"/>
          <w:szCs w:val="20"/>
          <w:color w:val="auto"/>
        </w:rPr>
      </w:pPr>
      <w:r>
        <w:rPr>
          <w:rFonts w:ascii="Arial" w:cs="Arial" w:eastAsia="Arial" w:hAnsi="Arial"/>
          <w:sz w:val="14"/>
          <w:szCs w:val="14"/>
          <w:b w:val="1"/>
          <w:bCs w:val="1"/>
          <w:color w:val="auto"/>
        </w:rPr>
        <w:t>Chief Executive Officer and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Chief Investment Officer (Principal Executive Officer)</w:t>
      </w:r>
    </w:p>
    <w:p>
      <w:pPr>
        <w:spacing w:after="0" w:line="3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7, 2018</w:t>
      </w:r>
    </w:p>
    <w:p>
      <w:pPr>
        <w:spacing w:after="0" w:line="387" w:lineRule="exact"/>
        <w:rPr>
          <w:sz w:val="20"/>
          <w:szCs w:val="20"/>
          <w:color w:val="auto"/>
        </w:rPr>
      </w:pPr>
    </w:p>
    <w:p>
      <w:pPr>
        <w:ind w:left="8000"/>
        <w:spacing w:after="0"/>
        <w:tabs>
          <w:tab w:leader="none" w:pos="8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Bernice E. Bell</w:t>
      </w:r>
    </w:p>
    <w:p>
      <w:pPr>
        <w:jc w:val="center"/>
        <w:ind w:left="6180"/>
        <w:spacing w:after="0" w:line="226" w:lineRule="auto"/>
        <w:rPr>
          <w:sz w:val="20"/>
          <w:szCs w:val="20"/>
          <w:color w:val="auto"/>
        </w:rPr>
      </w:pPr>
      <w:r>
        <w:rPr>
          <w:rFonts w:ascii="Arial" w:cs="Arial" w:eastAsia="Arial" w:hAnsi="Arial"/>
          <w:sz w:val="14"/>
          <w:szCs w:val="14"/>
          <w:b w:val="1"/>
          <w:bCs w:val="1"/>
          <w:color w:val="auto"/>
        </w:rPr>
        <w:t>Senior Vice President and Chief Financial Officer</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(Principal Financial Officer)</w:t>
      </w:r>
    </w:p>
    <w:p>
      <w:pPr>
        <w:spacing w:after="0" w:line="3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580" w:right="2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in effect through April 26, 2018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NAME</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name of the Corporation is AGNC Investment Corp.</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ADDRESS OF REGISTERED OFFICE; NAME OF REGISTERED AGENT</w:t>
      </w:r>
    </w:p>
    <w:p>
      <w:pPr>
        <w:spacing w:after="0" w:line="333"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The address of the registered office of the Corporation in the State of Delaware is 1209 Orange Street, in the City of Wilmington, County of New Castle. The name of its registered agent at that address is The Corporation Trust Company.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PURPOSE AND POWER</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purpose of the Corporation is to engage in any lawful act or activity for which a corporation may be organized under the General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 Law.</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225" w:lineRule="exact"/>
        <w:rPr>
          <w:sz w:val="20"/>
          <w:szCs w:val="20"/>
          <w:color w:val="auto"/>
        </w:rPr>
      </w:pPr>
    </w:p>
    <w:p>
      <w:pPr>
        <w:ind w:left="80" w:right="40" w:firstLine="1202"/>
        <w:spacing w:after="0" w:line="25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Total Number of Shares of Capital Stock.</w:t>
      </w:r>
      <w:r>
        <w:rPr>
          <w:rFonts w:ascii="Arial" w:cs="Arial" w:eastAsia="Arial" w:hAnsi="Arial"/>
          <w:sz w:val="18"/>
          <w:szCs w:val="18"/>
          <w:color w:val="auto"/>
        </w:rPr>
        <w:t xml:space="preserve"> The total number of shares of capital stock of all classes that the Corporation shall have authority to issue is 910,000,000 shares. The authorized stock is divided into 10,000,000 shares of preferred stock, with the par value of $0.01 each (the “Preferred Stock”), and 900,000,000 shares of common stock, with the par value of $0.01 each (the “Common Stock”). The Board of Directors of the Corporation (the “Board of Directors”) may classify any unissued shares of stock and reclassify any previously classified but unissued shares of stock from time to time, in one or more classes or series of stock.</w:t>
      </w:r>
    </w:p>
    <w:p>
      <w:pPr>
        <w:spacing w:after="0" w:line="296"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Authority is hereby expressly granted to the Board of Directors of the Corporation (the "Board of Directors"), subject to the provisions of this Article IV and to the limitations prescribed by the General Corporation Law, to authorize the issue of one or more classes of Preferred Stock and, with respect to each such class, to fix by resolution or resolutions providing for the issue of such class the voting powers, full or limited, if any, of the shares of such class, the designations, preferences and relative, participating, optional or other special rights, and qualifications, limitations or restrictions thereof. The authority of the Board of Directors with respect to each class thereof shall include, but not be limited to, the determination or fixing of the following:</w:t>
      </w:r>
    </w:p>
    <w:p>
      <w:pPr>
        <w:spacing w:after="0" w:line="193" w:lineRule="exact"/>
        <w:rPr>
          <w:sz w:val="20"/>
          <w:szCs w:val="20"/>
          <w:color w:val="auto"/>
        </w:rPr>
      </w:pPr>
    </w:p>
    <w:p>
      <w:pPr>
        <w:ind w:left="1680" w:hanging="375"/>
        <w:spacing w:after="0"/>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of such class;</w:t>
      </w:r>
    </w:p>
    <w:p>
      <w:pPr>
        <w:spacing w:after="0" w:line="225" w:lineRule="exact"/>
        <w:rPr>
          <w:rFonts w:ascii="Arial" w:cs="Arial" w:eastAsia="Arial" w:hAnsi="Arial"/>
          <w:sz w:val="18"/>
          <w:szCs w:val="18"/>
          <w:color w:val="auto"/>
        </w:rPr>
      </w:pPr>
    </w:p>
    <w:p>
      <w:pPr>
        <w:jc w:val="both"/>
        <w:ind w:right="20" w:firstLine="1305"/>
        <w:spacing w:after="0" w:line="264" w:lineRule="auto"/>
        <w:tabs>
          <w:tab w:leader="none" w:pos="168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shares to compose such class, which number the Board of Directors may thereafter (except where otherwise provided in a resolution designating a particular class) increase (but not above the total number of authorized shares of the class) or decrease (but not below the number of shares thereof then outstanding);</w:t>
      </w:r>
    </w:p>
    <w:p>
      <w:pPr>
        <w:spacing w:after="0" w:line="181" w:lineRule="exact"/>
        <w:rPr>
          <w:rFonts w:ascii="Arial" w:cs="Arial" w:eastAsia="Arial" w:hAnsi="Arial"/>
          <w:sz w:val="18"/>
          <w:szCs w:val="18"/>
          <w:color w:val="auto"/>
        </w:rPr>
      </w:pPr>
    </w:p>
    <w:p>
      <w:pPr>
        <w:ind w:right="20" w:firstLine="1305"/>
        <w:spacing w:after="0" w:line="264" w:lineRule="auto"/>
        <w:tabs>
          <w:tab w:leader="none" w:pos="16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dividend rate of such class, the conditions and dates upon which such dividends shall be payable, the relation which such dividends shall bear to the dividends payable on any other class or classes of capital stock of the Corporation and whether such dividends shall be cumulative or noncumulative;</w:t>
      </w:r>
    </w:p>
    <w:p>
      <w:pPr>
        <w:spacing w:after="0" w:line="181" w:lineRule="exact"/>
        <w:rPr>
          <w:rFonts w:ascii="Arial" w:cs="Arial" w:eastAsia="Arial" w:hAnsi="Arial"/>
          <w:sz w:val="18"/>
          <w:szCs w:val="18"/>
          <w:color w:val="auto"/>
        </w:rPr>
      </w:pPr>
    </w:p>
    <w:p>
      <w:pPr>
        <w:ind w:right="100" w:firstLine="1305"/>
        <w:spacing w:after="0" w:line="277" w:lineRule="auto"/>
        <w:tabs>
          <w:tab w:leader="none" w:pos="1686"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shares of such class shall be subject to redemption by the Corporation and, if made subject to such redemption, the times, prices and other terms and conditions of such redemption;</w:t>
      </w:r>
    </w:p>
    <w:p>
      <w:pPr>
        <w:sectPr>
          <w:pgSz w:w="11900" w:h="16838" w:orient="portrait"/>
          <w:cols w:equalWidth="0" w:num="1">
            <w:col w:w="11420"/>
          </w:cols>
          <w:pgMar w:left="240" w:top="584" w:right="239" w:bottom="1440" w:gutter="0" w:footer="0" w:header="0"/>
        </w:sectPr>
      </w:pPr>
    </w:p>
    <w:bookmarkStart w:id="50" w:name="page51"/>
    <w:bookmarkEnd w:id="50"/>
    <w:p>
      <w:pPr>
        <w:ind w:left="1680" w:hanging="375"/>
        <w:spacing w:after="0"/>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and amount of any sinking fund provided for the purchase or redemption of the shares of such class;</w:t>
      </w:r>
    </w:p>
    <w:p>
      <w:pPr>
        <w:spacing w:after="0" w:line="225" w:lineRule="exact"/>
        <w:rPr>
          <w:rFonts w:ascii="Arial" w:cs="Arial" w:eastAsia="Arial" w:hAnsi="Arial"/>
          <w:sz w:val="18"/>
          <w:szCs w:val="18"/>
          <w:color w:val="auto"/>
        </w:rPr>
      </w:pPr>
    </w:p>
    <w:p>
      <w:pPr>
        <w:ind w:firstLine="1305"/>
        <w:spacing w:after="0" w:line="264" w:lineRule="auto"/>
        <w:tabs>
          <w:tab w:leader="none" w:pos="1656"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shares of such class shall be convertible into or exchangeable for shares of any other class or classes of any capital stock or any other securities of the Corporation, and, if provision is made for conversion or exchange, the times, prices, rates, adjustments and other terms and conditions of such conversion or exchange;</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extent, if any, to which the holders of shares of such class shall be entitled to vote with respect to the election of directors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otherwise;</w:t>
      </w:r>
    </w:p>
    <w:p>
      <w:pPr>
        <w:spacing w:after="0" w:line="210" w:lineRule="exact"/>
        <w:rPr>
          <w:rFonts w:ascii="Arial" w:cs="Arial" w:eastAsia="Arial" w:hAnsi="Arial"/>
          <w:sz w:val="17"/>
          <w:szCs w:val="17"/>
          <w:color w:val="auto"/>
        </w:rPr>
      </w:pPr>
    </w:p>
    <w:p>
      <w:pPr>
        <w:ind w:left="1700" w:hanging="395"/>
        <w:spacing w:after="0"/>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restrictions, if any, on the issue or reissue of any additional Preferred Stock;</w:t>
      </w:r>
    </w:p>
    <w:p>
      <w:pPr>
        <w:spacing w:after="0" w:line="225" w:lineRule="exact"/>
        <w:rPr>
          <w:rFonts w:ascii="Arial" w:cs="Arial" w:eastAsia="Arial" w:hAnsi="Arial"/>
          <w:sz w:val="18"/>
          <w:szCs w:val="18"/>
          <w:color w:val="auto"/>
        </w:rPr>
      </w:pPr>
    </w:p>
    <w:p>
      <w:pPr>
        <w:ind w:right="260" w:firstLine="1305"/>
        <w:spacing w:after="0" w:line="277" w:lineRule="auto"/>
        <w:tabs>
          <w:tab w:leader="none" w:pos="16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rights of the holders of the shares of such class upon the dissolution of, voluntary or involuntary liquidation, winding up or upon the distribution of assets of the Corporation; and</w:t>
      </w:r>
    </w:p>
    <w:p>
      <w:pPr>
        <w:spacing w:after="0" w:line="170" w:lineRule="exact"/>
        <w:rPr>
          <w:rFonts w:ascii="Arial" w:cs="Arial" w:eastAsia="Arial" w:hAnsi="Arial"/>
          <w:sz w:val="18"/>
          <w:szCs w:val="18"/>
          <w:color w:val="auto"/>
        </w:rPr>
      </w:pPr>
    </w:p>
    <w:p>
      <w:pPr>
        <w:ind w:right="400" w:firstLine="1305"/>
        <w:spacing w:after="0" w:line="277" w:lineRule="auto"/>
        <w:tabs>
          <w:tab w:leader="none" w:pos="16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manner in which any facts ascertainable outside the resolution or resolutions providing for the issue of such class shall operate upon the voting powers, designations, preferences, rights and qualifications, limitations or restrictions of such class.</w:t>
      </w:r>
    </w:p>
    <w:p>
      <w:pPr>
        <w:spacing w:after="0" w:line="170"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(a) Subject to all of the rights of the holders of Preferred Stock provided for by resolution or resolutions of the Board of Directors pursuant to this Article IV or by the General Corporation Law, each holder of Common Stock shall have one vote per share of Common Stock held by such holder on all matters on which holders of Common Stock are entitled to vote and shall have the right to receive notice of and to vote at all meetings of the stockholders of the Corporation.</w:t>
      </w:r>
    </w:p>
    <w:p>
      <w:pPr>
        <w:spacing w:after="0" w:line="187" w:lineRule="exact"/>
        <w:rPr>
          <w:sz w:val="20"/>
          <w:szCs w:val="20"/>
          <w:color w:val="auto"/>
        </w:rPr>
      </w:pPr>
    </w:p>
    <w:p>
      <w:pPr>
        <w:jc w:val="both"/>
        <w:ind w:right="520" w:firstLine="1305"/>
        <w:spacing w:after="0" w:line="264" w:lineRule="auto"/>
        <w:tabs>
          <w:tab w:leader="none" w:pos="155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holders of Common Stock shall have the right to receive dividends as and when declared by the Board of Directors in its sole discretion, subject to any limitations on the declaring of dividends imposed by the General Corporation Law or the rights of holders of Preferred Stock provided for by resolution or resolutions of the Board of Directors pursuant to this Article IV.</w:t>
      </w:r>
    </w:p>
    <w:p>
      <w:pPr>
        <w:spacing w:after="0" w:line="181" w:lineRule="exact"/>
        <w:rPr>
          <w:rFonts w:ascii="Arial" w:cs="Arial" w:eastAsia="Arial" w:hAnsi="Arial"/>
          <w:sz w:val="18"/>
          <w:szCs w:val="18"/>
          <w:color w:val="auto"/>
        </w:rPr>
      </w:pPr>
    </w:p>
    <w:p>
      <w:pPr>
        <w:ind w:left="1540" w:hanging="235"/>
        <w:spacing w:after="0"/>
        <w:tabs>
          <w:tab w:leader="none" w:pos="1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Stockholders shall not have preemptive rights to acquire additional shares of stock of any class which the Corporation may elect to issue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sell.</w:t>
      </w:r>
    </w:p>
    <w:p>
      <w:pPr>
        <w:spacing w:after="0" w:line="211"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Issuance of Rights to Purchase Securities and Other Property.</w:t>
      </w:r>
      <w:r>
        <w:rPr>
          <w:rFonts w:ascii="Arial" w:cs="Arial" w:eastAsia="Arial" w:hAnsi="Arial"/>
          <w:sz w:val="16"/>
          <w:szCs w:val="16"/>
          <w:color w:val="auto"/>
        </w:rPr>
        <w:t xml:space="preserve"> Subject to all of the rights of the holders of Preferred Stock provided for by resolution or resolutions of the Board of Directors pursuant to this Article IV or by the General Corporation Law, the Board of Directors is hereby authorized to create and to authorize and direct the issuance (on either a pro rata or a non-pro rata basis) by the Corporation of rights, options and warrants for the purchase of shares of capital stock of the Corporation, other securities of the Corporation or shares or other securities of any successor in interest of the Corporation (a "Successor"), at such times, in such amounts, to such persons, for such consideration, with such form and content (including without limitation the consideration for which any shares of capital stock of the Corporation, other securities of the Corporation or shares or other securities of any Successor are to be issued) and upon such terms and conditions as it may from time to time determine, subject only to the restrictions, limitations, conditions and requirements imposed by the General Corporation Law, other applicable laws and this Certificate of Incorporation.</w:t>
      </w:r>
    </w:p>
    <w:p>
      <w:pPr>
        <w:spacing w:after="0" w:line="166"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Certificate of Incorporation and By-laws.</w:t>
      </w:r>
      <w:r>
        <w:rPr>
          <w:rFonts w:ascii="Arial" w:cs="Arial" w:eastAsia="Arial" w:hAnsi="Arial"/>
          <w:sz w:val="18"/>
          <w:szCs w:val="18"/>
          <w:color w:val="auto"/>
        </w:rPr>
        <w:t xml:space="preserve"> All persons who shall acquire stock in the Corporation shall acquire the same subject to the provisions of the Certificate of Incorporation and the By-laws of the Corporation (the "By-laws").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BOARD OF DIRECTORS</w:t>
      </w:r>
    </w:p>
    <w:p>
      <w:pPr>
        <w:spacing w:after="0" w:line="333"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Power of the Board of Directors.</w:t>
      </w:r>
      <w:r>
        <w:rPr>
          <w:rFonts w:ascii="Arial" w:cs="Arial" w:eastAsia="Arial" w:hAnsi="Arial"/>
          <w:sz w:val="18"/>
          <w:szCs w:val="18"/>
          <w:color w:val="auto"/>
        </w:rPr>
        <w:t xml:space="preserve"> The business and affairs of the Corporation shall be managed by or under the direction of its Board of Directors. In furtherance, and not in limitation, of the powers conferred by the General Corporation Law, the Board of Directors is expressly authorized to:</w:t>
      </w:r>
    </w:p>
    <w:p>
      <w:pPr>
        <w:spacing w:after="0" w:line="181" w:lineRule="exact"/>
        <w:rPr>
          <w:sz w:val="20"/>
          <w:szCs w:val="20"/>
          <w:color w:val="auto"/>
        </w:rPr>
      </w:pPr>
    </w:p>
    <w:p>
      <w:pPr>
        <w:ind w:right="60" w:firstLine="1305"/>
        <w:spacing w:after="0" w:line="277" w:lineRule="auto"/>
        <w:tabs>
          <w:tab w:leader="none" w:pos="15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adopt, amend, alter, change or repeal the By-laws; provided, however, that no By-laws hereafter adopted shall invalidate any prior act of the directors that was valid at the time such action was taken;</w:t>
      </w:r>
    </w:p>
    <w:p>
      <w:pPr>
        <w:spacing w:after="0" w:line="170" w:lineRule="exact"/>
        <w:rPr>
          <w:rFonts w:ascii="Arial" w:cs="Arial" w:eastAsia="Arial" w:hAnsi="Arial"/>
          <w:sz w:val="18"/>
          <w:szCs w:val="18"/>
          <w:color w:val="auto"/>
        </w:rPr>
      </w:pPr>
    </w:p>
    <w:p>
      <w:pPr>
        <w:ind w:right="200" w:firstLine="1305"/>
        <w:spacing w:after="0" w:line="259" w:lineRule="auto"/>
        <w:tabs>
          <w:tab w:leader="none" w:pos="1551"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determine the rights, powers, duties, rules and procedures that affect the power of the Board of Directors to manage and direct the business and affairs of the Corporation, including the power to designate and empower committees of the Board of Directors to elect, appoint and empower the officers and other agents of the Corporation, and to determine the time and place of, and the notice requirements for, Board meetings, as well as quorum and voting requirements for, and the manner of taking, Board action; and</w:t>
      </w:r>
    </w:p>
    <w:p>
      <w:pPr>
        <w:sectPr>
          <w:pgSz w:w="11900" w:h="16838" w:orient="portrait"/>
          <w:cols w:equalWidth="0" w:num="1">
            <w:col w:w="11420"/>
          </w:cols>
          <w:pgMar w:left="240" w:top="692" w:right="239" w:bottom="1440" w:gutter="0" w:footer="0" w:header="0"/>
        </w:sectPr>
      </w:pPr>
    </w:p>
    <w:bookmarkStart w:id="51" w:name="page52"/>
    <w:bookmarkEnd w:id="51"/>
    <w:p>
      <w:pPr>
        <w:ind w:right="260" w:firstLine="1305"/>
        <w:spacing w:after="0" w:line="277" w:lineRule="auto"/>
        <w:tabs>
          <w:tab w:leader="none" w:pos="1541"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exercise all such powers and do all such acts as may be exercised or done by the Corporation, subject to the provisions of the General Corporation Law, this Certificate of Incorporation and the By-laws.</w:t>
      </w:r>
    </w:p>
    <w:p>
      <w:pPr>
        <w:spacing w:after="0" w:line="170"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 xml:space="preserve">Number of Directors. </w:t>
      </w:r>
      <w:r>
        <w:rPr>
          <w:rFonts w:ascii="Arial" w:cs="Arial" w:eastAsia="Arial" w:hAnsi="Arial"/>
          <w:sz w:val="16"/>
          <w:szCs w:val="16"/>
          <w:color w:val="auto"/>
        </w:rPr>
        <w:t>The number of directors constituting the Board of Directors shall be as specified in the By-laws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right="40" w:firstLine="1297"/>
        <w:spacing w:after="0" w:line="312"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Classes, Election and Term.</w:t>
      </w:r>
      <w:r>
        <w:rPr>
          <w:rFonts w:ascii="Arial" w:cs="Arial" w:eastAsia="Arial" w:hAnsi="Arial"/>
          <w:sz w:val="16"/>
          <w:szCs w:val="16"/>
          <w:color w:val="auto"/>
        </w:rPr>
        <w:t xml:space="preserve"> The directors shall be elected by the stockholders at each annual meeting of the stockholders for a one-year term. The term of all current directors will end at the 2009 annual meeting of stockholders. Commencing with the 2009 annual meeting of stockholders, each director shall hold office for a one-year term and until such director's successor shall have been duly elected and qualified.</w:t>
      </w:r>
    </w:p>
    <w:p>
      <w:pPr>
        <w:spacing w:after="0" w:line="147"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Vacancies.</w:t>
      </w:r>
      <w:r>
        <w:rPr>
          <w:rFonts w:ascii="Arial" w:cs="Arial" w:eastAsia="Arial" w:hAnsi="Arial"/>
          <w:sz w:val="18"/>
          <w:szCs w:val="18"/>
          <w:color w:val="auto"/>
        </w:rPr>
        <w:t xml:space="preserve"> Any vacancies in the Board of Directors for any reason and any newly created directorships resulting by reason of any increase in the number of directors may be filled only by the Board of Directors, acting by a majority of the remaining directors then in office, although less than a quorum, or by a sole remaining director, and any directors so appointed shall hold office until the next annual election of directors and until their successors are duly elected and qualified.</w:t>
      </w:r>
    </w:p>
    <w:p>
      <w:pPr>
        <w:spacing w:after="0" w:line="187"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Removal of Directors.</w:t>
      </w:r>
      <w:r>
        <w:rPr>
          <w:rFonts w:ascii="Arial" w:cs="Arial" w:eastAsia="Arial" w:hAnsi="Arial"/>
          <w:sz w:val="17"/>
          <w:szCs w:val="17"/>
          <w:color w:val="auto"/>
        </w:rPr>
        <w:t xml:space="preserve"> Except as may be provided in a resolution or resolutions providing for any class of Preferred Stock pursuant to Article IV hereof, with respect to any directors elected by the holders of such class, any director, or the entire Board of Directors, may be removed from office at any time with or without cause by the affirmative vote of the holders of at least sixty-six percent (66%) of the voting power of all of the shares of capital stock of the Corporation then entitled to vote generally in the election of directors, voting together as a single class.</w:t>
      </w:r>
    </w:p>
    <w:p>
      <w:pPr>
        <w:spacing w:after="0" w:line="171"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REIT Qualification.</w:t>
      </w:r>
      <w:r>
        <w:rPr>
          <w:rFonts w:ascii="Arial" w:cs="Arial" w:eastAsia="Arial" w:hAnsi="Arial"/>
          <w:sz w:val="18"/>
          <w:szCs w:val="18"/>
          <w:color w:val="auto"/>
        </w:rPr>
        <w:t xml:space="preserve"> If the Corporation elects to qualify for federal income tax treatment as a REIT (as defined in Article VIII hereof), the Board of Directors shall use its reasonable best efforts to take such actions as are necessary or appropriate to preserve the qualification of the Corporation as a REIT; however, if the Board of Directors determines that it is no longer in the best interests of the Corporation to continue to be qualified as a REIT, the Board of Directors may revoke or otherwise terminate the Corporation's REIT election pursuant to Section 856(g) of the Code (as defined in Article VIII hereof). The Board of Directors also may determine that compliance with any restriction or limitation on stock ownership and transfers set forth in Article VIII hereof is no longer required for REIT qualification.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STOCKHOLDER ACTION</w:t>
      </w:r>
    </w:p>
    <w:p>
      <w:pPr>
        <w:spacing w:after="0" w:line="333"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Except as may be provided in a resolution or resolutions providing for any class of Preferred Stock pursuant to Article IV hereof, any action required or permitted to be taken by the stockholders of the Corporation must be effected at a duly called annual or special meeting of such holders and may not be effected by any consent in writing by such holders. Meetings of stockholders may be held within or without the State of Delaware, as the By-laws may provide. Elections of directors need not be by written ballot, unless otherwise provided in the By-laws of the Corporation.</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333" w:lineRule="exact"/>
        <w:rPr>
          <w:sz w:val="20"/>
          <w:szCs w:val="20"/>
          <w:color w:val="auto"/>
        </w:rPr>
      </w:pPr>
    </w:p>
    <w:p>
      <w:pPr>
        <w:ind w:right="540" w:firstLine="1297"/>
        <w:spacing w:after="0" w:line="342"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xml:space="preserve"> Each person who was or is made a party or is threatened to be made a party to or is otherwise involved in any action, suit or proceeding, whether civil, criminal, administrative or investigative (hereinafter a "proceeding"), by reason of the fact:</w:t>
      </w:r>
    </w:p>
    <w:p>
      <w:pPr>
        <w:spacing w:after="0" w:line="124" w:lineRule="exact"/>
        <w:rPr>
          <w:sz w:val="20"/>
          <w:szCs w:val="20"/>
          <w:color w:val="auto"/>
        </w:rPr>
      </w:pPr>
    </w:p>
    <w:p>
      <w:pPr>
        <w:ind w:left="1540" w:hanging="235"/>
        <w:spacing w:after="0"/>
        <w:tabs>
          <w:tab w:leader="none" w:pos="1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he or she is or was a director or officer of the Corporation, or</w:t>
      </w:r>
    </w:p>
    <w:p>
      <w:pPr>
        <w:spacing w:after="0" w:line="225" w:lineRule="exact"/>
        <w:rPr>
          <w:rFonts w:ascii="Arial" w:cs="Arial" w:eastAsia="Arial" w:hAnsi="Arial"/>
          <w:sz w:val="18"/>
          <w:szCs w:val="18"/>
          <w:color w:val="auto"/>
        </w:rPr>
      </w:pPr>
    </w:p>
    <w:p>
      <w:pPr>
        <w:ind w:firstLine="1305"/>
        <w:spacing w:after="0" w:line="264" w:lineRule="auto"/>
        <w:tabs>
          <w:tab w:leader="none" w:pos="155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he or she, being at the time a director or officer of the Corporation, is or was serving at the request of the Corporation as a director, trustee, officer, employee or agent of another corporation or of a partnership, joint venture, trust or other enterprise (collectively, "another enterprise" or "other enterprise"),</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whether either in case (a) or in case (b) the basis of such proceeding is alleged action or inaction (x) in an official capacity as a director or officer of the Corporation, or as a director, trustee, officer, employee or agent of such other enterprise, or (y) in any other capacity related to the Corporation or such other enterprise while so serving as a director, trustee, officer, employee or agent, shall be indemnified and held harmless by the Corporation to the fullest extent not prohibited by Section 145 of the General Corporation Law, (or any successor provision or provisions, respectively) as the same exists or may hereafter be amended, respectively (but, in the case of any amendment to Section 145 of the General Corporation Law, with respect to actions taken prior to such amendment, only to the extent that such amendment permits the Corporation to provide broader indemnification rights than permitted prior thereto), against all expense, liability and loss (including, without limitation,</w:t>
      </w:r>
    </w:p>
    <w:p>
      <w:pPr>
        <w:sectPr>
          <w:pgSz w:w="11900" w:h="16838" w:orient="portrait"/>
          <w:cols w:equalWidth="0" w:num="1">
            <w:col w:w="11420"/>
          </w:cols>
          <w:pgMar w:left="240" w:top="692" w:right="239" w:bottom="1440" w:gutter="0" w:footer="0" w:header="0"/>
        </w:sectPr>
      </w:pPr>
    </w:p>
    <w:bookmarkStart w:id="52" w:name="page53"/>
    <w:bookmarkEnd w:id="52"/>
    <w:p>
      <w:pPr>
        <w:spacing w:after="0" w:line="270" w:lineRule="auto"/>
        <w:rPr>
          <w:sz w:val="20"/>
          <w:szCs w:val="20"/>
          <w:color w:val="auto"/>
        </w:rPr>
      </w:pPr>
      <w:r>
        <w:rPr>
          <w:rFonts w:ascii="Arial" w:cs="Arial" w:eastAsia="Arial" w:hAnsi="Arial"/>
          <w:sz w:val="17"/>
          <w:szCs w:val="17"/>
          <w:color w:val="auto"/>
        </w:rPr>
        <w:t>attorneys' fees, judgments, fines, ERISA excise taxes or penalties and amounts paid in settlement) reasonably incurred or suffered by such person in connection therewith if such person satisfied the applicable level of care to permit such indemnification under the General Corporation Law; provided however, that nothing in this Article VII shall indemnify any person to the extent that such person has committed willful misfeasance, bad faith, gross negligence or reckless disregard involved in the conduct of such person's duties to or for the Corporation. The persons indemnified by this Article VII are hereinafter referred to as "indemnities." Such indemnification as to such alleged action or inaction shall continue as to an indemnitee who has after such alleged action or inaction ceased to be a director or officer of the Corporation, or director, officer, employee or agent of another enterprise; and shall inure to the benefit of the indemnitee's heirs, executors and administrators. The right to indemnification conferred in this Article VII: (i) shall be a contract right; (ii) shall not be affected adversely as to any indemnitee by any amendment of this Certificate with respect to any action or inaction occurring prior to such amendment; and (iii) shall, subject to any requirements imposed by law and the By-laws, include the right to be paid by the Corporation the expenses incurred in defending any such proceeding in advance of its final disposition.</w:t>
      </w:r>
    </w:p>
    <w:p>
      <w:pPr>
        <w:spacing w:after="0" w:line="178" w:lineRule="exact"/>
        <w:rPr>
          <w:sz w:val="20"/>
          <w:szCs w:val="20"/>
          <w:color w:val="auto"/>
        </w:rPr>
      </w:pPr>
    </w:p>
    <w:p>
      <w:pPr>
        <w:ind w:right="340" w:firstLine="1297"/>
        <w:spacing w:after="0" w:line="276"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Relationship to Other Rights and Provisions Concerning Indemnification.</w:t>
      </w:r>
      <w:r>
        <w:rPr>
          <w:rFonts w:ascii="Arial" w:cs="Arial" w:eastAsia="Arial" w:hAnsi="Arial"/>
          <w:sz w:val="17"/>
          <w:szCs w:val="17"/>
          <w:color w:val="auto"/>
        </w:rPr>
        <w:t xml:space="preserve"> The rights to indemnification and to the advancement of expenses conferred in this Article VII shall not be exclusive of any other right which any person may have or hereafter acquire under any statute, this Certificate, By-laws, agreement, vote of stockholders or disinterested directors or otherwise. The By-laws may contain such other provisions concerning indemnification, including provisions specifying reasonable procedures relating to and conditions to the receipt by indemnitees of indemnification, provided that such provisions are not inconsistent with the provisions of this Article VII.</w:t>
      </w:r>
    </w:p>
    <w:p>
      <w:pPr>
        <w:spacing w:after="0" w:line="173" w:lineRule="exact"/>
        <w:rPr>
          <w:sz w:val="20"/>
          <w:szCs w:val="20"/>
          <w:color w:val="auto"/>
        </w:rPr>
      </w:pPr>
    </w:p>
    <w:p>
      <w:pPr>
        <w:ind w:right="140" w:firstLine="1297"/>
        <w:spacing w:after="0" w:line="254"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Agents and Employees.</w:t>
      </w:r>
      <w:r>
        <w:rPr>
          <w:rFonts w:ascii="Arial" w:cs="Arial" w:eastAsia="Arial" w:hAnsi="Arial"/>
          <w:sz w:val="18"/>
          <w:szCs w:val="18"/>
          <w:color w:val="auto"/>
        </w:rPr>
        <w:t xml:space="preserve"> The Corporation may, to the extent authorized from time to time by the Board of Directors, grant rights to indemnification, and to the advancement of expenses, to any agent of the Corporation (or any person serving at the Corporation's request as a director, trustee, officer, employee or agent of another enterprise) or to persons who are or were a director, officer, employee or agent of any of the Corporation's affiliates, predecessor or subsidiary corporations or of a constituent corporation absorbed by the Corporation in a consolidation or merger or who is or was serving at the request of such affiliate, predecessor or subsidiary corporation or of such constituent corporation as a director, officer, employee or agent of another enterprise, in each case as determined by the Board of Directors to the fullest extent of the provisions of this Article VII in cases of the indemnification and advancement of expenses of directors and officers of the Corporation, or to any lesser extent (or greater extent, if permitted by law) determined by the Board of Directors.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RESTRICTION ON TRANSFER AND OWNERSHIP OF SHARES</w:t>
      </w:r>
    </w:p>
    <w:p>
      <w:pPr>
        <w:spacing w:after="0" w:line="333"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 xml:space="preserve">Definitions. </w:t>
      </w:r>
      <w:r>
        <w:rPr>
          <w:rFonts w:ascii="Arial" w:cs="Arial" w:eastAsia="Arial" w:hAnsi="Arial"/>
          <w:sz w:val="16"/>
          <w:szCs w:val="16"/>
          <w:color w:val="auto"/>
        </w:rPr>
        <w:t>For the purpose of this Article VIII, the following terms shall have the following meanings:</w:t>
      </w:r>
    </w:p>
    <w:p>
      <w:pPr>
        <w:spacing w:after="0" w:line="225" w:lineRule="exact"/>
        <w:rPr>
          <w:sz w:val="20"/>
          <w:szCs w:val="20"/>
          <w:color w:val="auto"/>
        </w:rPr>
      </w:pPr>
    </w:p>
    <w:p>
      <w:pPr>
        <w:ind w:right="200" w:firstLine="1297"/>
        <w:spacing w:after="0" w:line="291" w:lineRule="auto"/>
        <w:rPr>
          <w:sz w:val="20"/>
          <w:szCs w:val="20"/>
          <w:color w:val="auto"/>
        </w:rPr>
      </w:pPr>
      <w:r>
        <w:rPr>
          <w:rFonts w:ascii="Arial" w:cs="Arial" w:eastAsia="Arial" w:hAnsi="Arial"/>
          <w:sz w:val="16"/>
          <w:szCs w:val="16"/>
          <w:u w:val="single" w:color="auto"/>
          <w:color w:val="auto"/>
        </w:rPr>
        <w:t>Aggregate Stock Ownership Limit.</w:t>
      </w:r>
      <w:r>
        <w:rPr>
          <w:rFonts w:ascii="Arial" w:cs="Arial" w:eastAsia="Arial" w:hAnsi="Arial"/>
          <w:sz w:val="16"/>
          <w:szCs w:val="16"/>
          <w:color w:val="auto"/>
        </w:rPr>
        <w:t xml:space="preserve"> The term “Aggregate Stock Ownership Limit” shall mean not more than 9.8 percent (in value or in number of shares, whichever is more restrictive) of the aggregate of the outstanding shares of Capital Stock, subject to the Board of Directors' power under Section 8.2.8 hereof to increase or decrease such percentage. The value and number of the outstanding shares of Capital Stock shall be determined by the Board of Directors of the Corporation in good faith, which determination shall be conclusive for all purposes hereof. For the purposes of determining the percentage ownership of Capital Stock by any Person, shares of Capital Stock that may be acquired upon conversion, exchange or exercise of any securities of the Corporation directly or constructively held by such Person, but not Capital Stock issuable with respect to the conversion exchange or exercise of securities for the Corporation held by other Persons shall be deemed to be outstanding prior to conversion, exchange or exercise.</w:t>
      </w:r>
    </w:p>
    <w:p>
      <w:pPr>
        <w:spacing w:after="0" w:line="167"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u w:val="single" w:color="auto"/>
          <w:color w:val="auto"/>
        </w:rPr>
        <w:t>Beneficial Ownership.</w:t>
      </w:r>
      <w:r>
        <w:rPr>
          <w:rFonts w:ascii="Arial" w:cs="Arial" w:eastAsia="Arial" w:hAnsi="Arial"/>
          <w:sz w:val="18"/>
          <w:szCs w:val="18"/>
          <w:color w:val="auto"/>
        </w:rPr>
        <w:t xml:space="preserve"> The term “Beneficial Ownership” shall mean ownership of Capital Stock by a Person, whether the interest in the shares of Capital Stock is held directly or indirectly (including by a nominee), and shall include interests that would be treated as owned through the application of Section 544 of the Code, as modified by Sections 856(h)(1)(B) and 856(h)(3) of the Code. The terms “Beneficial Owner,” “Beneficially Owns” and “Beneficially Owned” shall have the correlative meanings.</w:t>
      </w:r>
    </w:p>
    <w:p>
      <w:pPr>
        <w:spacing w:after="0" w:line="187"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The term “Business Day” shall mean any day, other than a Saturday or Sunday, that is neither a legal holiday nor a day on which banking institutions in New York City are authorized or required by law, regulation or executive order to close.</w:t>
      </w:r>
    </w:p>
    <w:p>
      <w:pPr>
        <w:spacing w:after="0" w:line="170"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u w:val="single" w:color="auto"/>
          <w:color w:val="auto"/>
        </w:rPr>
        <w:t>Capital Stock</w:t>
      </w:r>
      <w:r>
        <w:rPr>
          <w:rFonts w:ascii="Arial" w:cs="Arial" w:eastAsia="Arial" w:hAnsi="Arial"/>
          <w:sz w:val="18"/>
          <w:szCs w:val="18"/>
          <w:color w:val="auto"/>
        </w:rPr>
        <w:t>. The term “Capital Stock” shall mean all classes or series of stock of the Corporation, including, without limitation, Common Stock and Preferred Stock.</w:t>
      </w:r>
    </w:p>
    <w:p>
      <w:pPr>
        <w:spacing w:after="0" w:line="170"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u w:val="single" w:color="auto"/>
          <w:color w:val="auto"/>
        </w:rPr>
        <w:t>Charitable Beneficiary.</w:t>
      </w:r>
      <w:r>
        <w:rPr>
          <w:rFonts w:ascii="Arial" w:cs="Arial" w:eastAsia="Arial" w:hAnsi="Arial"/>
          <w:sz w:val="18"/>
          <w:szCs w:val="18"/>
          <w:color w:val="auto"/>
        </w:rPr>
        <w:t xml:space="preserve"> The term “Charitable Beneficiary” shall mean one or more beneficiaries of the Trust as determined pursuant to Section 8.3.6, provided that each such organization must be described in Section 501(c)(3) of the</w:t>
      </w:r>
    </w:p>
    <w:p>
      <w:pPr>
        <w:sectPr>
          <w:pgSz w:w="11900" w:h="16838" w:orient="portrait"/>
          <w:cols w:equalWidth="0" w:num="1">
            <w:col w:w="11420"/>
          </w:cols>
          <w:pgMar w:left="240" w:top="692" w:right="23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Code and contributions to each such organization must be eligible for deduction under each of Sections 170(b)(1)(A), 2055 and 2522 of the Code.</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xml:space="preserve"> The term “Certificate of Incorporation” shall mean the Certificate of Incorporation of the Corporation.</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The term “Code” shall mean the Internal Revenue Code of 1986, as amended from time to time.</w:t>
      </w:r>
    </w:p>
    <w:p>
      <w:pPr>
        <w:spacing w:after="0" w:line="225" w:lineRule="exact"/>
        <w:rPr>
          <w:sz w:val="20"/>
          <w:szCs w:val="20"/>
          <w:color w:val="auto"/>
        </w:rPr>
      </w:pPr>
    </w:p>
    <w:p>
      <w:pPr>
        <w:ind w:right="100" w:firstLine="1297"/>
        <w:spacing w:after="0" w:line="291" w:lineRule="auto"/>
        <w:rPr>
          <w:sz w:val="20"/>
          <w:szCs w:val="20"/>
          <w:color w:val="auto"/>
        </w:rPr>
      </w:pPr>
      <w:r>
        <w:rPr>
          <w:rFonts w:ascii="Arial" w:cs="Arial" w:eastAsia="Arial" w:hAnsi="Arial"/>
          <w:sz w:val="16"/>
          <w:szCs w:val="16"/>
          <w:u w:val="single" w:color="auto"/>
          <w:color w:val="auto"/>
        </w:rPr>
        <w:t>Common Stock Ownership Limit.</w:t>
      </w:r>
      <w:r>
        <w:rPr>
          <w:rFonts w:ascii="Arial" w:cs="Arial" w:eastAsia="Arial" w:hAnsi="Arial"/>
          <w:sz w:val="16"/>
          <w:szCs w:val="16"/>
          <w:color w:val="auto"/>
        </w:rPr>
        <w:t xml:space="preserve"> The term “Common Stock Ownership Limit” shall mean not more than 9.8 percent (in value or in number of shares, whichever is more restrictive) of the aggregate of the outstanding shares of Common Stock, subject to the Board of Directors' power under Section 8.2.8 hereof to increase or decrease such percentage. The number and value of the outstanding shares of Common Stock of the Corporation shall be determined by the Board of Directors of the Corporation in good faith, which determination shall be conclusive for all purposes hereof. For purposes of determining the percentage ownership of Common Stock by any Person, shares of Common Stock that may be acquired upon conversion, exchange or exercise of any securities of the Corporation directly or constructively held by such Person, but not Common Stock issuable with respect to the conversion, exchange or exercise of securities for the Corporation held by other Persons, shall be deemed to be outstanding prior to conversion, exchange or exercise.</w:t>
      </w:r>
    </w:p>
    <w:p>
      <w:pPr>
        <w:spacing w:after="0" w:line="167" w:lineRule="exact"/>
        <w:rPr>
          <w:sz w:val="20"/>
          <w:szCs w:val="20"/>
          <w:color w:val="auto"/>
        </w:rPr>
      </w:pPr>
    </w:p>
    <w:p>
      <w:pPr>
        <w:ind w:right="240" w:firstLine="1297"/>
        <w:spacing w:after="0" w:line="259" w:lineRule="auto"/>
        <w:rPr>
          <w:sz w:val="20"/>
          <w:szCs w:val="20"/>
          <w:color w:val="auto"/>
        </w:rPr>
      </w:pPr>
      <w:r>
        <w:rPr>
          <w:rFonts w:ascii="Arial" w:cs="Arial" w:eastAsia="Arial" w:hAnsi="Arial"/>
          <w:sz w:val="18"/>
          <w:szCs w:val="18"/>
          <w:u w:val="single" w:color="auto"/>
          <w:color w:val="auto"/>
        </w:rPr>
        <w:t>Constructive Ownership.</w:t>
      </w:r>
      <w:r>
        <w:rPr>
          <w:rFonts w:ascii="Arial" w:cs="Arial" w:eastAsia="Arial" w:hAnsi="Arial"/>
          <w:sz w:val="18"/>
          <w:szCs w:val="18"/>
          <w:color w:val="auto"/>
        </w:rPr>
        <w:t xml:space="preserve"> The term “Constructive Ownership” shall mean ownership of Capital Stock by a Person, whether the interest in the shares of Capital Stock is held directly or indirectly (including by a nominee), and shall include interests that would be treated as owned actually or constructively through the application of Section 318(a) of the Code, as modified by Section 856(d)(5) of the Code. The terms “Constructive Owner,” “Constructively Owns” and “Constructively Owned” shall have the correlative meanings.</w:t>
      </w:r>
    </w:p>
    <w:p>
      <w:pPr>
        <w:spacing w:after="0" w:line="187"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u w:val="single" w:color="auto"/>
          <w:color w:val="auto"/>
        </w:rPr>
        <w:t>Excepted Holder.</w:t>
      </w:r>
      <w:r>
        <w:rPr>
          <w:rFonts w:ascii="Arial" w:cs="Arial" w:eastAsia="Arial" w:hAnsi="Arial"/>
          <w:sz w:val="18"/>
          <w:szCs w:val="18"/>
          <w:color w:val="auto"/>
        </w:rPr>
        <w:t xml:space="preserve"> The term “Excepted Holder” shall mean a Person for whom an Excepted Holder Limit is created by the Certificate of Incorporation or by the Board of Directors pursuant to Section 8.2.7.</w:t>
      </w:r>
    </w:p>
    <w:p>
      <w:pPr>
        <w:spacing w:after="0" w:line="170" w:lineRule="exact"/>
        <w:rPr>
          <w:sz w:val="20"/>
          <w:szCs w:val="20"/>
          <w:color w:val="auto"/>
        </w:rPr>
      </w:pPr>
    </w:p>
    <w:p>
      <w:pPr>
        <w:jc w:val="both"/>
        <w:ind w:right="200" w:firstLine="1297"/>
        <w:spacing w:after="0" w:line="286" w:lineRule="auto"/>
        <w:rPr>
          <w:sz w:val="20"/>
          <w:szCs w:val="20"/>
          <w:color w:val="auto"/>
        </w:rPr>
      </w:pPr>
      <w:r>
        <w:rPr>
          <w:rFonts w:ascii="Arial" w:cs="Arial" w:eastAsia="Arial" w:hAnsi="Arial"/>
          <w:sz w:val="17"/>
          <w:szCs w:val="17"/>
          <w:u w:val="single" w:color="auto"/>
          <w:color w:val="auto"/>
        </w:rPr>
        <w:t>Excepted Holder Limit.</w:t>
      </w:r>
      <w:r>
        <w:rPr>
          <w:rFonts w:ascii="Arial" w:cs="Arial" w:eastAsia="Arial" w:hAnsi="Arial"/>
          <w:sz w:val="17"/>
          <w:szCs w:val="17"/>
          <w:color w:val="auto"/>
        </w:rPr>
        <w:t xml:space="preserve"> The term “Excepted Holder Limit” shall mean, provided that the affected Excepted Holder agrees to comply with the requirements established by the Certificate of Incorporation or by the Board of Directors pursuant to Section 7.2.7 and subject to adjustment pursuant to Section 8.2.8, the percentage limit established for an Excepted Holder by the Board of Directors pursuant to Section 8.2.7.</w:t>
      </w:r>
    </w:p>
    <w:p>
      <w:pPr>
        <w:spacing w:after="0" w:line="166"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u w:val="single" w:color="auto"/>
          <w:color w:val="auto"/>
        </w:rPr>
        <w:t>Initial Date.</w:t>
      </w:r>
      <w:r>
        <w:rPr>
          <w:rFonts w:ascii="Arial" w:cs="Arial" w:eastAsia="Arial" w:hAnsi="Arial"/>
          <w:sz w:val="18"/>
          <w:szCs w:val="18"/>
          <w:color w:val="auto"/>
        </w:rPr>
        <w:t xml:space="preserve"> The term “Initial Date” shall mean the date upon which the Amended and Restated Certificate of Incorporation containing this Article VIII are filed with the Delaware Secretary of State.</w:t>
      </w:r>
    </w:p>
    <w:p>
      <w:pPr>
        <w:spacing w:after="0" w:line="170"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u w:val="single" w:color="auto"/>
          <w:color w:val="auto"/>
        </w:rPr>
        <w:t>Market Price.</w:t>
      </w:r>
      <w:r>
        <w:rPr>
          <w:rFonts w:ascii="Arial" w:cs="Arial" w:eastAsia="Arial" w:hAnsi="Arial"/>
          <w:sz w:val="17"/>
          <w:szCs w:val="17"/>
          <w:color w:val="auto"/>
        </w:rPr>
        <w:t xml:space="preserve"> The term “Market Price” on any date shall mean, with respect to any class or series of outstanding shares of Capital Stock, the Closing Price for such Capital Stock on such date. The “Closing Price” on any date shall mean the last reported sale price for such Capital Stock, regular way, or, in case no such sale takes place on such day, the average of the closing bid and asked prices, regular way, for such Capital Stock, in either case as reported in the principal consolidated transaction reporting system with respect to securities listed or admitted to trading on Nasdaq or, if such Capital Stock is not listed or admitted to trading on Nasdaq, as reported on the principal consolidated transaction reporting system with respect to securities listed on the principal national securities exchange on which such Capital Stock is listed or admitted to trading or, if such Capital Stock is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such Capital Stock is not quoted by any such organization, the average of the closing bid and asked prices as furnished by a professional market maker making a market in such Capital Stock selected by the Board of Directors of the Corporation or, in the event that no trading price is available for such Capital Stock, the fair market value of the Capital Stock, as determined in good faith by the Board of Directors of the Corporation.</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General Corporation Law.</w:t>
      </w:r>
      <w:r>
        <w:rPr>
          <w:rFonts w:ascii="Arial" w:cs="Arial" w:eastAsia="Arial" w:hAnsi="Arial"/>
          <w:sz w:val="16"/>
          <w:szCs w:val="16"/>
          <w:color w:val="auto"/>
        </w:rPr>
        <w:t xml:space="preserve"> The term “General Corporation Law” shall mean the Delaware General Corporation Law, as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Nasdaq.</w:t>
      </w:r>
      <w:r>
        <w:rPr>
          <w:rFonts w:ascii="Arial" w:cs="Arial" w:eastAsia="Arial" w:hAnsi="Arial"/>
          <w:sz w:val="18"/>
          <w:szCs w:val="18"/>
          <w:color w:val="auto"/>
        </w:rPr>
        <w:t xml:space="preserve"> The term “Nasdaq” shall mean The NASDAQ Stock Market, Inc.</w:t>
      </w:r>
    </w:p>
    <w:p>
      <w:pPr>
        <w:spacing w:after="0" w:line="225"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xml:space="preserve"> The term “Person” shall mean an individual, corporation, partnership, limited liability company, estate, trust (including a trust qualified under Sections 401(a) or 501(c)(17) of the Code), a portion of a trust permanently set aside for or to be used exclusively for the purposes described in Section 642(c) of the Code, association, private foundation within the meaning of Section 509(a) of the Code, joint stock company or other entity and also includes a group as that term is used for purposes of Section 13(d)(3) of the Securities Exchange Act of 1934, as amended, and a group to which an Excepted Holder Limit applies.</w:t>
      </w:r>
    </w:p>
    <w:p>
      <w:pPr>
        <w:spacing w:after="0" w:line="188"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u w:val="single" w:color="auto"/>
          <w:color w:val="auto"/>
        </w:rPr>
        <w:t>Prohibited Owner.</w:t>
      </w:r>
      <w:r>
        <w:rPr>
          <w:rFonts w:ascii="Arial" w:cs="Arial" w:eastAsia="Arial" w:hAnsi="Arial"/>
          <w:sz w:val="18"/>
          <w:szCs w:val="18"/>
          <w:color w:val="auto"/>
        </w:rPr>
        <w:t xml:space="preserve"> The term “Prohibited Owner” shall mean, with respect to any purported Transfer (or other event), any Person who, but for the provisions of Section 8.2.1, would Beneficially Own or Constructively Own shares of</w:t>
      </w:r>
    </w:p>
    <w:p>
      <w:pPr>
        <w:sectPr>
          <w:pgSz w:w="11900" w:h="16838" w:orient="portrait"/>
          <w:cols w:equalWidth="0" w:num="1">
            <w:col w:w="11420"/>
          </w:cols>
          <w:pgMar w:left="240" w:top="692" w:right="239" w:bottom="1440" w:gutter="0" w:footer="0" w:header="0"/>
        </w:sectPr>
      </w:pPr>
    </w:p>
    <w:bookmarkStart w:id="54" w:name="page55"/>
    <w:bookmarkEnd w:id="54"/>
    <w:p>
      <w:pPr>
        <w:spacing w:after="0" w:line="277" w:lineRule="auto"/>
        <w:rPr>
          <w:sz w:val="20"/>
          <w:szCs w:val="20"/>
          <w:color w:val="auto"/>
        </w:rPr>
      </w:pPr>
      <w:r>
        <w:rPr>
          <w:rFonts w:ascii="Arial" w:cs="Arial" w:eastAsia="Arial" w:hAnsi="Arial"/>
          <w:sz w:val="18"/>
          <w:szCs w:val="18"/>
          <w:color w:val="auto"/>
        </w:rPr>
        <w:t>Capital Stock in violation of the provisions of 8.2.1(a) and, if appropriate in the context, shall also mean any Person who would have been the record owner of the shares of Capital Stock that the Prohibited Owner would have so owned.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REIT.</w:t>
      </w:r>
      <w:r>
        <w:rPr>
          <w:rFonts w:ascii="Arial" w:cs="Arial" w:eastAsia="Arial" w:hAnsi="Arial"/>
          <w:sz w:val="18"/>
          <w:szCs w:val="18"/>
          <w:color w:val="auto"/>
        </w:rPr>
        <w:t xml:space="preserve"> The term “REIT” shall mean a real estate investment trust within the meaning of Section 856 of the Code.</w:t>
      </w:r>
    </w:p>
    <w:p>
      <w:pPr>
        <w:spacing w:after="0" w:line="225" w:lineRule="exact"/>
        <w:rPr>
          <w:sz w:val="20"/>
          <w:szCs w:val="20"/>
          <w:color w:val="auto"/>
        </w:rPr>
      </w:pPr>
    </w:p>
    <w:p>
      <w:pPr>
        <w:ind w:right="160" w:firstLine="1297"/>
        <w:spacing w:after="0" w:line="279" w:lineRule="auto"/>
        <w:rPr>
          <w:sz w:val="20"/>
          <w:szCs w:val="20"/>
          <w:color w:val="auto"/>
        </w:rPr>
      </w:pPr>
      <w:r>
        <w:rPr>
          <w:rFonts w:ascii="Arial" w:cs="Arial" w:eastAsia="Arial" w:hAnsi="Arial"/>
          <w:sz w:val="17"/>
          <w:szCs w:val="17"/>
          <w:u w:val="single" w:color="auto"/>
          <w:color w:val="auto"/>
        </w:rPr>
        <w:t>Restriction Termination Date.</w:t>
      </w:r>
      <w:r>
        <w:rPr>
          <w:rFonts w:ascii="Arial" w:cs="Arial" w:eastAsia="Arial" w:hAnsi="Arial"/>
          <w:sz w:val="17"/>
          <w:szCs w:val="17"/>
          <w:color w:val="auto"/>
        </w:rPr>
        <w:t xml:space="preserve"> The term “Restriction Termination Date” shall mean the first day after the Initial Date on which the Corporation determines pursuant to Section 5.6 of the Certificate of Incorporation that it is no longer in the best interests of the Corporation to attempt to, or continue to, qualify as a REIT or that compliance with the restrictions and limitations on Beneficial Ownership, Constructive Ownership and Transfers of shares of Capital Stock set forth herein is no longer required in order for the Corporation to qualify as a REIT.</w:t>
      </w:r>
    </w:p>
    <w:p>
      <w:pPr>
        <w:spacing w:after="0" w:line="171"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The term “Transfer” shall mean any issuance, sale, transfer, gift, assignment, devise or other disposition, as well as any other event that causes any Person to acquire Beneficial Ownership or Constructive Ownership, or any agreement to take any such actions or cause any such events, of Capital Stock or the right to vote or receive dividends on Capital Stock, including (a) the granting or exercise of any option (or any disposition of any option),</w:t>
      </w:r>
    </w:p>
    <w:p>
      <w:pPr>
        <w:ind w:right="60" w:firstLine="8"/>
        <w:spacing w:after="0" w:line="254"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disposition of any securities or rights convertible into or exchangeable for Capital Stock or any interest in Capital Stock or any exercise of any such conversion or exchange right and (c) Transfers of interests in other entities that result in changes in Beneficial or Constructive Ownership of Capital Stock; in each case, whether voluntary or involuntary, whether owned of record, Constructively Owned or Beneficially Owned and whether by operation of law or otherwise. The terms “Transferring” and “Transferred” shall have the correlative meanings.</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Trust.</w:t>
      </w:r>
      <w:r>
        <w:rPr>
          <w:rFonts w:ascii="Arial" w:cs="Arial" w:eastAsia="Arial" w:hAnsi="Arial"/>
          <w:sz w:val="18"/>
          <w:szCs w:val="18"/>
          <w:color w:val="auto"/>
        </w:rPr>
        <w:t xml:space="preserve"> The term “Trust” shall mean any trust provided for in Section 8.3.1.</w:t>
      </w:r>
    </w:p>
    <w:p>
      <w:pPr>
        <w:spacing w:after="0" w:line="225"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The term “Trustee” shall mean the Person unaffiliated with the Corporation and a Prohibited Owner, that is appointed by the Corporation to serve as trustee of the Trust.</w:t>
      </w:r>
    </w:p>
    <w:p>
      <w:pPr>
        <w:spacing w:after="0" w:line="170"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Capital Stock.</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8.2.1</w:t>
      </w:r>
      <w:r>
        <w:rPr>
          <w:sz w:val="20"/>
          <w:szCs w:val="20"/>
          <w:color w:val="auto"/>
        </w:rPr>
        <w:tab/>
      </w:r>
      <w:r>
        <w:rPr>
          <w:rFonts w:ascii="Arial" w:cs="Arial" w:eastAsia="Arial" w:hAnsi="Arial"/>
          <w:sz w:val="16"/>
          <w:szCs w:val="16"/>
          <w:u w:val="single" w:color="auto"/>
          <w:color w:val="auto"/>
        </w:rPr>
        <w:t xml:space="preserve">Ownership Limitations. </w:t>
      </w:r>
      <w:r>
        <w:rPr>
          <w:rFonts w:ascii="Arial" w:cs="Arial" w:eastAsia="Arial" w:hAnsi="Arial"/>
          <w:sz w:val="16"/>
          <w:szCs w:val="16"/>
          <w:color w:val="auto"/>
        </w:rPr>
        <w:t>During the period commencing on the Initial Date and prior to the Restriction Termination Date:</w:t>
      </w:r>
    </w:p>
    <w:p>
      <w:pPr>
        <w:spacing w:after="0" w:line="225" w:lineRule="exact"/>
        <w:rPr>
          <w:sz w:val="20"/>
          <w:szCs w:val="20"/>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Basic Restrictions.</w:t>
      </w:r>
    </w:p>
    <w:p>
      <w:pPr>
        <w:spacing w:after="0" w:line="225" w:lineRule="exact"/>
        <w:rPr>
          <w:rFonts w:ascii="Arial" w:cs="Arial" w:eastAsia="Arial" w:hAnsi="Arial"/>
          <w:sz w:val="18"/>
          <w:szCs w:val="18"/>
          <w:color w:val="auto"/>
        </w:rPr>
      </w:pPr>
    </w:p>
    <w:p>
      <w:pPr>
        <w:ind w:right="100" w:firstLine="1305"/>
        <w:spacing w:after="0" w:line="286" w:lineRule="auto"/>
        <w:tabs>
          <w:tab w:leader="none" w:pos="1511" w:val="left"/>
        </w:tabs>
        <w:numPr>
          <w:ilvl w:val="1"/>
          <w:numId w:val="41"/>
        </w:numPr>
        <w:rPr>
          <w:rFonts w:ascii="Arial" w:cs="Arial" w:eastAsia="Arial" w:hAnsi="Arial"/>
          <w:sz w:val="17"/>
          <w:szCs w:val="17"/>
          <w:color w:val="auto"/>
        </w:rPr>
      </w:pPr>
      <w:r>
        <w:rPr>
          <w:rFonts w:ascii="Arial" w:cs="Arial" w:eastAsia="Arial" w:hAnsi="Arial"/>
          <w:sz w:val="17"/>
          <w:szCs w:val="17"/>
          <w:color w:val="auto"/>
        </w:rPr>
        <w:t>(1) No Person, other than an Excepted Holder, shall Beneficially Own or Constructively Own either shares of Capital Stock in excess of the Aggregate Stock Ownership Limit or shares of Common Stock in excess of the Common Stock Ownership Limit and (2) no Excepted Holder shall Beneficially Own or Constructively Own shares of Capital Stock in excess of the Excepted Holder Limit for such Excepted Holder.</w:t>
      </w:r>
    </w:p>
    <w:p>
      <w:pPr>
        <w:spacing w:after="0" w:line="165" w:lineRule="exact"/>
        <w:rPr>
          <w:rFonts w:ascii="Arial" w:cs="Arial" w:eastAsia="Arial" w:hAnsi="Arial"/>
          <w:sz w:val="17"/>
          <w:szCs w:val="17"/>
          <w:color w:val="auto"/>
        </w:rPr>
      </w:pPr>
    </w:p>
    <w:p>
      <w:pPr>
        <w:ind w:firstLine="1305"/>
        <w:spacing w:after="0" w:line="254" w:lineRule="auto"/>
        <w:tabs>
          <w:tab w:leader="none" w:pos="1561"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 Person shall Beneficially or Constructively Own shares of Capital Stock to the extent that such Beneficial or Constructive Ownership of Capital Stock would result in the Corporation being “closely held” within the meaning of Section 856(h) of the Code (without regard to whether the ownership interest is held during the last half of a taxable year), or otherwise failing to qualify as a REIT (including, but not limited to, Beneficial or Constructive Ownership to the extent that such Beneficial or Constructive Ownership would result in the Corporation owning (actually or Constructively) a 9.9% interest in a tenant that is described in Section 856(d)(2)(B) of the Code (for this purpose, a tenant from whom the Corporation (or an entity owned or controlled by the Corporation) derives (and is expected to continue to derive) a sufficiently small amount of revenue such that, in the opinion of the Board of Directors of the Corporation, rent from such tenant would not adversely affect the Corporation’s ability to qualify as a REIT, shall not be treated as a tenant of the Corporation)).</w:t>
      </w:r>
    </w:p>
    <w:p>
      <w:pPr>
        <w:spacing w:after="0" w:line="192" w:lineRule="exact"/>
        <w:rPr>
          <w:rFonts w:ascii="Arial" w:cs="Arial" w:eastAsia="Arial" w:hAnsi="Arial"/>
          <w:sz w:val="18"/>
          <w:szCs w:val="18"/>
          <w:color w:val="auto"/>
        </w:rPr>
      </w:pPr>
    </w:p>
    <w:p>
      <w:pPr>
        <w:ind w:right="160" w:firstLine="1305"/>
        <w:spacing w:after="0" w:line="259" w:lineRule="auto"/>
        <w:tabs>
          <w:tab w:leader="none" w:pos="1611"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Notwithstanding any other provisions contained herein, no Person shall Transfer of shares of Capital Stock (whether or not such Transfer is the result of a transaction entered into through the facilities of Nasdaq or any other national securities exchange or automated inter-dealer quotation system) that, if effective, would result in the Capital Stock being Beneficially Owned by less than 100 Persons (determined under the principles of Section 856(a)(5) of the Code).</w:t>
      </w:r>
    </w:p>
    <w:p>
      <w:pPr>
        <w:spacing w:after="0" w:line="186" w:lineRule="exact"/>
        <w:rPr>
          <w:rFonts w:ascii="Arial" w:cs="Arial" w:eastAsia="Arial" w:hAnsi="Arial"/>
          <w:sz w:val="18"/>
          <w:szCs w:val="18"/>
          <w:color w:val="auto"/>
        </w:rPr>
      </w:pPr>
    </w:p>
    <w:p>
      <w:pPr>
        <w:ind w:right="260" w:firstLine="656"/>
        <w:spacing w:after="0" w:line="264" w:lineRule="auto"/>
        <w:tabs>
          <w:tab w:leader="none" w:pos="90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Transfer in Trust.</w:t>
      </w:r>
      <w:r>
        <w:rPr>
          <w:rFonts w:ascii="Arial" w:cs="Arial" w:eastAsia="Arial" w:hAnsi="Arial"/>
          <w:sz w:val="18"/>
          <w:szCs w:val="18"/>
          <w:color w:val="auto"/>
        </w:rPr>
        <w:t xml:space="preserve"> If any Transfer of shares of Capital Stock (whether or not such Transfer is the result of a transaction entered into through the facilities of Nasdaq or any other national securities exchange or automated inter-dealer quotation system) occurs which, if effective, would result in any Person Beneficially Owning or Constructively Owning shares of Capital Stock in violation of Section 8.2.1(a),</w:t>
      </w:r>
    </w:p>
    <w:p>
      <w:pPr>
        <w:spacing w:after="0" w:line="181" w:lineRule="exact"/>
        <w:rPr>
          <w:rFonts w:ascii="Arial" w:cs="Arial" w:eastAsia="Arial" w:hAnsi="Arial"/>
          <w:sz w:val="18"/>
          <w:szCs w:val="18"/>
          <w:color w:val="auto"/>
        </w:rPr>
      </w:pPr>
    </w:p>
    <w:p>
      <w:pPr>
        <w:ind w:right="280" w:firstLine="1305"/>
        <w:spacing w:after="0" w:line="264" w:lineRule="auto"/>
        <w:tabs>
          <w:tab w:leader="none" w:pos="1511"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then that number of shares of Capital Stock the Beneficial or Constructive Ownership of which otherwise would cause such Person to violate Section 8.2.1(a) (rounded up to the nearest whole share) shall be automatically transferred to a Trust for the benefit of a Charitable Beneficiary, as described in Section 8.3, effective as of the</w:t>
      </w:r>
    </w:p>
    <w:p>
      <w:pPr>
        <w:sectPr>
          <w:pgSz w:w="11900" w:h="16838" w:orient="portrait"/>
          <w:cols w:equalWidth="0" w:num="1">
            <w:col w:w="11420"/>
          </w:cols>
          <w:pgMar w:left="240" w:top="692" w:right="239" w:bottom="1440" w:gutter="0" w:footer="0" w:header="0"/>
        </w:sectPr>
      </w:pPr>
    </w:p>
    <w:bookmarkStart w:id="55" w:name="page56"/>
    <w:bookmarkEnd w:id="55"/>
    <w:p>
      <w:pPr>
        <w:ind w:right="380"/>
        <w:spacing w:after="0" w:line="277" w:lineRule="auto"/>
        <w:rPr>
          <w:sz w:val="20"/>
          <w:szCs w:val="20"/>
          <w:color w:val="auto"/>
        </w:rPr>
      </w:pPr>
      <w:r>
        <w:rPr>
          <w:rFonts w:ascii="Arial" w:cs="Arial" w:eastAsia="Arial" w:hAnsi="Arial"/>
          <w:sz w:val="18"/>
          <w:szCs w:val="18"/>
          <w:color w:val="auto"/>
        </w:rPr>
        <w:t>close of business on the Business Day prior to the date of such Transfer (or other event), and such Person shall acquire no rights in such shares of Capital Stock; or</w:t>
      </w:r>
    </w:p>
    <w:p>
      <w:pPr>
        <w:spacing w:after="0" w:line="170" w:lineRule="exact"/>
        <w:rPr>
          <w:sz w:val="20"/>
          <w:szCs w:val="20"/>
          <w:color w:val="auto"/>
        </w:rPr>
      </w:pPr>
    </w:p>
    <w:p>
      <w:pPr>
        <w:ind w:right="20" w:firstLine="1305"/>
        <w:spacing w:after="0" w:line="264" w:lineRule="auto"/>
        <w:tabs>
          <w:tab w:leader="none" w:pos="1561"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transfer to the Trust described in clause (i) of this sentence would not be effective for any reason to prevent the violation of Section 8.2.1(a), then the Transfer of that number of shares of Capital Stock that otherwise would cause any Person to violate Section 8.2.1(a) shall be void ab initio, and the intended transferee shall acquire no rights in such shares of Capital Stock.</w:t>
      </w:r>
    </w:p>
    <w:p>
      <w:pPr>
        <w:spacing w:after="0" w:line="181" w:lineRule="exact"/>
        <w:rPr>
          <w:rFonts w:ascii="Arial" w:cs="Arial" w:eastAsia="Arial" w:hAnsi="Arial"/>
          <w:sz w:val="18"/>
          <w:szCs w:val="18"/>
          <w:color w:val="auto"/>
        </w:rPr>
      </w:pPr>
    </w:p>
    <w:p>
      <w:pPr>
        <w:ind w:right="100" w:firstLine="1305"/>
        <w:spacing w:after="0" w:line="257" w:lineRule="auto"/>
        <w:tabs>
          <w:tab w:leader="none" w:pos="16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determining which shares of Capital Stock are to be transferred to a Trust in accordance with this Section 8.2.1(b) and Section 8.3 hereof, shares shall be so transferred to a Trust in such manner that minimizes the aggregate value of the shares that are transferred to the Trust (except to the extent that the Board of Directors determines that the shares transferred to the Trust shall be those directly or indirectly held or Beneficially Owned or Constructively Owned by a Person or Persons that caused or contributed to the application of this Section 8.2.1(b)), and to the extent not inconsistent therewith, on a pro rata basis.</w:t>
      </w:r>
    </w:p>
    <w:p>
      <w:pPr>
        <w:spacing w:after="0" w:line="188" w:lineRule="exact"/>
        <w:rPr>
          <w:rFonts w:ascii="Arial" w:cs="Arial" w:eastAsia="Arial" w:hAnsi="Arial"/>
          <w:sz w:val="18"/>
          <w:szCs w:val="18"/>
          <w:color w:val="auto"/>
        </w:rPr>
      </w:pPr>
    </w:p>
    <w:p>
      <w:pPr>
        <w:ind w:right="80" w:firstLine="1305"/>
        <w:spacing w:after="0" w:line="257" w:lineRule="auto"/>
        <w:tabs>
          <w:tab w:leader="none" w:pos="160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the extent that, upon a transfer of shares of Capital Stock pursuant to this Section 8.2.1(b), a violation of Section 8.2.1(a) would nonetheless be continuing, (for example where the ownership of shares of Capital Stock by a single Trust would result in the Capital Stock being beneficially owned (determined under the principles of Section 856(a)(5) of the Code) by less than 100 persons), the shares of Capital Stock shall be transferred to that number of Trusts, each having a distinct Trustee and a Charitable Beneficiary or Beneficiaries that are distinct from those of each other Trust, such that there is no violation of Section 8.2.1(a).</w:t>
      </w:r>
    </w:p>
    <w:p>
      <w:pPr>
        <w:spacing w:after="0" w:line="18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Section 8.2.2 </w:t>
      </w:r>
      <w:r>
        <w:rPr>
          <w:rFonts w:ascii="Arial" w:cs="Arial" w:eastAsia="Arial" w:hAnsi="Arial"/>
          <w:sz w:val="16"/>
          <w:szCs w:val="16"/>
          <w:u w:val="single" w:color="auto"/>
          <w:color w:val="auto"/>
        </w:rPr>
        <w:t>Remedies for Breach.</w:t>
      </w:r>
      <w:r>
        <w:rPr>
          <w:rFonts w:ascii="Arial" w:cs="Arial" w:eastAsia="Arial" w:hAnsi="Arial"/>
          <w:sz w:val="16"/>
          <w:szCs w:val="16"/>
          <w:color w:val="auto"/>
        </w:rPr>
        <w:t xml:space="preserve"> If the Board of Directors of the Corporation or any duly authorized committee thereof (or other designees if permitted by the General Corporation Law) shall at any time determine in good faith that a Transfer or other event has taken place that results in a violation of Section 8.2.1(a) or that a Person intends to acquire or has attempted to acquire Beneficial Ownership or Constructive Ownership of any shares of Capital Stock in violation of Section 8.2.1(a) (whether or not such violation is intended), the Board of Directors or a committee thereof (or other designees if permitted by the General Corporation Law) shall take such action as it deems advisable to refuse to give effect to or to prevent such Transfer or other event, including, without limitation, causing the Corporation to redeem shares of Capital Stock, refusing to give effect to such Transfer on the books of the Corporation or instituting proceedings to enjoin such Transfer or other event; provided, however, that any Transfer or attempted Transfer or other event in violation of Section 8.2.1(a) shall automatically result in the transfer to the Trust described above and, where applicable, such Transfer (or other event) shall be void ab initio as provided above irrespective of any action (or non-action) by the Board of Directors or a committee thereof.</w:t>
      </w:r>
    </w:p>
    <w:p>
      <w:pPr>
        <w:spacing w:after="0" w:line="16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Section 8.2.3 </w:t>
      </w:r>
      <w:r>
        <w:rPr>
          <w:rFonts w:ascii="Arial" w:cs="Arial" w:eastAsia="Arial" w:hAnsi="Arial"/>
          <w:sz w:val="17"/>
          <w:szCs w:val="17"/>
          <w:u w:val="single" w:color="auto"/>
          <w:color w:val="auto"/>
        </w:rPr>
        <w:t>Notice of Restricted Transfer.</w:t>
      </w:r>
      <w:r>
        <w:rPr>
          <w:rFonts w:ascii="Arial" w:cs="Arial" w:eastAsia="Arial" w:hAnsi="Arial"/>
          <w:sz w:val="17"/>
          <w:szCs w:val="17"/>
          <w:color w:val="auto"/>
        </w:rPr>
        <w:t xml:space="preserve"> Any Person who acquires or attempts or intends to acquire Beneficial Ownership or Constructive Ownership of shares of Capital Stock that will or may violate Section 8.2.1(a) or any Person who would have owned shares of Capital Stock that resulted in a transfer to the Trust pursuant to the provisions of Section 8.2.1(b) shall immediately give written notice to the Corporation of such event, or in the case of such a proposed or attempted transaction, give at least 15 days prior written notice, and shall provide to the Corporation such other information as the Corporation may request in order to determine the effect, if any, of such Transfer on the Corporation’s qualification as a REIT.</w:t>
      </w:r>
    </w:p>
    <w:p>
      <w:pPr>
        <w:spacing w:after="0" w:line="173"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8.2.4</w:t>
      </w:r>
      <w:r>
        <w:rPr>
          <w:sz w:val="20"/>
          <w:szCs w:val="20"/>
          <w:color w:val="auto"/>
        </w:rPr>
        <w:tab/>
      </w:r>
      <w:r>
        <w:rPr>
          <w:rFonts w:ascii="Arial" w:cs="Arial" w:eastAsia="Arial" w:hAnsi="Arial"/>
          <w:sz w:val="16"/>
          <w:szCs w:val="16"/>
          <w:u w:val="single" w:color="auto"/>
          <w:color w:val="auto"/>
        </w:rPr>
        <w:t>Owners Required to Provide Information</w:t>
      </w:r>
      <w:r>
        <w:rPr>
          <w:rFonts w:ascii="Arial" w:cs="Arial" w:eastAsia="Arial" w:hAnsi="Arial"/>
          <w:sz w:val="16"/>
          <w:szCs w:val="16"/>
          <w:color w:val="auto"/>
        </w:rPr>
        <w:t>. From the Initial Date and prior to the Restriction Termination Date:</w:t>
      </w:r>
    </w:p>
    <w:p>
      <w:pPr>
        <w:spacing w:after="0" w:line="225" w:lineRule="exact"/>
        <w:rPr>
          <w:sz w:val="20"/>
          <w:szCs w:val="20"/>
          <w:color w:val="auto"/>
        </w:rPr>
      </w:pPr>
    </w:p>
    <w:p>
      <w:pPr>
        <w:ind w:right="20" w:firstLine="656"/>
        <w:spacing w:after="0" w:line="273" w:lineRule="auto"/>
        <w:tabs>
          <w:tab w:leader="none" w:pos="893" w:val="left"/>
        </w:tabs>
        <w:numPr>
          <w:ilvl w:val="0"/>
          <w:numId w:val="43"/>
        </w:numPr>
        <w:rPr>
          <w:rFonts w:ascii="Arial" w:cs="Arial" w:eastAsia="Arial" w:hAnsi="Arial"/>
          <w:sz w:val="17"/>
          <w:szCs w:val="17"/>
          <w:color w:val="auto"/>
        </w:rPr>
      </w:pPr>
      <w:r>
        <w:rPr>
          <w:rFonts w:ascii="Arial" w:cs="Arial" w:eastAsia="Arial" w:hAnsi="Arial"/>
          <w:sz w:val="17"/>
          <w:szCs w:val="17"/>
          <w:color w:val="auto"/>
        </w:rPr>
        <w:t>every owner of more than five percent (or such lower percentage as required by the Code or the Treasury Regulations promulgated thereunder) in number or value of the outstanding shares of Capital Stock, within 30 days after the end of each taxable year, shall give written notice to the Corporation stating the name and address of such owner, the number of shares of Capital Stock and other shares of the Capital Stock Beneficially Owned and a description of the manner in which such shares are held. Each such owner shall provide to the Corporation such additional information as the Corporation may request in order to determine the effect, if any, of such Beneficial Ownership on the Corporation’s qualification as a REIT and to ensure compliance with the Aggregate Stock Ownership Limit and the Common Stock Ownership Limit; and</w:t>
      </w:r>
    </w:p>
    <w:p>
      <w:pPr>
        <w:spacing w:after="0" w:line="178" w:lineRule="exact"/>
        <w:rPr>
          <w:rFonts w:ascii="Arial" w:cs="Arial" w:eastAsia="Arial" w:hAnsi="Arial"/>
          <w:sz w:val="17"/>
          <w:szCs w:val="17"/>
          <w:color w:val="auto"/>
        </w:rPr>
      </w:pPr>
    </w:p>
    <w:p>
      <w:pPr>
        <w:ind w:firstLine="656"/>
        <w:spacing w:after="0" w:line="279" w:lineRule="auto"/>
        <w:tabs>
          <w:tab w:leader="none" w:pos="903"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Person who is a Beneficial or Constructive Owner of Capital Stock and each Person (including the stockholder of record) who is holding Capital Stock for a Beneficial or Constructive Owner shall provide to the Corporation such information as the Corporation may request, in good faith, in order to determine the Corporation’s qualification as a REIT and to comply with requirements of any taxing authority or governmental authority or to determine such compliance and to ensure compliance with the Aggregate Stock Ownership Limit and the Common Stock Ownership Limit.</w:t>
      </w:r>
    </w:p>
    <w:p>
      <w:pPr>
        <w:spacing w:after="0" w:line="17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8.2.5 </w:t>
      </w:r>
      <w:r>
        <w:rPr>
          <w:rFonts w:ascii="Arial" w:cs="Arial" w:eastAsia="Arial" w:hAnsi="Arial"/>
          <w:sz w:val="18"/>
          <w:szCs w:val="18"/>
          <w:u w:val="single" w:color="auto"/>
          <w:color w:val="auto"/>
        </w:rPr>
        <w:t>Remedies Not Limited.</w:t>
      </w:r>
      <w:r>
        <w:rPr>
          <w:rFonts w:ascii="Arial" w:cs="Arial" w:eastAsia="Arial" w:hAnsi="Arial"/>
          <w:sz w:val="18"/>
          <w:szCs w:val="18"/>
          <w:color w:val="auto"/>
        </w:rPr>
        <w:t xml:space="preserve"> Subject to Section 5.6 of the Certificate of Incorporation, nothing contained in this Section 8.2 shall limit the authority of the Board of Directors of the Corporation to take such other</w:t>
      </w:r>
    </w:p>
    <w:p>
      <w:pPr>
        <w:sectPr>
          <w:pgSz w:w="11900" w:h="16838" w:orient="portrait"/>
          <w:cols w:equalWidth="0" w:num="1">
            <w:col w:w="11420"/>
          </w:cols>
          <w:pgMar w:left="240" w:top="692" w:right="239" w:bottom="1440" w:gutter="0" w:footer="0" w:header="0"/>
        </w:sectPr>
      </w:pPr>
    </w:p>
    <w:bookmarkStart w:id="56" w:name="page57"/>
    <w:bookmarkEnd w:id="56"/>
    <w:p>
      <w:pPr>
        <w:ind w:right="400"/>
        <w:spacing w:after="0" w:line="277" w:lineRule="auto"/>
        <w:rPr>
          <w:sz w:val="20"/>
          <w:szCs w:val="20"/>
          <w:color w:val="auto"/>
        </w:rPr>
      </w:pPr>
      <w:r>
        <w:rPr>
          <w:rFonts w:ascii="Arial" w:cs="Arial" w:eastAsia="Arial" w:hAnsi="Arial"/>
          <w:sz w:val="18"/>
          <w:szCs w:val="18"/>
          <w:color w:val="auto"/>
        </w:rPr>
        <w:t>action as it deems necessary or advisable to protect the Corporation and the interests of its stockholders in preserving the Corporation’s qualification as a REIT.</w:t>
      </w:r>
    </w:p>
    <w:p>
      <w:pPr>
        <w:spacing w:after="0" w:line="17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 xml:space="preserve">Section 8.2.6 </w:t>
      </w:r>
      <w:r>
        <w:rPr>
          <w:rFonts w:ascii="Arial" w:cs="Arial" w:eastAsia="Arial" w:hAnsi="Arial"/>
          <w:sz w:val="16"/>
          <w:szCs w:val="16"/>
          <w:u w:val="single" w:color="auto"/>
          <w:color w:val="auto"/>
        </w:rPr>
        <w:t>Ambiguity.</w:t>
      </w:r>
      <w:r>
        <w:rPr>
          <w:rFonts w:ascii="Arial" w:cs="Arial" w:eastAsia="Arial" w:hAnsi="Arial"/>
          <w:sz w:val="16"/>
          <w:szCs w:val="16"/>
          <w:color w:val="auto"/>
        </w:rPr>
        <w:t xml:space="preserve"> In the case of an ambiguity in the application of any of the provisions of this Section 8.2, Section 8.3 or any definition contained in Section 8.1, the Board of Directors of the Corporation shall have the power to determine the application of the provisions of this Section 8.2 or Section 8.3 or any such definition with respect to any situation based on the facts known to it. In the event Section 8.2 or Section 8.3 requires an action by the Board of Directors and the Certificate of Incorporation fails to provide specific guidance with respect to such action, the Board of Directors shall have the power to determine the action to be taken so long as such action is not contrary to the provisions of Sections 8.1, 8.2 or 8.3. Absent a decision to the contrary by the Board of Directors (which the Board of Directors may make in its sole and absolute discretion), if a Person would have (but for the remedies set forth in Section 8.2.1) acquired Beneficial Ownership or Constructive Ownership of Capital Stock in violation of Section 8.2.1, such remedies (as applicable) shall apply first to the shares of Capital Stock that, but for such remedies, would have been actually owned by such Person, and second to shares of Capital Stock which, but for such remedies, would have been Beneficially Owned or Constructively Owned (but not actually owned) by such Person, pro rata among the Persons who actually own such shares of Capital Stock based upon the relative number of the shares of Capital Stock held by each such Person.</w:t>
      </w:r>
    </w:p>
    <w:p>
      <w:pPr>
        <w:spacing w:after="0" w:line="16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8.2.7</w:t>
      </w:r>
      <w:r>
        <w:rPr>
          <w:sz w:val="20"/>
          <w:szCs w:val="20"/>
          <w:color w:val="auto"/>
        </w:rPr>
        <w:tab/>
      </w:r>
      <w:r>
        <w:rPr>
          <w:rFonts w:ascii="Arial" w:cs="Arial" w:eastAsia="Arial" w:hAnsi="Arial"/>
          <w:sz w:val="16"/>
          <w:szCs w:val="16"/>
          <w:u w:val="single" w:color="auto"/>
          <w:color w:val="auto"/>
        </w:rPr>
        <w:t>Exceptions.</w:t>
      </w:r>
    </w:p>
    <w:p>
      <w:pPr>
        <w:spacing w:after="0" w:line="225" w:lineRule="exact"/>
        <w:rPr>
          <w:sz w:val="20"/>
          <w:szCs w:val="20"/>
          <w:color w:val="auto"/>
        </w:rPr>
      </w:pPr>
    </w:p>
    <w:p>
      <w:pPr>
        <w:ind w:right="280" w:firstLine="656"/>
        <w:spacing w:after="0" w:line="264" w:lineRule="auto"/>
        <w:tabs>
          <w:tab w:leader="none" w:pos="893"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Section 8.2.1, the Board of Directors of the Corporation, in its sole discretion, may exempt (prospectively or retroactively) a Person from the Aggregate Stock Ownership Limit, the Common Stock Ownership Limit, or both such limits and may establish or increase an Excepted Holder Limit for such Person if:</w:t>
      </w:r>
    </w:p>
    <w:p>
      <w:pPr>
        <w:spacing w:after="0" w:line="181" w:lineRule="exact"/>
        <w:rPr>
          <w:rFonts w:ascii="Arial" w:cs="Arial" w:eastAsia="Arial" w:hAnsi="Arial"/>
          <w:sz w:val="18"/>
          <w:szCs w:val="18"/>
          <w:color w:val="auto"/>
        </w:rPr>
      </w:pPr>
    </w:p>
    <w:p>
      <w:pPr>
        <w:ind w:right="180" w:firstLine="1305"/>
        <w:spacing w:after="0" w:line="277" w:lineRule="auto"/>
        <w:tabs>
          <w:tab w:leader="none" w:pos="1511"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Board of Directors obtains such representations and undertakings from such Person as are reasonably necessary to ascertain that no individual’s Beneficial or Constructive Ownership of such shares of Capital Stock will violate Section 8.2.1(a)(ii);</w:t>
      </w:r>
    </w:p>
    <w:p>
      <w:pPr>
        <w:spacing w:after="0" w:line="170" w:lineRule="exact"/>
        <w:rPr>
          <w:rFonts w:ascii="Arial" w:cs="Arial" w:eastAsia="Arial" w:hAnsi="Arial"/>
          <w:sz w:val="18"/>
          <w:szCs w:val="18"/>
          <w:color w:val="auto"/>
        </w:rPr>
      </w:pPr>
    </w:p>
    <w:p>
      <w:pPr>
        <w:ind w:right="20" w:firstLine="1305"/>
        <w:spacing w:after="0" w:line="259" w:lineRule="auto"/>
        <w:tabs>
          <w:tab w:leader="none" w:pos="1561" w:val="left"/>
        </w:tabs>
        <w:numPr>
          <w:ilvl w:val="1"/>
          <w:numId w:val="44"/>
        </w:numPr>
        <w:rPr>
          <w:rFonts w:ascii="Arial" w:cs="Arial" w:eastAsia="Arial" w:hAnsi="Arial"/>
          <w:sz w:val="18"/>
          <w:szCs w:val="18"/>
          <w:color w:val="auto"/>
        </w:rPr>
      </w:pPr>
      <w:r>
        <w:rPr>
          <w:rFonts w:ascii="Arial" w:cs="Arial" w:eastAsia="Arial" w:hAnsi="Arial"/>
          <w:sz w:val="18"/>
          <w:szCs w:val="18"/>
          <w:color w:val="auto"/>
        </w:rPr>
        <w:t>such Person does not and represents that it will not own, actually or Constructively, an interest in a tenant of the Corporation (or a tenant of any entity owned or controlled by the Corporation) that would cause the Corporation to own, actually or Constructively, more than a 9.9% interest (as set forth in Section 856(d)(2)(B) of the Code) in such tenant and the Board of Directors obtains such representations and undertakings from such Person as are reasonably necessary to ascertain this fact; and</w:t>
      </w:r>
    </w:p>
    <w:p>
      <w:pPr>
        <w:spacing w:after="0" w:line="186" w:lineRule="exact"/>
        <w:rPr>
          <w:rFonts w:ascii="Arial" w:cs="Arial" w:eastAsia="Arial" w:hAnsi="Arial"/>
          <w:sz w:val="18"/>
          <w:szCs w:val="18"/>
          <w:color w:val="auto"/>
        </w:rPr>
      </w:pPr>
    </w:p>
    <w:p>
      <w:pPr>
        <w:ind w:firstLine="1305"/>
        <w:spacing w:after="0" w:line="264" w:lineRule="auto"/>
        <w:tabs>
          <w:tab w:leader="none" w:pos="1611" w:val="left"/>
        </w:tabs>
        <w:numPr>
          <w:ilvl w:val="1"/>
          <w:numId w:val="44"/>
        </w:numPr>
        <w:rPr>
          <w:rFonts w:ascii="Arial" w:cs="Arial" w:eastAsia="Arial" w:hAnsi="Arial"/>
          <w:sz w:val="18"/>
          <w:szCs w:val="18"/>
          <w:color w:val="auto"/>
        </w:rPr>
      </w:pPr>
      <w:r>
        <w:rPr>
          <w:rFonts w:ascii="Arial" w:cs="Arial" w:eastAsia="Arial" w:hAnsi="Arial"/>
          <w:sz w:val="18"/>
          <w:szCs w:val="18"/>
          <w:color w:val="auto"/>
        </w:rPr>
        <w:t>such Person agrees that any violation or attempted violation of such representations or undertakings (or other action which is contrary to the restrictions contained in Sections 8.2.1 through 8.2.6) will result in such shares of Capital Stock being automatically transferred to a Trust in accordance with Sections 8.2.1(b) and 8.3.</w:t>
      </w:r>
    </w:p>
    <w:p>
      <w:pPr>
        <w:spacing w:after="0" w:line="181" w:lineRule="exact"/>
        <w:rPr>
          <w:rFonts w:ascii="Arial" w:cs="Arial" w:eastAsia="Arial" w:hAnsi="Arial"/>
          <w:sz w:val="18"/>
          <w:szCs w:val="18"/>
          <w:color w:val="auto"/>
        </w:rPr>
      </w:pPr>
    </w:p>
    <w:p>
      <w:pPr>
        <w:ind w:right="300" w:firstLine="656"/>
        <w:spacing w:after="0" w:line="302" w:lineRule="auto"/>
        <w:tabs>
          <w:tab w:leader="none" w:pos="903"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Prior to granting any exception pursuant to Section 8.2.7(a), the Board of Directors of the Corporation may require a ruling from the Internal Revenue Service, or an opinion of counsel, in either case in form and substance satisfactory to the Board of Directors in its sole discretion, as it may deem necessary or advisable in order to determine or ensure the Corporation’s qualification as a REIT. Notwithstanding the receipt of any ruling or opinion, the Board of Directors may impose such conditions or restrictions as it deems appropriate in connection with granting such exception.</w:t>
      </w:r>
    </w:p>
    <w:p>
      <w:pPr>
        <w:spacing w:after="0" w:line="154" w:lineRule="exact"/>
        <w:rPr>
          <w:rFonts w:ascii="Arial" w:cs="Arial" w:eastAsia="Arial" w:hAnsi="Arial"/>
          <w:sz w:val="16"/>
          <w:szCs w:val="16"/>
          <w:color w:val="auto"/>
        </w:rPr>
      </w:pPr>
    </w:p>
    <w:p>
      <w:pPr>
        <w:jc w:val="both"/>
        <w:ind w:firstLine="656"/>
        <w:spacing w:after="0" w:line="259" w:lineRule="auto"/>
        <w:tabs>
          <w:tab w:leader="none" w:pos="893"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Section 8.2.1(a)(ii), an underwriter or placement agent that participates in a public offering or a private placement of Capital Stock (or securities convertible into or exchangeable for Capital Stock) may Beneficially Own or Constructively Own shares of Capital Stock (or securities convertible into or exchangeable for Capital Stock) in excess of the Aggregate Stock Ownership Limit, the Common Stock Ownership Limit, or both such limits, but only to the extent necessary to facilitate such public offering or private placement.</w:t>
      </w:r>
    </w:p>
    <w:p>
      <w:pPr>
        <w:spacing w:after="0" w:line="186" w:lineRule="exact"/>
        <w:rPr>
          <w:rFonts w:ascii="Arial" w:cs="Arial" w:eastAsia="Arial" w:hAnsi="Arial"/>
          <w:sz w:val="18"/>
          <w:szCs w:val="18"/>
          <w:color w:val="auto"/>
        </w:rPr>
      </w:pPr>
    </w:p>
    <w:p>
      <w:pPr>
        <w:ind w:right="20" w:firstLine="656"/>
        <w:spacing w:after="0" w:line="259" w:lineRule="auto"/>
        <w:tabs>
          <w:tab w:leader="none" w:pos="9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Board of Directors may only reduce the Excepted Holder Limit for an Excepted Holder: (i) with the written consent of such Excepted Holder at any time, or (ii) pursuant to the terms and conditions of the agreements and undertakings entered into with such Excepted Holder in connection with the establishment of the Excepted Holder Limit for that Excepted Holder. No Excepted Holder Limit shall be reduced to a percentage that is less than the Aggregate Stock Ownership Limit or the Common Stock Ownership Limit, as the case may be.</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8.2.8 </w:t>
      </w:r>
      <w:r>
        <w:rPr>
          <w:rFonts w:ascii="Arial" w:cs="Arial" w:eastAsia="Arial" w:hAnsi="Arial"/>
          <w:sz w:val="18"/>
          <w:szCs w:val="18"/>
          <w:u w:val="single" w:color="auto"/>
          <w:color w:val="auto"/>
        </w:rPr>
        <w:t>Change in Aggregate Stock Ownership Limit and Common Stock Ownership Limit.</w:t>
      </w:r>
      <w:r>
        <w:rPr>
          <w:rFonts w:ascii="Arial" w:cs="Arial" w:eastAsia="Arial" w:hAnsi="Arial"/>
          <w:sz w:val="18"/>
          <w:szCs w:val="18"/>
          <w:color w:val="auto"/>
        </w:rPr>
        <w:t xml:space="preserve"> The Board of Directors may from time to time increase or decrease the Aggregate Stock Ownership Limit and Common Stock Ownership Limit; provided, however, that a decreased Aggregate Stock Ownership Limit or Common Stock Ownership Limit will not be effective for any Person whose percentage ownership of Capital Stock or Common Stock, as the case may be, is in excess of such decreased Aggregate Stock Ownership Limit or Common Stock Ownership Limit until such time as such Person's percentage of Capital Stock or Common Stock, as the case may be, equals or falls below the decreased Aggregate Stock Ownership Limit or Common Stock Ownership, but until such time as such Person's percentage of Capital Stock or Common Stock, as the case may be, falls below such decreased Aggregate Stock Ownership Limit or Common Stock Ownership Limit, any further acquisition of Capital Stock or Common Stock will be in violation of the Aggregate Stock</w:t>
      </w:r>
    </w:p>
    <w:p>
      <w:pPr>
        <w:sectPr>
          <w:pgSz w:w="11900" w:h="16838" w:orient="portrait"/>
          <w:cols w:equalWidth="0" w:num="1">
            <w:col w:w="11420"/>
          </w:cols>
          <w:pgMar w:left="240" w:top="692" w:right="239" w:bottom="1440" w:gutter="0" w:footer="0" w:header="0"/>
        </w:sectPr>
      </w:pPr>
    </w:p>
    <w:bookmarkStart w:id="57" w:name="page58"/>
    <w:bookmarkEnd w:id="57"/>
    <w:p>
      <w:pPr>
        <w:ind w:right="160"/>
        <w:spacing w:after="0" w:line="257" w:lineRule="auto"/>
        <w:rPr>
          <w:sz w:val="20"/>
          <w:szCs w:val="20"/>
          <w:color w:val="auto"/>
        </w:rPr>
      </w:pPr>
      <w:r>
        <w:rPr>
          <w:rFonts w:ascii="Arial" w:cs="Arial" w:eastAsia="Arial" w:hAnsi="Arial"/>
          <w:sz w:val="18"/>
          <w:szCs w:val="18"/>
          <w:color w:val="auto"/>
        </w:rPr>
        <w:t>Ownership Limit or Common Stock Ownership Limit and, provided further, that the new Aggregate Stock Ownership Limit or Common Stock Ownership Limit would not allow five or fewer individuals (as defined in Section 542(a)(2) of the Code and taking into account all Excepted Holders) to Beneficially Own more than 49.9% in value of the outstanding Capital Stock. If the Board of Directors changes the Common Stock Ownership Limit and/or Aggregate Stock Ownership Limit, it will (i) notify each stockholder of record of any such change, and (ii) publicly announce any such change, in each case at least 30 days prior to the effective date of such change.</w:t>
      </w:r>
    </w:p>
    <w:p>
      <w:pPr>
        <w:spacing w:after="0" w:line="18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8.2.9</w:t>
      </w:r>
      <w:r>
        <w:rPr>
          <w:sz w:val="20"/>
          <w:szCs w:val="20"/>
          <w:color w:val="auto"/>
        </w:rPr>
        <w:tab/>
      </w:r>
      <w:r>
        <w:rPr>
          <w:rFonts w:ascii="Arial" w:cs="Arial" w:eastAsia="Arial" w:hAnsi="Arial"/>
          <w:sz w:val="16"/>
          <w:szCs w:val="16"/>
          <w:u w:val="single" w:color="auto"/>
          <w:color w:val="auto"/>
        </w:rPr>
        <w:t xml:space="preserve">Legend. </w:t>
      </w:r>
      <w:r>
        <w:rPr>
          <w:rFonts w:ascii="Arial" w:cs="Arial" w:eastAsia="Arial" w:hAnsi="Arial"/>
          <w:sz w:val="16"/>
          <w:szCs w:val="16"/>
          <w:color w:val="auto"/>
        </w:rPr>
        <w:t>Each certificate for shares of Capital Stock shall bear substantially the following legend:</w:t>
      </w:r>
    </w:p>
    <w:p>
      <w:pPr>
        <w:spacing w:after="0" w:line="225"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“The shares of any class or series of the Corporation’s stock (the “Capital Stock”) represented by this certificate are subject to restrictions on Beneficial Ownership, Constructive Ownership and Transfer (as each such capitalized term is defined in the Corporation’s Certificate of Incorporation, as the same may be amended from time to time (the "Certificate of Incorporation")) for the purpose of the Corporation's maintenance of its status as a real estate investment trust (a “REIT”) under the Internal Revenue Code of 1986, as amended (the “Code”). Subject to certain further restrictions and except as expressly provided in the Certificate of Incorporation, (i) no Person (as defined in the Certificate of Incorporation) may Beneficially Own or Constructively Own shares of the Corporation’s common stock, par value $0.01 per share (the “Common Stock”) in excess of 9.8% (in value or number of shares, whichever is more restrictive) of the total outstanding shares of Common Stock unless such Person is an Excepted Holder (as defined in the Certificate of Incorporation), in which case the Excepted Holder Limit (as defined in the Certificate of Incorporation) shall be applicable; (ii) no Person may Beneficially Own or Constructively Own shares of Capital Stock in excess of 9.8% (in value or number of shares, whichever is more restrictive) of the total outstanding shares of Capital Stock, unless such Person is an Excepted Holder, in which case the Excepted Holder Limit shall be applicable; (iii) no Person may Beneficially Own or Constructively Own shares of Capital Stock that would result in the Corporation being “closely held” under Section 856(h) of the Code or otherwise cause the Corporation to fail to qualify as a REIT; and (iv) no Person may Transfer shares of Capital Stock if such Transfer would result in the Capital Stock of the Corporation being owned by fewer than 100 Persons. Any Person who Beneficially Owns or Constructively Owns, or attempts to Beneficially Own or Constructively Own shares of Capital Stock which causes or will cause a Person to Beneficially Own or Constructively Own shares of Capital Stock in excess or in violation of the above limitations must immediately notify the Corporation. If any of the above restrictions on Beneficial Ownership, Constructive Ownership or Transfer are violated, the shares of Capital Stock represented hereby will be automatically transferred to a Trust (as defined in the Certificate of Incorporation) for the benefit of one or more Charitable Beneficiaries (as defined in the Certificate of Incorporation). In addition, the Board of Directors shall take such action as it deems advisable to refuse to give effect to or to prevent such Transfer or other event, including, without limitation, causing the Corporation to redeem shares of Capital Stock; provided, however, that any Transfer or attempted Transfer or other event in violation of the above restrictions on Beneficial Ownership, Constructive Ownership and Transfer shall automatically result in the above transfer to the Trust and, where applicable, such Transfer (or other event) shall be void ab initio as provided above irrespective of any action (or non-action) by the Board of Directors. The Board of Directors may, pursuant to Section 8.2.8 of the Certificate of Incorporation, increase or decrease the percentage of Common Stock or Capital Stock that a person may Beneficially Own or Constructively Own.</w:t>
      </w:r>
    </w:p>
    <w:p>
      <w:pPr>
        <w:spacing w:after="0" w:line="396"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 copy of the Certificate of Incorporation, including the above restrictions on Beneficial Ownership, Constructive Ownership and Transfer, will be furnished to each holder of Capital Stock on request and without charge. Requests for such a copy may be directed to the Secretary of the Corporation at its principal office.”</w:t>
      </w:r>
    </w:p>
    <w:p>
      <w:pPr>
        <w:spacing w:after="0" w:line="181"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Instead of the foregoing legend, the certificate may state that the Corporation will furnish a full statement about certain restrictions on transferability to a stockholder on request and without charge.</w:t>
      </w:r>
    </w:p>
    <w:p>
      <w:pPr>
        <w:spacing w:after="0" w:line="170"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6"/>
          <w:szCs w:val="16"/>
          <w:u w:val="single" w:color="auto"/>
          <w:color w:val="auto"/>
        </w:rPr>
        <w:t>Transfer of Capital Stock in Trust.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8.3.1 </w:t>
      </w:r>
      <w:r>
        <w:rPr>
          <w:rFonts w:ascii="Arial" w:cs="Arial" w:eastAsia="Arial" w:hAnsi="Arial"/>
          <w:sz w:val="18"/>
          <w:szCs w:val="18"/>
          <w:u w:val="single" w:color="auto"/>
          <w:color w:val="auto"/>
        </w:rPr>
        <w:t>Ownership in Trust.</w:t>
      </w:r>
      <w:r>
        <w:rPr>
          <w:rFonts w:ascii="Arial" w:cs="Arial" w:eastAsia="Arial" w:hAnsi="Arial"/>
          <w:sz w:val="18"/>
          <w:szCs w:val="18"/>
          <w:color w:val="auto"/>
        </w:rPr>
        <w:t xml:space="preserve"> Upon any purported Transfer or other event described in Section 8.2.1(a) that would result in a transfer of shares of Capital Stock to a Trust, such shares of Capital Stock shall be deemed to have been transferred to the Trustee as trustee of a Trust for the exclusive benefit of one or more Charitable Beneficiaries. Such transfer to the Trustee shall be deemed to be effective as of the close of business on the Business Day prior to the purported Transfer or other event that results in the transfer to the Trust pursuant to Section 8.2.1(b). The Trustee shall be appointed by the Corporation and shall be a Person unaffiliated with the Corporation and any Prohibited Owner. Each Charitable Beneficiary shall be designated by the Corporation as provided in Section 8.3.6.</w:t>
      </w:r>
    </w:p>
    <w:p>
      <w:pPr>
        <w:spacing w:after="0" w:line="19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8.3.2 </w:t>
      </w:r>
      <w:r>
        <w:rPr>
          <w:rFonts w:ascii="Arial" w:cs="Arial" w:eastAsia="Arial" w:hAnsi="Arial"/>
          <w:sz w:val="18"/>
          <w:szCs w:val="18"/>
          <w:u w:val="single" w:color="auto"/>
          <w:color w:val="auto"/>
        </w:rPr>
        <w:t>Status of Shares Held by the Trustee.</w:t>
      </w:r>
      <w:r>
        <w:rPr>
          <w:rFonts w:ascii="Arial" w:cs="Arial" w:eastAsia="Arial" w:hAnsi="Arial"/>
          <w:sz w:val="18"/>
          <w:szCs w:val="18"/>
          <w:color w:val="auto"/>
        </w:rPr>
        <w:t xml:space="preserve"> Shares of Capital Stock held by the Trustee shall continue to be issued and outstanding shares of Capital Stock of the Corporation. The Prohibited Owner shall have no rights in the shares of Capital Stock held by the Trustee. The Prohibited Owner shall not benefit economically from ownership of any shares held in trust by the Trustee, shall have no rights to dividends or other distributions and shall not possess any rights to vote or other rights attributable to the shares held in the Trust.</w:t>
      </w:r>
    </w:p>
    <w:p>
      <w:pPr>
        <w:sectPr>
          <w:pgSz w:w="11900" w:h="16838" w:orient="portrait"/>
          <w:cols w:equalWidth="0" w:num="1">
            <w:col w:w="11400"/>
          </w:cols>
          <w:pgMar w:left="240" w:top="692" w:right="259" w:bottom="1440" w:gutter="0" w:footer="0" w:header="0"/>
        </w:sectPr>
      </w:pPr>
    </w:p>
    <w:bookmarkStart w:id="58" w:name="page59"/>
    <w:bookmarkEnd w:id="58"/>
    <w:p>
      <w:pPr>
        <w:ind w:right="40" w:firstLine="648"/>
        <w:spacing w:after="0" w:line="286" w:lineRule="auto"/>
        <w:rPr>
          <w:sz w:val="20"/>
          <w:szCs w:val="20"/>
          <w:color w:val="auto"/>
        </w:rPr>
      </w:pPr>
      <w:r>
        <w:rPr>
          <w:rFonts w:ascii="Arial" w:cs="Arial" w:eastAsia="Arial" w:hAnsi="Arial"/>
          <w:sz w:val="16"/>
          <w:szCs w:val="16"/>
          <w:color w:val="auto"/>
        </w:rPr>
        <w:t xml:space="preserve">Section 8.3.3 </w:t>
      </w:r>
      <w:r>
        <w:rPr>
          <w:rFonts w:ascii="Arial" w:cs="Arial" w:eastAsia="Arial" w:hAnsi="Arial"/>
          <w:sz w:val="16"/>
          <w:szCs w:val="16"/>
          <w:u w:val="single" w:color="auto"/>
          <w:color w:val="auto"/>
        </w:rPr>
        <w:t>Dividend and Voting Rights.</w:t>
      </w:r>
      <w:r>
        <w:rPr>
          <w:rFonts w:ascii="Arial" w:cs="Arial" w:eastAsia="Arial" w:hAnsi="Arial"/>
          <w:sz w:val="16"/>
          <w:szCs w:val="16"/>
          <w:color w:val="auto"/>
        </w:rPr>
        <w:t xml:space="preserve"> The Trustee shall have all voting rights and rights to dividends or other distributions with respect to shares of Capital Stock held in the Trust, which rights shall be exercised for the exclusive benefit of the Charitable Beneficiary. Any dividend or other distribution paid to a Prohibited Owner prior to the discovery by the Corporation that the shares of Capital Stock have been transferred to the Trustee shall be paid with respect to such shares of Capital Stock by the Prohibited Owner to the Trustee upon demand and any dividend or other distribution authorized but unpaid shall be paid when due to the Trustee. Any dividend or distribution so paid to the Trustee shall be held in trust for the Charitable Beneficiary. The Prohibited Owner shall have no voting rights with respect to shares held in the Trust and, subject to the General Corporation Law, effective as of the date that the shares of Capital Stock have been transferred to the Trustee, the Trustee shall have the authority (at the Trustee’s sole discretion) (i) to rescind as void any vote cast by a Prohibited Owner prior to the discovery by the Corporation that the shares of Capital Stock have been transferred to the Trustee and (ii) to recast such vote in accordance with the desires of the Trustee acting for the benefit of the Charitable Beneficiary; provided, however, that if the Corporation has already taken irreversible corporate action, then the Trustee shall not have the authority to rescind and recast such vote. Notwithstanding the provisions of this Article VIII, until the Corporation has received notification that shares of Capital Stock have been transferred into a Trust, the Corporation shall be entitled to rely on its share transfer and other stockholder records for purposes of preparing lists of stockholders entitled to vote at meetings, determining the validity and authority of proxies and otherwise conducting votes of stockholders.</w:t>
      </w:r>
    </w:p>
    <w:p>
      <w:pPr>
        <w:spacing w:after="0" w:line="175" w:lineRule="exact"/>
        <w:rPr>
          <w:sz w:val="20"/>
          <w:szCs w:val="20"/>
          <w:color w:val="auto"/>
        </w:rPr>
      </w:pPr>
    </w:p>
    <w:p>
      <w:pPr>
        <w:ind w:right="220" w:firstLine="1297"/>
        <w:spacing w:after="0" w:line="286" w:lineRule="auto"/>
        <w:rPr>
          <w:sz w:val="20"/>
          <w:szCs w:val="20"/>
          <w:color w:val="auto"/>
        </w:rPr>
      </w:pPr>
      <w:r>
        <w:rPr>
          <w:rFonts w:ascii="Arial" w:cs="Arial" w:eastAsia="Arial" w:hAnsi="Arial"/>
          <w:sz w:val="16"/>
          <w:szCs w:val="16"/>
          <w:color w:val="auto"/>
        </w:rPr>
        <w:t xml:space="preserve">Section 8.3.4 </w:t>
      </w:r>
      <w:r>
        <w:rPr>
          <w:rFonts w:ascii="Arial" w:cs="Arial" w:eastAsia="Arial" w:hAnsi="Arial"/>
          <w:sz w:val="16"/>
          <w:szCs w:val="16"/>
          <w:u w:val="single" w:color="auto"/>
          <w:color w:val="auto"/>
        </w:rPr>
        <w:t>Sale of Shares by Trustee.</w:t>
      </w:r>
      <w:r>
        <w:rPr>
          <w:rFonts w:ascii="Arial" w:cs="Arial" w:eastAsia="Arial" w:hAnsi="Arial"/>
          <w:sz w:val="16"/>
          <w:szCs w:val="16"/>
          <w:color w:val="auto"/>
        </w:rPr>
        <w:t xml:space="preserve"> Within 20 days of receiving notice from the Corporation that shares of Capital Stock have been transferred to the Trust, the Trustee of the Trust shall sell the shares held in the Trust to a person, designated by the Trustee, whose ownership of the shares will not violate the ownership limitations set forth in Section 8.2.1(a). Upon such sale, the interest of the Charitable Beneficiary in the shares sold shall terminate and the Trustee shall distribute the net proceeds of the sale to the Prohibited Owner and to the Charitable Beneficiary as provided in this Section</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8.3.4. The Prohibited Owner shall receive the lesser of (i) the price paid by the Prohibited Owner for the shares or, if the Prohibited Owner did not give value for the shares in connection with the event causing the shares to be held in the Trust (e.g., in the case of a gift, devise or other such transaction), the Market Price of the shares on the day of the event causing the shares to be held in the Trust and (ii) the price per share received by the Trustee (net of any commissions and other expenses of sale) from the sale or other disposition of the shares held in the Trust. The Trustee may reduce the amount payable to the Prohibited Owner by the amount of dividends and distributions paid to the Prohibited Owner and owned by the Prohibited Owner to the Trustee pursuant to Section 8.3.3 of this Article VIII. Any net sales proceeds in excess of the amount payable to the Prohibited Owner shall be immediately paid to the Charitable Beneficiary. If, prior to the discovery by the Corporation that shares of Capital Stock have been transferred to the Trustee, such shares are sold by a Prohibited Owner, then (a) such shares shall be deemed to have been sold on behalf of the Trust and (b) to the extent that the Prohibited Owner received an amount for such shares that exceeds the amount that such Prohibited Owner was entitled to receive pursuant to this Section 8.3.4, such excess shall be paid to the Trustee upon demand.</w:t>
      </w:r>
    </w:p>
    <w:p>
      <w:pPr>
        <w:spacing w:after="0" w:line="18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Section 8.3.5 </w:t>
      </w:r>
      <w:r>
        <w:rPr>
          <w:rFonts w:ascii="Arial" w:cs="Arial" w:eastAsia="Arial" w:hAnsi="Arial"/>
          <w:sz w:val="17"/>
          <w:szCs w:val="17"/>
          <w:u w:val="single" w:color="auto"/>
          <w:color w:val="auto"/>
        </w:rPr>
        <w:t>Purchase Right in Stock Transferred to the Trustee.</w:t>
      </w:r>
      <w:r>
        <w:rPr>
          <w:rFonts w:ascii="Arial" w:cs="Arial" w:eastAsia="Arial" w:hAnsi="Arial"/>
          <w:sz w:val="17"/>
          <w:szCs w:val="17"/>
          <w:color w:val="auto"/>
        </w:rPr>
        <w:t xml:space="preserve"> Shares of Capital Stock transferred to the Trustee shall be deemed to have been offered for sale to the Corporation, or its designee, at a price per share equal to the lesser of (i) the price per share in the transaction that resulted in such transfer to the Trust (or, in the case of a devise or gift, the Market Price at the time of such devise or gift) and (ii) the Market Price on the date the Corporation, or its designee, accepts such offer. The Corporation may reduce the amount payable to the Prohibited Owner by the amount of dividends and distributions paid to the Prohibited Owner and owed by the Prohibited Owner to the Trustee pursuant to Section 8.3.3 of this Article VIII. The Corporation may pay the amount of such reduction to the Trustee for the benefit of the Charitable Beneficiary. The Corporation shall have the right to accept such offer until the Trustee has sold the shares held in the Trust pursuant to Section 8.3.4. Upon such a sale to the Corporation, the interest of the Charitable Beneficiary in the shares sold shall terminate and the Trustee shall distribute the net proceeds of the sale to the Prohibited Owner and any dividends or other distributions held by the Trustee shall be paid to the Charitable Beneficiary.</w:t>
      </w:r>
    </w:p>
    <w:p>
      <w:pPr>
        <w:spacing w:after="0" w:line="182"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 xml:space="preserve">Section 8.3.6 </w:t>
      </w:r>
      <w:r>
        <w:rPr>
          <w:rFonts w:ascii="Arial" w:cs="Arial" w:eastAsia="Arial" w:hAnsi="Arial"/>
          <w:sz w:val="16"/>
          <w:szCs w:val="16"/>
          <w:u w:val="single" w:color="auto"/>
          <w:color w:val="auto"/>
        </w:rPr>
        <w:t>Designation of Charitable Beneficiaries.</w:t>
      </w:r>
      <w:r>
        <w:rPr>
          <w:rFonts w:ascii="Arial" w:cs="Arial" w:eastAsia="Arial" w:hAnsi="Arial"/>
          <w:sz w:val="16"/>
          <w:szCs w:val="16"/>
          <w:color w:val="auto"/>
        </w:rPr>
        <w:t xml:space="preserve"> By written notice to the Trustee, the Corporation shall designate one or more nonprofit organizations to be the Charitable Beneficiary of the interest in the Trust such that (i) the shares of Capital Stock held in the Trust would not violate the restrictions set forth in Section 8.2.1(a) in the hands of such Charitable Beneficiary and (ii) each such organization must be described in Section 501(c)(3) of the Code and contributions to each such organization must be eligible for deduction under each of Sections 170(b)(1)(A), 2055 and 2522 of the Code.</w:t>
      </w:r>
    </w:p>
    <w:p>
      <w:pPr>
        <w:spacing w:after="0" w:line="154"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Nasdaq Transactions.</w:t>
      </w:r>
      <w:r>
        <w:rPr>
          <w:rFonts w:ascii="Arial" w:cs="Arial" w:eastAsia="Arial" w:hAnsi="Arial"/>
          <w:sz w:val="18"/>
          <w:szCs w:val="18"/>
          <w:color w:val="auto"/>
        </w:rPr>
        <w:t xml:space="preserve"> Nothing in this Article VIII shall preclude the settlement of any transaction entered into through the facilities of Nasdaq or any other national securities exchange or automated inter-dealer quotation system. The fact that the settlement of any transaction occurs shall not negate the effect of any other provision of this Article VIII and any transferee in such a transaction shall be subject to all of the provisions and limitations set forth in this Article VIII.</w:t>
      </w:r>
    </w:p>
    <w:p>
      <w:pPr>
        <w:sectPr>
          <w:pgSz w:w="11900" w:h="16838" w:orient="portrait"/>
          <w:cols w:equalWidth="0" w:num="1">
            <w:col w:w="11420"/>
          </w:cols>
          <w:pgMar w:left="240" w:top="692" w:right="239" w:bottom="1440" w:gutter="0" w:footer="0" w:header="0"/>
        </w:sectPr>
      </w:pPr>
    </w:p>
    <w:bookmarkStart w:id="59" w:name="page60"/>
    <w:bookmarkEnd w:id="59"/>
    <w:p>
      <w:pPr>
        <w:ind w:right="280" w:firstLine="1297"/>
        <w:spacing w:after="0" w:line="277"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Enforcement.</w:t>
      </w:r>
      <w:r>
        <w:rPr>
          <w:rFonts w:ascii="Arial" w:cs="Arial" w:eastAsia="Arial" w:hAnsi="Arial"/>
          <w:sz w:val="18"/>
          <w:szCs w:val="18"/>
          <w:color w:val="auto"/>
        </w:rPr>
        <w:t xml:space="preserve"> The Corporation is authorized specifically to seek equitable relief, including injunctive relief, to enforce the provisions of this Article VIII.</w:t>
      </w:r>
    </w:p>
    <w:p>
      <w:pPr>
        <w:spacing w:after="0" w:line="170" w:lineRule="exact"/>
        <w:rPr>
          <w:sz w:val="20"/>
          <w:szCs w:val="20"/>
          <w:color w:val="auto"/>
        </w:rPr>
      </w:pPr>
    </w:p>
    <w:p>
      <w:pPr>
        <w:jc w:val="both"/>
        <w:ind w:right="260" w:firstLine="1297"/>
        <w:spacing w:after="0" w:line="342"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Non-Waiver.</w:t>
      </w:r>
      <w:r>
        <w:rPr>
          <w:rFonts w:ascii="Arial" w:cs="Arial" w:eastAsia="Arial" w:hAnsi="Arial"/>
          <w:sz w:val="16"/>
          <w:szCs w:val="16"/>
          <w:color w:val="auto"/>
        </w:rPr>
        <w:t xml:space="preserve"> No delay or failure on the part of the Corporation or the Board of Directors in exercising any right hereunder shall operate as a waiver of any right of the Corporation or the Board of Directors, as the case may be, except to the extent specifically waived in writing.</w:t>
      </w:r>
    </w:p>
    <w:p>
      <w:pPr>
        <w:spacing w:after="0" w:line="124"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Article VIII or any application of any such provision is determined to be invalid by any federal or state court having jurisdiction over the issues, the validity of the remaining provisions shall not be affected and other applications of such provisions shall be affected only to the extent necessary to comply with the determination of such court.</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IX</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LIMITATION ON LIABILITY OF DIRECTORS</w:t>
      </w:r>
    </w:p>
    <w:p>
      <w:pPr>
        <w:spacing w:after="0" w:line="333"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A director of the Corporation shall, to the maximum extent now or hereafter permitted by Section 102(b)(7) of the General Corporation Law (or any successor provision or provisions), have no personal liability to the Corporation or its stockholders for monetary damages for breach of fiduciary duty as a director, except to the extent such director has committed willful misfeasance, bad faith, gross negligence or reckless disregard of such director's duties involved in the conduct of the office of director.</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COMPROMISE</w:t>
      </w:r>
    </w:p>
    <w:p>
      <w:pPr>
        <w:spacing w:after="0" w:line="333" w:lineRule="exact"/>
        <w:rPr>
          <w:sz w:val="20"/>
          <w:szCs w:val="20"/>
          <w:color w:val="auto"/>
        </w:rPr>
      </w:pPr>
    </w:p>
    <w:p>
      <w:pPr>
        <w:ind w:right="100" w:firstLine="1297"/>
        <w:spacing w:after="0" w:line="288" w:lineRule="auto"/>
        <w:rPr>
          <w:sz w:val="20"/>
          <w:szCs w:val="20"/>
          <w:color w:val="auto"/>
        </w:rPr>
      </w:pPr>
      <w:r>
        <w:rPr>
          <w:rFonts w:ascii="Arial" w:cs="Arial" w:eastAsia="Arial" w:hAnsi="Arial"/>
          <w:sz w:val="16"/>
          <w:szCs w:val="16"/>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the General Corporation Law, trustees in dissolution or of any receiver or receivers appointed for this Corporation under the provisions of Section 279 of the General Corporation Law,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XI</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AMENDMENT OF BY-LAWS</w:t>
      </w:r>
    </w:p>
    <w:p>
      <w:pPr>
        <w:spacing w:after="0" w:line="333" w:lineRule="exact"/>
        <w:rPr>
          <w:sz w:val="20"/>
          <w:szCs w:val="20"/>
          <w:color w:val="auto"/>
        </w:rPr>
      </w:pPr>
    </w:p>
    <w:p>
      <w:pPr>
        <w:ind w:right="200" w:firstLine="1297"/>
        <w:spacing w:after="0" w:line="276" w:lineRule="auto"/>
        <w:rPr>
          <w:sz w:val="20"/>
          <w:szCs w:val="20"/>
          <w:color w:val="auto"/>
        </w:rPr>
      </w:pPr>
      <w:r>
        <w:rPr>
          <w:rFonts w:ascii="Arial" w:cs="Arial" w:eastAsia="Arial" w:hAnsi="Arial"/>
          <w:sz w:val="17"/>
          <w:szCs w:val="17"/>
          <w:color w:val="auto"/>
        </w:rPr>
        <w:t>The Board of Directors shall have power to adopt, amend, alter, change and repeal any By-laws by a vote of the majority of the Board of Directors then in office. In addition to any requirements of the General Corporation Law (and notwithstanding the fact that a lesser percentage may be specified by the General Corporation Law), any adoption, amendment, alteration, change or repeal of any By-laws by the stockholders of the Corporation shall require the affirmative vote of the holders of at least sixty-six percent (66%) of the combined voting power of all of the shares of all classes of capital stock of the Corporation then entitled to vote generally in the election of directors.</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XII</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AMENDMENT OF CERTIFICATE OF INCORPORATION</w:t>
      </w:r>
    </w:p>
    <w:p>
      <w:pPr>
        <w:spacing w:after="0" w:line="333" w:lineRule="exact"/>
        <w:rPr>
          <w:sz w:val="20"/>
          <w:szCs w:val="20"/>
          <w:color w:val="auto"/>
        </w:rPr>
      </w:pPr>
    </w:p>
    <w:p>
      <w:pPr>
        <w:jc w:val="both"/>
        <w:ind w:right="220" w:firstLine="1297"/>
        <w:spacing w:after="0" w:line="259" w:lineRule="auto"/>
        <w:rPr>
          <w:sz w:val="20"/>
          <w:szCs w:val="20"/>
          <w:color w:val="auto"/>
        </w:rPr>
      </w:pPr>
      <w:r>
        <w:rPr>
          <w:rFonts w:ascii="Arial" w:cs="Arial" w:eastAsia="Arial" w:hAnsi="Arial"/>
          <w:sz w:val="18"/>
          <w:szCs w:val="18"/>
          <w:color w:val="auto"/>
        </w:rPr>
        <w:t>The Corporation hereby reserves the right to amend, alter, change or repeal any provision contained in this Certificate of Incorporation. Except as may be provided in a resolution or resolutions providing for any class of Preferred Stock pursuant to Article IV hereof and which relate to such class of Preferred Stock and except as provided in Article IV hereof, any such amendment, alteration, change or repeal shall require the affirmative vote of both (a) a majority of the</w:t>
      </w:r>
    </w:p>
    <w:p>
      <w:pPr>
        <w:sectPr>
          <w:pgSz w:w="11900" w:h="16838" w:orient="portrait"/>
          <w:cols w:equalWidth="0" w:num="1">
            <w:col w:w="11360"/>
          </w:cols>
          <w:pgMar w:left="240" w:top="692" w:right="299" w:bottom="1440" w:gutter="0" w:footer="0" w:header="0"/>
        </w:sectPr>
      </w:pPr>
    </w:p>
    <w:bookmarkStart w:id="60" w:name="page61"/>
    <w:bookmarkEnd w:id="60"/>
    <w:p>
      <w:pPr>
        <w:ind w:right="360"/>
        <w:spacing w:after="0" w:line="277" w:lineRule="auto"/>
        <w:rPr>
          <w:sz w:val="20"/>
          <w:szCs w:val="20"/>
          <w:color w:val="auto"/>
        </w:rPr>
      </w:pPr>
      <w:r>
        <w:rPr>
          <w:rFonts w:ascii="Arial" w:cs="Arial" w:eastAsia="Arial" w:hAnsi="Arial"/>
          <w:sz w:val="18"/>
          <w:szCs w:val="18"/>
          <w:color w:val="auto"/>
        </w:rPr>
        <w:t>members of the Board of Directors then in office and (b) a majority of the combined voting power of all of the shares of all classes of capital stock of the Corporation then entitled to vote generally in the election of directors.</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By a vote of the majority of the Board of Directors then in office, the Board of Directors may adopt a resolution providing that at any time prior to the filing of the amendment with the Secretary of State, notwithstanding authorization of the proposed amendment by the stockholders, the Board of Directors may abandon such proposed amendment without further action by the stockholders.</w:t>
      </w:r>
    </w:p>
    <w:p>
      <w:pPr>
        <w:spacing w:after="0" w:line="181" w:lineRule="exact"/>
        <w:rPr>
          <w:sz w:val="20"/>
          <w:szCs w:val="20"/>
          <w:color w:val="auto"/>
        </w:rPr>
      </w:pPr>
    </w:p>
    <w:p>
      <w:pPr>
        <w:jc w:val="both"/>
        <w:ind w:right="120" w:firstLine="1297"/>
        <w:spacing w:after="0" w:line="264" w:lineRule="auto"/>
        <w:rPr>
          <w:sz w:val="20"/>
          <w:szCs w:val="20"/>
          <w:color w:val="auto"/>
        </w:rPr>
      </w:pPr>
      <w:r>
        <w:rPr>
          <w:rFonts w:ascii="Arial" w:cs="Arial" w:eastAsia="Arial" w:hAnsi="Arial"/>
          <w:sz w:val="18"/>
          <w:szCs w:val="18"/>
          <w:color w:val="auto"/>
        </w:rPr>
        <w:t>Notwithstanding anything contained in this Certificate of Incorporation to the contrary, the affirmative vote of the holders of at least sixty-six percent (66%) of the combined voting power of all of the shares of all classes of capital stock of the Corporation then entitled to vote shall be required to amend, repeal or adopt any provision inconsistent with Article V herein.</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XIII</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333"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Books and Records.</w:t>
      </w:r>
      <w:r>
        <w:rPr>
          <w:rFonts w:ascii="Arial" w:cs="Arial" w:eastAsia="Arial" w:hAnsi="Arial"/>
          <w:sz w:val="18"/>
          <w:szCs w:val="18"/>
          <w:color w:val="auto"/>
        </w:rPr>
        <w:t xml:space="preserve"> The books of the Corporation may be kept (subject to any provision contained in the General Corporation Law) outside the State of Delaware at such place or places as may be designated from time to time by the Board of Directors or in the By-laws of the Corporation.</w:t>
      </w:r>
    </w:p>
    <w:p>
      <w:pPr>
        <w:spacing w:after="0" w:line="181"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18"/>
          <w:szCs w:val="18"/>
          <w:color w:val="auto"/>
        </w:rPr>
        <w:t>Section 13.2</w:t>
      </w:r>
      <w:r>
        <w:rPr>
          <w:sz w:val="20"/>
          <w:szCs w:val="20"/>
          <w:color w:val="auto"/>
        </w:rPr>
        <w:tab/>
      </w:r>
      <w:r>
        <w:rPr>
          <w:rFonts w:ascii="Arial" w:cs="Arial" w:eastAsia="Arial" w:hAnsi="Arial"/>
          <w:sz w:val="16"/>
          <w:szCs w:val="16"/>
          <w:u w:val="single" w:color="auto"/>
          <w:color w:val="auto"/>
        </w:rPr>
        <w:t xml:space="preserve">Section 203. </w:t>
      </w:r>
      <w:r>
        <w:rPr>
          <w:rFonts w:ascii="Arial" w:cs="Arial" w:eastAsia="Arial" w:hAnsi="Arial"/>
          <w:sz w:val="16"/>
          <w:szCs w:val="16"/>
          <w:color w:val="auto"/>
        </w:rPr>
        <w:t>The Corporation expressly elects not to be governed by Section 203 of the General Corporation Law.</w:t>
      </w:r>
    </w:p>
    <w:p>
      <w:pPr>
        <w:sectPr>
          <w:pgSz w:w="11900" w:h="16838" w:orient="portrait"/>
          <w:cols w:equalWidth="0" w:num="1">
            <w:col w:w="11380"/>
          </w:cols>
          <w:pgMar w:left="240" w:top="692" w:right="279" w:bottom="1440" w:gutter="0" w:footer="0" w:header="0"/>
        </w:sectPr>
      </w:pPr>
    </w:p>
    <w:bookmarkStart w:id="61" w:name="page62"/>
    <w:bookmarkEnd w:id="61"/>
    <w:p>
      <w:pPr>
        <w:ind w:left="10520"/>
        <w:spacing w:after="0"/>
        <w:rPr>
          <w:sz w:val="20"/>
          <w:szCs w:val="20"/>
          <w:color w:val="auto"/>
        </w:rPr>
      </w:pPr>
      <w:r>
        <w:rPr>
          <w:rFonts w:ascii="Arial" w:cs="Arial" w:eastAsia="Arial" w:hAnsi="Arial"/>
          <w:sz w:val="16"/>
          <w:szCs w:val="16"/>
          <w:color w:val="auto"/>
        </w:rPr>
        <w:t>Exhibit 31.1</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Gary D. Kain, certify that:</w:t>
      </w:r>
    </w:p>
    <w:p>
      <w:pPr>
        <w:spacing w:after="0" w:line="158" w:lineRule="exact"/>
        <w:rPr>
          <w:sz w:val="20"/>
          <w:szCs w:val="20"/>
          <w:color w:val="auto"/>
        </w:rPr>
      </w:pPr>
    </w:p>
    <w:p>
      <w:pPr>
        <w:ind w:left="860" w:hanging="467"/>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2018</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Gary D. Kain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Executive Officer and Chief Investment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00"/>
          </w:cols>
          <w:pgMar w:left="260" w:top="584" w:right="239" w:bottom="1440" w:gutter="0" w:footer="0" w:header="0"/>
        </w:sectPr>
      </w:pPr>
    </w:p>
    <w:bookmarkStart w:id="62" w:name="page63"/>
    <w:bookmarkEnd w:id="62"/>
    <w:p>
      <w:pPr>
        <w:ind w:left="10520"/>
        <w:spacing w:after="0"/>
        <w:rPr>
          <w:sz w:val="20"/>
          <w:szCs w:val="20"/>
          <w:color w:val="auto"/>
        </w:rPr>
      </w:pPr>
      <w:r>
        <w:rPr>
          <w:rFonts w:ascii="Arial" w:cs="Arial" w:eastAsia="Arial" w:hAnsi="Arial"/>
          <w:sz w:val="16"/>
          <w:szCs w:val="16"/>
          <w:color w:val="auto"/>
        </w:rPr>
        <w:t>Exhibit 31.2</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Bernice E. Bell, certify that:</w:t>
      </w:r>
    </w:p>
    <w:p>
      <w:pPr>
        <w:spacing w:after="0" w:line="158" w:lineRule="exact"/>
        <w:rPr>
          <w:sz w:val="20"/>
          <w:szCs w:val="20"/>
          <w:color w:val="auto"/>
        </w:rPr>
      </w:pPr>
    </w:p>
    <w:p>
      <w:pPr>
        <w:ind w:left="860" w:hanging="467"/>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2018</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Bernice E. Bell</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00"/>
          </w:cols>
          <w:pgMar w:left="260" w:top="584"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Gary D. Kain, Chief Executive Officer and Chief Investment Officer, and Bernice E. Bell, Senior Vice President and Chief Financial Officer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AGNC Investment Corp. (the “Company”), certify pursuant to Section 906 of the Sarbanes-Oxley Act of 2002, 18 U.S.C. Section 1350 that:</w:t>
      </w:r>
    </w:p>
    <w:p>
      <w:pPr>
        <w:spacing w:after="0" w:line="157" w:lineRule="exact"/>
        <w:rPr>
          <w:sz w:val="20"/>
          <w:szCs w:val="20"/>
          <w:color w:val="auto"/>
        </w:rPr>
      </w:pPr>
    </w:p>
    <w:p>
      <w:pPr>
        <w:ind w:left="660" w:right="2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2018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Gary D. Kain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Investment Officer (Principal Executive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May 7, 2018</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ERNICE</w:t>
            </w:r>
            <w:r>
              <w:rPr>
                <w:rFonts w:ascii="Arial" w:cs="Arial" w:eastAsia="Arial" w:hAnsi="Arial"/>
                <w:sz w:val="18"/>
                <w:szCs w:val="18"/>
                <w:color w:val="auto"/>
              </w:rPr>
              <w:t xml:space="preserve"> E. B</w:t>
            </w:r>
            <w:r>
              <w:rPr>
                <w:rFonts w:ascii="Arial" w:cs="Arial" w:eastAsia="Arial" w:hAnsi="Arial"/>
                <w:sz w:val="14"/>
                <w:szCs w:val="14"/>
                <w:color w:val="auto"/>
              </w:rPr>
              <w:t>ELL</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Bernice E. Bell</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May 7, 2018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1)"/>
      <w:numFmt w:val="lowerRoman"/>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2"/>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
      <w:numFmt w:val="bullet"/>
      <w:start w:val="1"/>
    </w:lvl>
    <w:lvl w:ilvl="1">
      <w:lvlJc w:val="left"/>
      <w:lvlText w:val="(%2)"/>
      <w:numFmt w:val="lowerLetter"/>
      <w:start w:val="2"/>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lowerLetter"/>
      <w:start w:val="5"/>
    </w:lvl>
  </w:abstractNum>
  <w:abstractNum w:abstractNumId="35">
    <w:nsid w:val="3855585C"/>
    <w:multiLevelType w:val="hybridMultilevel"/>
    <w:lvl w:ilvl="0">
      <w:lvlJc w:val="left"/>
      <w:lvlText w:val="(%1)"/>
      <w:numFmt w:val="lowerLetter"/>
      <w:start w:val="2"/>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lowerLetter"/>
      <w:start w:val="3"/>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lowerLetter"/>
      <w:start w:val="2"/>
    </w:lvl>
  </w:abstractNum>
  <w:abstractNum w:abstractNumId="40">
    <w:nsid w:val="725A06FB"/>
    <w:multiLevelType w:val="hybridMultilevel"/>
    <w:lvl w:ilvl="0">
      <w:lvlJc w:val="left"/>
      <w:lvlText w:val="(%1)"/>
      <w:numFmt w:val="lowerLetter"/>
      <w:start w:val="1"/>
    </w:lvl>
    <w:lvl w:ilvl="1">
      <w:lvlJc w:val="left"/>
      <w:lvlText w:val="(%2)"/>
      <w:numFmt w:val="lowerRoman"/>
      <w:start w:val="1"/>
    </w:lvl>
  </w:abstractNum>
  <w:abstractNum w:abstractNumId="41">
    <w:nsid w:val="2CD89A32"/>
    <w:multiLevelType w:val="hybridMultilevel"/>
    <w:lvl w:ilvl="0">
      <w:lvlJc w:val="left"/>
      <w:lvlText w:val="(%1)"/>
      <w:numFmt w:val="lowerRoman"/>
      <w:start w:val="2"/>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lowerLetter"/>
      <w:start w:val="1"/>
    </w:lvl>
    <w:lvl w:ilvl="1">
      <w:lvlJc w:val="left"/>
      <w:lvlText w:val="(%2)"/>
      <w:numFmt w:val="lowerRoman"/>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30" Type="http://schemas.openxmlformats.org/officeDocument/2006/relationships/hyperlink" Target="http://www.sec.gov/Archives/edgar/data/1423689/000142368916000104/agncexhibit329301610-qbyla.htm" TargetMode="External"/><Relationship Id="rId31" Type="http://schemas.openxmlformats.org/officeDocument/2006/relationships/hyperlink" Target="http://www.sec.gov/Archives/edgar/data/1423689/000142368914000023/exh34certificateofdesignat.htm" TargetMode="External"/><Relationship Id="rId32" Type="http://schemas.openxmlformats.org/officeDocument/2006/relationships/hyperlink" Target="http://www.sec.gov/Archives/edgar/data/1423689/000142368917000044/ex35certificateofdesignati.htm" TargetMode="External"/><Relationship Id="rId33" Type="http://schemas.openxmlformats.org/officeDocument/2006/relationships/hyperlink" Target="http://www.sec.gov/Archives/edgar/data/1423689/000142368917000065/certificateofelimination.htm" TargetMode="External"/><Relationship Id="rId34" Type="http://schemas.openxmlformats.org/officeDocument/2006/relationships/hyperlink" Target="http://www.sec.gov/Archives/edgar/data/1423689/000142368916000104/agncexhibit319301610-q.htm" TargetMode="External"/><Relationship Id="rId35" Type="http://schemas.openxmlformats.org/officeDocument/2006/relationships/hyperlink" Target="http://www.sec.gov/Archives/edgar/data/1423689/000142368916000104/agncexhibit43.htm" TargetMode="External"/><Relationship Id="rId36" Type="http://schemas.openxmlformats.org/officeDocument/2006/relationships/hyperlink" Target="http://www.sec.gov/Archives/edgar/data/1423689/000142368914000023/agncspecimenseriesbcumul.htm" TargetMode="External"/><Relationship Id="rId37" Type="http://schemas.openxmlformats.org/officeDocument/2006/relationships/hyperlink" Target="http://www.sec.gov/Archives/edgar/data/1423689/000142368917000044/exhibit41.htm" TargetMode="External"/><Relationship Id="rId38" Type="http://schemas.openxmlformats.org/officeDocument/2006/relationships/hyperlink" Target="http://www.sec.gov/Archives/edgar/data/1423689/000142368914000026/exhibit42depositagreement.htm" TargetMode="External"/><Relationship Id="rId39" Type="http://schemas.openxmlformats.org/officeDocument/2006/relationships/hyperlink" Target="http://www.sec.gov/Archives/edgar/data/1423689/000142368917000049/depos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2019-12-28T22:36:23Z</dcterms:created>
  <dcterms:modified xsi:type="dcterms:W3CDTF">2019-12-28T22:36:23Z</dcterms:modified>
</cp:coreProperties>
</file>