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0" w:type="dxa"/>
        <w:tblCellMar>
          <w:top w:w="0" w:type="dxa"/>
          <w:left w:w="0" w:type="dxa"/>
          <w:bottom w:w="0" w:type="dxa"/>
          <w:right w:w="0" w:type="dxa"/>
        </w:tblCellMar>
      </w:tblPr>
      <w:tr>
        <w:trPr>
          <w:trHeight w:val="153"/>
        </w:trPr>
        <w:tc>
          <w:tcPr>
            <w:tcW w:w="1660" w:type="dxa"/>
            <w:vAlign w:val="bottom"/>
          </w:tcPr>
          <w:p>
            <w:pPr>
              <w:spacing w:after="0"/>
              <w:rPr>
                <w:sz w:val="13"/>
                <w:szCs w:val="13"/>
                <w:color w:val="auto"/>
              </w:rPr>
            </w:pPr>
          </w:p>
        </w:tc>
        <w:tc>
          <w:tcPr>
            <w:tcW w:w="6480" w:type="dxa"/>
            <w:vAlign w:val="bottom"/>
          </w:tcPr>
          <w:p>
            <w:pPr>
              <w:jc w:val="center"/>
              <w:ind w:left="866"/>
              <w:spacing w:after="0"/>
              <w:rPr>
                <w:sz w:val="20"/>
                <w:szCs w:val="20"/>
                <w:color w:val="auto"/>
              </w:rPr>
            </w:pPr>
            <w:r>
              <w:rPr>
                <w:rFonts w:ascii="Arial" w:cs="Arial" w:eastAsia="Arial" w:hAnsi="Arial"/>
                <w:sz w:val="13"/>
                <w:szCs w:val="13"/>
                <w:b w:val="1"/>
                <w:bCs w:val="1"/>
                <w:color w:val="auto"/>
              </w:rPr>
              <w:t>UNITED STATES</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6480" w:type="dxa"/>
            <w:vAlign w:val="bottom"/>
          </w:tcPr>
          <w:p>
            <w:pPr>
              <w:jc w:val="center"/>
              <w:ind w:left="866"/>
              <w:spacing w:after="0"/>
              <w:rPr>
                <w:sz w:val="20"/>
                <w:szCs w:val="20"/>
                <w:color w:val="auto"/>
              </w:rPr>
            </w:pPr>
            <w:r>
              <w:rPr>
                <w:rFonts w:ascii="Arial" w:cs="Arial" w:eastAsia="Arial" w:hAnsi="Arial"/>
                <w:sz w:val="13"/>
                <w:szCs w:val="13"/>
                <w:b w:val="1"/>
                <w:bCs w:val="1"/>
                <w:color w:val="auto"/>
              </w:rPr>
              <w:t>SECURITIES AND EXCHANGE COMMISSION</w:t>
            </w: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6480" w:type="dxa"/>
            <w:vAlign w:val="bottom"/>
          </w:tcPr>
          <w:p>
            <w:pPr>
              <w:jc w:val="center"/>
              <w:ind w:left="866"/>
              <w:spacing w:after="0"/>
              <w:rPr>
                <w:sz w:val="20"/>
                <w:szCs w:val="20"/>
                <w:color w:val="auto"/>
              </w:rPr>
            </w:pPr>
            <w:r>
              <w:rPr>
                <w:rFonts w:ascii="Arial" w:cs="Arial" w:eastAsia="Arial" w:hAnsi="Arial"/>
                <w:sz w:val="10"/>
                <w:szCs w:val="10"/>
                <w:b w:val="1"/>
                <w:bCs w:val="1"/>
                <w:color w:val="auto"/>
                <w:w w:val="88"/>
              </w:rPr>
              <w:t>Washington, D.C. 20549</w:t>
            </w:r>
          </w:p>
        </w:tc>
        <w:tc>
          <w:tcPr>
            <w:tcW w:w="0" w:type="dxa"/>
            <w:vAlign w:val="bottom"/>
          </w:tcPr>
          <w:p>
            <w:pPr>
              <w:spacing w:after="0"/>
              <w:rPr>
                <w:sz w:val="1"/>
                <w:szCs w:val="1"/>
                <w:color w:val="auto"/>
              </w:rPr>
            </w:pPr>
          </w:p>
        </w:tc>
      </w:tr>
      <w:tr>
        <w:trPr>
          <w:trHeight w:val="170"/>
        </w:trPr>
        <w:tc>
          <w:tcPr>
            <w:tcW w:w="1660" w:type="dxa"/>
            <w:vAlign w:val="bottom"/>
            <w:vMerge w:val="restart"/>
          </w:tcPr>
          <w:p>
            <w:pPr>
              <w:spacing w:after="0" w:line="101" w:lineRule="exact"/>
              <w:rPr>
                <w:sz w:val="20"/>
                <w:szCs w:val="20"/>
                <w:color w:val="auto"/>
              </w:rPr>
            </w:pPr>
            <w:r>
              <w:rPr>
                <w:rFonts w:ascii="MS PGothic" w:cs="MS PGothic" w:eastAsia="MS PGothic" w:hAnsi="MS PGothic"/>
                <w:sz w:val="10"/>
                <w:szCs w:val="10"/>
                <w:color w:val="auto"/>
              </w:rPr>
              <w:t>☒</w:t>
            </w:r>
          </w:p>
        </w:tc>
        <w:tc>
          <w:tcPr>
            <w:tcW w:w="6480" w:type="dxa"/>
            <w:vAlign w:val="bottom"/>
          </w:tcPr>
          <w:p>
            <w:pPr>
              <w:jc w:val="center"/>
              <w:ind w:left="866"/>
              <w:spacing w:after="0"/>
              <w:rPr>
                <w:sz w:val="20"/>
                <w:szCs w:val="20"/>
                <w:color w:val="auto"/>
              </w:rPr>
            </w:pPr>
            <w:r>
              <w:rPr>
                <w:rFonts w:ascii="Arial" w:cs="Arial" w:eastAsia="Arial" w:hAnsi="Arial"/>
                <w:sz w:val="13"/>
                <w:szCs w:val="13"/>
                <w:b w:val="1"/>
                <w:bCs w:val="1"/>
                <w:color w:val="auto"/>
              </w:rPr>
              <w:t>FORM 10-Q</w:t>
            </w:r>
          </w:p>
        </w:tc>
        <w:tc>
          <w:tcPr>
            <w:tcW w:w="0" w:type="dxa"/>
            <w:vAlign w:val="bottom"/>
          </w:tcPr>
          <w:p>
            <w:pPr>
              <w:spacing w:after="0"/>
              <w:rPr>
                <w:sz w:val="1"/>
                <w:szCs w:val="1"/>
                <w:color w:val="auto"/>
              </w:rPr>
            </w:pPr>
          </w:p>
        </w:tc>
      </w:tr>
      <w:tr>
        <w:trPr>
          <w:trHeight w:val="144"/>
        </w:trPr>
        <w:tc>
          <w:tcPr>
            <w:tcW w:w="1660" w:type="dxa"/>
            <w:vAlign w:val="bottom"/>
            <w:vMerge w:val="continue"/>
          </w:tcPr>
          <w:p>
            <w:pPr>
              <w:spacing w:after="0"/>
              <w:rPr>
                <w:sz w:val="12"/>
                <w:szCs w:val="12"/>
                <w:color w:val="auto"/>
              </w:rPr>
            </w:pPr>
          </w:p>
        </w:tc>
        <w:tc>
          <w:tcPr>
            <w:tcW w:w="6480" w:type="dxa"/>
            <w:vAlign w:val="bottom"/>
          </w:tcPr>
          <w:p>
            <w:pPr>
              <w:ind w:left="1580"/>
              <w:spacing w:after="0"/>
              <w:rPr>
                <w:sz w:val="20"/>
                <w:szCs w:val="20"/>
                <w:color w:val="auto"/>
              </w:rPr>
            </w:pPr>
            <w:r>
              <w:rPr>
                <w:rFonts w:ascii="Arial" w:cs="Arial" w:eastAsia="Arial" w:hAnsi="Arial"/>
                <w:sz w:val="10"/>
                <w:szCs w:val="10"/>
                <w:b w:val="1"/>
                <w:bCs w:val="1"/>
                <w:color w:val="auto"/>
                <w:w w:val="94"/>
              </w:rPr>
              <w:t>QUARTERLY REPORT PURSUANT TO SECTION 13 OR 15(D) OF THE SECURITIES EXCHANGE ACT OF 1934</w:t>
            </w:r>
          </w:p>
        </w:tc>
        <w:tc>
          <w:tcPr>
            <w:tcW w:w="0" w:type="dxa"/>
            <w:vAlign w:val="bottom"/>
          </w:tcPr>
          <w:p>
            <w:pPr>
              <w:spacing w:after="0"/>
              <w:rPr>
                <w:sz w:val="1"/>
                <w:szCs w:val="1"/>
                <w:color w:val="auto"/>
              </w:rPr>
            </w:pPr>
          </w:p>
        </w:tc>
      </w:tr>
      <w:tr>
        <w:trPr>
          <w:trHeight w:val="182"/>
        </w:trPr>
        <w:tc>
          <w:tcPr>
            <w:tcW w:w="1660" w:type="dxa"/>
            <w:vAlign w:val="bottom"/>
          </w:tcPr>
          <w:p>
            <w:pPr>
              <w:spacing w:after="0"/>
              <w:rPr>
                <w:sz w:val="15"/>
                <w:szCs w:val="15"/>
                <w:color w:val="auto"/>
              </w:rPr>
            </w:pPr>
          </w:p>
        </w:tc>
        <w:tc>
          <w:tcPr>
            <w:tcW w:w="6480" w:type="dxa"/>
            <w:vAlign w:val="bottom"/>
          </w:tcPr>
          <w:p>
            <w:pPr>
              <w:jc w:val="center"/>
              <w:ind w:left="886"/>
              <w:spacing w:after="0"/>
              <w:rPr>
                <w:sz w:val="20"/>
                <w:szCs w:val="20"/>
                <w:color w:val="auto"/>
              </w:rPr>
            </w:pPr>
            <w:r>
              <w:rPr>
                <w:rFonts w:ascii="Arial" w:cs="Arial" w:eastAsia="Arial" w:hAnsi="Arial"/>
                <w:sz w:val="10"/>
                <w:szCs w:val="10"/>
                <w:b w:val="1"/>
                <w:bCs w:val="1"/>
                <w:color w:val="auto"/>
                <w:w w:val="87"/>
              </w:rPr>
              <w:t>For the quarterly period ended September 30, 2022</w:t>
            </w:r>
          </w:p>
        </w:tc>
        <w:tc>
          <w:tcPr>
            <w:tcW w:w="0" w:type="dxa"/>
            <w:vAlign w:val="bottom"/>
          </w:tcPr>
          <w:p>
            <w:pPr>
              <w:spacing w:after="0"/>
              <w:rPr>
                <w:sz w:val="1"/>
                <w:szCs w:val="1"/>
                <w:color w:val="auto"/>
              </w:rPr>
            </w:pPr>
          </w:p>
        </w:tc>
      </w:tr>
      <w:tr>
        <w:trPr>
          <w:trHeight w:val="123"/>
        </w:trPr>
        <w:tc>
          <w:tcPr>
            <w:tcW w:w="1660" w:type="dxa"/>
            <w:vAlign w:val="bottom"/>
          </w:tcPr>
          <w:p>
            <w:pPr>
              <w:spacing w:after="0"/>
              <w:rPr>
                <w:sz w:val="10"/>
                <w:szCs w:val="10"/>
                <w:color w:val="auto"/>
              </w:rPr>
            </w:pPr>
          </w:p>
        </w:tc>
        <w:tc>
          <w:tcPr>
            <w:tcW w:w="6480" w:type="dxa"/>
            <w:vAlign w:val="bottom"/>
          </w:tcPr>
          <w:p>
            <w:pPr>
              <w:jc w:val="center"/>
              <w:ind w:left="886"/>
              <w:spacing w:after="0"/>
              <w:rPr>
                <w:sz w:val="20"/>
                <w:szCs w:val="20"/>
                <w:color w:val="auto"/>
              </w:rPr>
            </w:pPr>
            <w:r>
              <w:rPr>
                <w:rFonts w:ascii="Arial" w:cs="Arial" w:eastAsia="Arial" w:hAnsi="Arial"/>
                <w:sz w:val="10"/>
                <w:szCs w:val="10"/>
                <w:b w:val="1"/>
                <w:bCs w:val="1"/>
                <w:color w:val="auto"/>
                <w:w w:val="93"/>
              </w:rPr>
              <w:t>OR</w:t>
            </w:r>
          </w:p>
        </w:tc>
        <w:tc>
          <w:tcPr>
            <w:tcW w:w="0" w:type="dxa"/>
            <w:vAlign w:val="bottom"/>
          </w:tcPr>
          <w:p>
            <w:pPr>
              <w:spacing w:after="0"/>
              <w:rPr>
                <w:sz w:val="1"/>
                <w:szCs w:val="1"/>
                <w:color w:val="auto"/>
              </w:rPr>
            </w:pPr>
          </w:p>
        </w:tc>
      </w:tr>
      <w:tr>
        <w:trPr>
          <w:trHeight w:val="154"/>
        </w:trPr>
        <w:tc>
          <w:tcPr>
            <w:tcW w:w="1660" w:type="dxa"/>
            <w:vAlign w:val="bottom"/>
          </w:tcPr>
          <w:p>
            <w:pPr>
              <w:spacing w:after="0" w:line="101" w:lineRule="exact"/>
              <w:rPr>
                <w:sz w:val="20"/>
                <w:szCs w:val="20"/>
                <w:color w:val="auto"/>
              </w:rPr>
            </w:pPr>
            <w:r>
              <w:rPr>
                <w:rFonts w:ascii="MS PGothic" w:cs="MS PGothic" w:eastAsia="MS PGothic" w:hAnsi="MS PGothic"/>
                <w:sz w:val="10"/>
                <w:szCs w:val="10"/>
                <w:color w:val="auto"/>
              </w:rPr>
              <w:t>☐</w:t>
            </w:r>
          </w:p>
        </w:tc>
        <w:tc>
          <w:tcPr>
            <w:tcW w:w="6480" w:type="dxa"/>
            <w:vAlign w:val="bottom"/>
          </w:tcPr>
          <w:p>
            <w:pPr>
              <w:ind w:left="1580"/>
              <w:spacing w:after="0"/>
              <w:rPr>
                <w:sz w:val="20"/>
                <w:szCs w:val="20"/>
                <w:color w:val="auto"/>
              </w:rPr>
            </w:pPr>
            <w:r>
              <w:rPr>
                <w:rFonts w:ascii="Arial" w:cs="Arial" w:eastAsia="Arial" w:hAnsi="Arial"/>
                <w:sz w:val="10"/>
                <w:szCs w:val="10"/>
                <w:b w:val="1"/>
                <w:bCs w:val="1"/>
                <w:color w:val="auto"/>
                <w:w w:val="94"/>
              </w:rPr>
              <w:t>TRANSITION REPORT PURSUANT TO SECTION 13 OR 15(D) OF THE SECURITIES EXCHANGE ACT OF 1934</w:t>
            </w: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6480" w:type="dxa"/>
            <w:vAlign w:val="bottom"/>
          </w:tcPr>
          <w:p>
            <w:pPr>
              <w:jc w:val="center"/>
              <w:ind w:left="866"/>
              <w:spacing w:after="0"/>
              <w:rPr>
                <w:sz w:val="20"/>
                <w:szCs w:val="20"/>
                <w:color w:val="auto"/>
              </w:rPr>
            </w:pPr>
            <w:r>
              <w:rPr>
                <w:rFonts w:ascii="Arial" w:cs="Arial" w:eastAsia="Arial" w:hAnsi="Arial"/>
                <w:sz w:val="10"/>
                <w:szCs w:val="10"/>
                <w:b w:val="1"/>
                <w:bCs w:val="1"/>
                <w:color w:val="auto"/>
                <w:w w:val="86"/>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254000</wp:posOffset>
            </wp:positionH>
            <wp:positionV relativeFrom="page">
              <wp:posOffset>374650</wp:posOffset>
            </wp:positionV>
            <wp:extent cx="70408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page">
              <wp:posOffset>254000</wp:posOffset>
            </wp:positionH>
            <wp:positionV relativeFrom="page">
              <wp:posOffset>351790</wp:posOffset>
            </wp:positionV>
            <wp:extent cx="70408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73660</wp:posOffset>
            </wp:positionV>
            <wp:extent cx="136017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017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420" w:type="dxa"/>
            <w:vAlign w:val="bottom"/>
            <w:gridSpan w:val="5"/>
          </w:tcPr>
          <w:p>
            <w:pPr>
              <w:jc w:val="center"/>
              <w:ind w:left="3831"/>
              <w:spacing w:after="0"/>
              <w:rPr>
                <w:sz w:val="20"/>
                <w:szCs w:val="20"/>
                <w:color w:val="auto"/>
              </w:rPr>
            </w:pPr>
            <w:r>
              <w:rPr>
                <w:rFonts w:ascii="Arial" w:cs="Arial" w:eastAsia="Arial" w:hAnsi="Arial"/>
                <w:sz w:val="13"/>
                <w:szCs w:val="13"/>
                <w:b w:val="1"/>
                <w:bCs w:val="1"/>
                <w:color w:val="auto"/>
              </w:rPr>
              <w:t>AGNC INVESTMENT CORP.</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20" w:type="dxa"/>
            <w:vAlign w:val="bottom"/>
            <w:gridSpan w:val="5"/>
          </w:tcPr>
          <w:p>
            <w:pPr>
              <w:jc w:val="center"/>
              <w:ind w:left="3811"/>
              <w:spacing w:after="0"/>
              <w:rPr>
                <w:sz w:val="20"/>
                <w:szCs w:val="20"/>
                <w:color w:val="auto"/>
              </w:rPr>
            </w:pPr>
            <w:r>
              <w:rPr>
                <w:rFonts w:ascii="Arial" w:cs="Arial" w:eastAsia="Arial" w:hAnsi="Arial"/>
                <w:sz w:val="10"/>
                <w:szCs w:val="10"/>
                <w:b w:val="1"/>
                <w:bCs w:val="1"/>
                <w:color w:val="auto"/>
                <w:w w:val="86"/>
              </w:rPr>
              <w:t>(Exact name of registrant as specified in its charter)</w:t>
            </w: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320" w:type="dxa"/>
            <w:vAlign w:val="bottom"/>
            <w:gridSpan w:val="4"/>
          </w:tcPr>
          <w:p>
            <w:pPr>
              <w:jc w:val="right"/>
              <w:ind w:right="432"/>
              <w:spacing w:after="0"/>
              <w:rPr>
                <w:sz w:val="20"/>
                <w:szCs w:val="20"/>
                <w:color w:val="auto"/>
              </w:rPr>
            </w:pPr>
            <w:r>
              <w:rPr>
                <w:rFonts w:ascii="Arial" w:cs="Arial" w:eastAsia="Arial" w:hAnsi="Arial"/>
                <w:sz w:val="10"/>
                <w:szCs w:val="10"/>
                <w:color w:val="auto"/>
              </w:rPr>
              <w:t>__________________________________________________</w:t>
            </w:r>
          </w:p>
        </w:tc>
        <w:tc>
          <w:tcPr>
            <w:tcW w:w="1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40" w:type="dxa"/>
            <w:vAlign w:val="bottom"/>
          </w:tcPr>
          <w:p>
            <w:pPr>
              <w:jc w:val="center"/>
              <w:ind w:left="551"/>
              <w:spacing w:after="0"/>
              <w:rPr>
                <w:sz w:val="20"/>
                <w:szCs w:val="20"/>
                <w:color w:val="auto"/>
              </w:rPr>
            </w:pPr>
            <w:r>
              <w:rPr>
                <w:rFonts w:ascii="Arial" w:cs="Arial" w:eastAsia="Arial" w:hAnsi="Arial"/>
                <w:sz w:val="10"/>
                <w:szCs w:val="10"/>
                <w:b w:val="1"/>
                <w:bCs w:val="1"/>
                <w:color w:val="auto"/>
                <w:w w:val="90"/>
              </w:rPr>
              <w:t>Delaware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jc w:val="center"/>
              <w:ind w:right="1312"/>
              <w:spacing w:after="0"/>
              <w:rPr>
                <w:sz w:val="20"/>
                <w:szCs w:val="20"/>
                <w:color w:val="auto"/>
              </w:rPr>
            </w:pPr>
            <w:r>
              <w:rPr>
                <w:rFonts w:ascii="Arial" w:cs="Arial" w:eastAsia="Arial" w:hAnsi="Arial"/>
                <w:sz w:val="10"/>
                <w:szCs w:val="10"/>
                <w:b w:val="1"/>
                <w:bCs w:val="1"/>
                <w:color w:val="auto"/>
                <w:w w:val="89"/>
              </w:rPr>
              <w:t>26-1701984</w:t>
            </w:r>
          </w:p>
        </w:tc>
        <w:tc>
          <w:tcPr>
            <w:tcW w:w="0" w:type="dxa"/>
            <w:vAlign w:val="bottom"/>
          </w:tcPr>
          <w:p>
            <w:pPr>
              <w:spacing w:after="0"/>
              <w:rPr>
                <w:sz w:val="1"/>
                <w:szCs w:val="1"/>
                <w:color w:val="auto"/>
              </w:rPr>
            </w:pPr>
          </w:p>
        </w:tc>
      </w:tr>
      <w:tr>
        <w:trPr>
          <w:trHeight w:val="111"/>
        </w:trPr>
        <w:tc>
          <w:tcPr>
            <w:tcW w:w="4840" w:type="dxa"/>
            <w:vAlign w:val="bottom"/>
          </w:tcPr>
          <w:p>
            <w:pPr>
              <w:jc w:val="center"/>
              <w:ind w:left="551"/>
              <w:spacing w:after="0" w:line="111" w:lineRule="exact"/>
              <w:rPr>
                <w:sz w:val="20"/>
                <w:szCs w:val="20"/>
                <w:color w:val="auto"/>
              </w:rPr>
            </w:pPr>
            <w:r>
              <w:rPr>
                <w:rFonts w:ascii="Arial" w:cs="Arial" w:eastAsia="Arial" w:hAnsi="Arial"/>
                <w:sz w:val="10"/>
                <w:szCs w:val="10"/>
                <w:b w:val="1"/>
                <w:bCs w:val="1"/>
                <w:color w:val="auto"/>
                <w:w w:val="87"/>
              </w:rPr>
              <w:t>(State or Other Jurisdiction of</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80" w:type="dxa"/>
            <w:vAlign w:val="bottom"/>
          </w:tcPr>
          <w:p>
            <w:pPr>
              <w:jc w:val="center"/>
              <w:ind w:right="1312"/>
              <w:spacing w:after="0" w:line="111" w:lineRule="exact"/>
              <w:rPr>
                <w:sz w:val="20"/>
                <w:szCs w:val="20"/>
                <w:color w:val="auto"/>
              </w:rPr>
            </w:pPr>
            <w:r>
              <w:rPr>
                <w:rFonts w:ascii="Arial" w:cs="Arial" w:eastAsia="Arial" w:hAnsi="Arial"/>
                <w:sz w:val="10"/>
                <w:szCs w:val="10"/>
                <w:b w:val="1"/>
                <w:bCs w:val="1"/>
                <w:color w:val="auto"/>
                <w:w w:val="88"/>
              </w:rPr>
              <w:t>(I.R.S. Employer</w:t>
            </w:r>
          </w:p>
        </w:tc>
        <w:tc>
          <w:tcPr>
            <w:tcW w:w="0" w:type="dxa"/>
            <w:vAlign w:val="bottom"/>
          </w:tcPr>
          <w:p>
            <w:pPr>
              <w:spacing w:after="0"/>
              <w:rPr>
                <w:sz w:val="1"/>
                <w:szCs w:val="1"/>
                <w:color w:val="auto"/>
              </w:rPr>
            </w:pPr>
          </w:p>
        </w:tc>
      </w:tr>
      <w:tr>
        <w:trPr>
          <w:trHeight w:val="123"/>
        </w:trPr>
        <w:tc>
          <w:tcPr>
            <w:tcW w:w="4840" w:type="dxa"/>
            <w:vAlign w:val="bottom"/>
          </w:tcPr>
          <w:p>
            <w:pPr>
              <w:jc w:val="center"/>
              <w:ind w:left="551"/>
              <w:spacing w:after="0"/>
              <w:rPr>
                <w:sz w:val="20"/>
                <w:szCs w:val="20"/>
                <w:color w:val="auto"/>
              </w:rPr>
            </w:pPr>
            <w:r>
              <w:rPr>
                <w:rFonts w:ascii="Arial" w:cs="Arial" w:eastAsia="Arial" w:hAnsi="Arial"/>
                <w:sz w:val="10"/>
                <w:szCs w:val="10"/>
                <w:b w:val="1"/>
                <w:bCs w:val="1"/>
                <w:color w:val="auto"/>
                <w:w w:val="88"/>
              </w:rPr>
              <w:t>Incorporation or Organization)</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80" w:type="dxa"/>
            <w:vAlign w:val="bottom"/>
          </w:tcPr>
          <w:p>
            <w:pPr>
              <w:jc w:val="center"/>
              <w:ind w:right="1312"/>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580" w:type="dxa"/>
            <w:vAlign w:val="bottom"/>
            <w:gridSpan w:val="4"/>
          </w:tcPr>
          <w:p>
            <w:pPr>
              <w:jc w:val="center"/>
              <w:ind w:right="960"/>
              <w:spacing w:after="0"/>
              <w:rPr>
                <w:sz w:val="20"/>
                <w:szCs w:val="20"/>
                <w:color w:val="auto"/>
              </w:rPr>
            </w:pPr>
            <w:r>
              <w:rPr>
                <w:rFonts w:ascii="Arial" w:cs="Arial" w:eastAsia="Arial" w:hAnsi="Arial"/>
                <w:sz w:val="10"/>
                <w:szCs w:val="10"/>
                <w:b w:val="1"/>
                <w:bCs w:val="1"/>
                <w:color w:val="auto"/>
                <w:w w:val="87"/>
              </w:rPr>
              <w:t>2 Bethesda Metro Center, 12th Floor</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2580" w:type="dxa"/>
            <w:vAlign w:val="bottom"/>
            <w:gridSpan w:val="4"/>
          </w:tcPr>
          <w:p>
            <w:pPr>
              <w:jc w:val="center"/>
              <w:ind w:right="960"/>
              <w:spacing w:after="0"/>
              <w:rPr>
                <w:sz w:val="20"/>
                <w:szCs w:val="20"/>
                <w:color w:val="auto"/>
              </w:rPr>
            </w:pPr>
            <w:r>
              <w:rPr>
                <w:rFonts w:ascii="Arial" w:cs="Arial" w:eastAsia="Arial" w:hAnsi="Arial"/>
                <w:sz w:val="10"/>
                <w:szCs w:val="10"/>
                <w:b w:val="1"/>
                <w:bCs w:val="1"/>
                <w:color w:val="auto"/>
                <w:w w:val="87"/>
              </w:rPr>
              <w:t>Bethesda, Maryland 20814</w:t>
            </w: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2580" w:type="dxa"/>
            <w:vAlign w:val="bottom"/>
            <w:gridSpan w:val="4"/>
          </w:tcPr>
          <w:p>
            <w:pPr>
              <w:jc w:val="center"/>
              <w:ind w:right="960"/>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2480" w:type="dxa"/>
            <w:vAlign w:val="bottom"/>
            <w:gridSpan w:val="3"/>
          </w:tcPr>
          <w:p>
            <w:pPr>
              <w:jc w:val="right"/>
              <w:ind w:right="1332"/>
              <w:spacing w:after="0"/>
              <w:rPr>
                <w:sz w:val="20"/>
                <w:szCs w:val="20"/>
                <w:color w:val="auto"/>
              </w:rPr>
            </w:pPr>
            <w:r>
              <w:rPr>
                <w:rFonts w:ascii="Arial" w:cs="Arial" w:eastAsia="Arial" w:hAnsi="Arial"/>
                <w:sz w:val="10"/>
                <w:szCs w:val="10"/>
                <w:b w:val="1"/>
                <w:bCs w:val="1"/>
                <w:color w:val="auto"/>
              </w:rPr>
              <w:t>(301) 968-9315</w:t>
            </w:r>
          </w:p>
        </w:tc>
        <w:tc>
          <w:tcPr>
            <w:tcW w:w="1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420" w:type="dxa"/>
            <w:vAlign w:val="bottom"/>
            <w:gridSpan w:val="5"/>
          </w:tcPr>
          <w:p>
            <w:pPr>
              <w:jc w:val="center"/>
              <w:ind w:left="3811"/>
              <w:spacing w:after="0" w:line="110" w:lineRule="exact"/>
              <w:rPr>
                <w:sz w:val="20"/>
                <w:szCs w:val="20"/>
                <w:color w:val="auto"/>
              </w:rPr>
            </w:pPr>
            <w:r>
              <w:rPr>
                <w:rFonts w:ascii="Arial" w:cs="Arial" w:eastAsia="Arial" w:hAnsi="Arial"/>
                <w:sz w:val="10"/>
                <w:szCs w:val="10"/>
                <w:b w:val="1"/>
                <w:bCs w:val="1"/>
                <w:color w:val="auto"/>
                <w:w w:val="85"/>
              </w:rPr>
              <w:t>(Registrant’s telephone number, including area code)</w:t>
            </w:r>
          </w:p>
        </w:tc>
        <w:tc>
          <w:tcPr>
            <w:tcW w:w="3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320" w:type="dxa"/>
            <w:vAlign w:val="bottom"/>
            <w:gridSpan w:val="4"/>
          </w:tcPr>
          <w:p>
            <w:pPr>
              <w:jc w:val="center"/>
              <w:ind w:left="3951"/>
              <w:spacing w:after="0"/>
              <w:rPr>
                <w:sz w:val="20"/>
                <w:szCs w:val="20"/>
                <w:color w:val="auto"/>
              </w:rPr>
            </w:pPr>
            <w:r>
              <w:rPr>
                <w:rFonts w:ascii="Arial" w:cs="Arial" w:eastAsia="Arial" w:hAnsi="Arial"/>
                <w:sz w:val="10"/>
                <w:szCs w:val="10"/>
                <w:color w:val="auto"/>
                <w:w w:val="86"/>
              </w:rPr>
              <w:t>__________________________________________________</w:t>
            </w:r>
          </w:p>
        </w:tc>
        <w:tc>
          <w:tcPr>
            <w:tcW w:w="1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40" w:type="dxa"/>
            <w:vAlign w:val="bottom"/>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40" w:type="dxa"/>
            <w:vAlign w:val="bottom"/>
          </w:tcPr>
          <w:p>
            <w:pPr>
              <w:jc w:val="center"/>
              <w:ind w:left="791"/>
              <w:spacing w:after="0"/>
              <w:rPr>
                <w:sz w:val="20"/>
                <w:szCs w:val="20"/>
                <w:color w:val="auto"/>
              </w:rPr>
            </w:pPr>
            <w:r>
              <w:rPr>
                <w:rFonts w:ascii="Arial" w:cs="Arial" w:eastAsia="Arial" w:hAnsi="Arial"/>
                <w:sz w:val="10"/>
                <w:szCs w:val="10"/>
                <w:b w:val="1"/>
                <w:bCs w:val="1"/>
                <w:color w:val="auto"/>
                <w:w w:val="85"/>
              </w:rPr>
              <w:t>Title of Each Class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Trading Symbol(s)</w:t>
            </w:r>
          </w:p>
        </w:tc>
        <w:tc>
          <w:tcPr>
            <w:tcW w:w="3880" w:type="dxa"/>
            <w:vAlign w:val="bottom"/>
          </w:tcPr>
          <w:p>
            <w:pPr>
              <w:jc w:val="center"/>
              <w:spacing w:after="0"/>
              <w:rPr>
                <w:sz w:val="20"/>
                <w:szCs w:val="20"/>
                <w:color w:val="auto"/>
              </w:rPr>
            </w:pPr>
            <w:r>
              <w:rPr>
                <w:rFonts w:ascii="Arial" w:cs="Arial" w:eastAsia="Arial" w:hAnsi="Arial"/>
                <w:sz w:val="10"/>
                <w:szCs w:val="10"/>
                <w:b w:val="1"/>
                <w:bCs w:val="1"/>
                <w:color w:val="auto"/>
                <w:w w:val="85"/>
              </w:rPr>
              <w:t>Name of Exchange on Which Registered</w:t>
            </w:r>
          </w:p>
        </w:tc>
        <w:tc>
          <w:tcPr>
            <w:tcW w:w="0" w:type="dxa"/>
            <w:vAlign w:val="bottom"/>
          </w:tcPr>
          <w:p>
            <w:pPr>
              <w:spacing w:after="0"/>
              <w:rPr>
                <w:sz w:val="1"/>
                <w:szCs w:val="1"/>
                <w:color w:val="auto"/>
              </w:rPr>
            </w:pPr>
          </w:p>
        </w:tc>
      </w:tr>
      <w:tr>
        <w:trPr>
          <w:trHeight w:val="119"/>
        </w:trPr>
        <w:tc>
          <w:tcPr>
            <w:tcW w:w="4840" w:type="dxa"/>
            <w:vAlign w:val="bottom"/>
            <w:tcBorders>
              <w:top w:val="single" w:sz="8" w:color="auto"/>
            </w:tcBorders>
          </w:tcPr>
          <w:p>
            <w:pPr>
              <w:jc w:val="center"/>
              <w:ind w:left="771"/>
              <w:spacing w:after="0"/>
              <w:rPr>
                <w:sz w:val="20"/>
                <w:szCs w:val="20"/>
                <w:color w:val="auto"/>
              </w:rPr>
            </w:pPr>
            <w:r>
              <w:rPr>
                <w:rFonts w:ascii="Arial" w:cs="Arial" w:eastAsia="Arial" w:hAnsi="Arial"/>
                <w:sz w:val="10"/>
                <w:szCs w:val="10"/>
                <w:color w:val="auto"/>
                <w:w w:val="86"/>
              </w:rPr>
              <w:t>Common Stock, par value $0.01 per share</w:t>
            </w: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AGNC</w:t>
            </w:r>
          </w:p>
        </w:tc>
        <w:tc>
          <w:tcPr>
            <w:tcW w:w="100" w:type="dxa"/>
            <w:vAlign w:val="bottom"/>
          </w:tcPr>
          <w:p>
            <w:pPr>
              <w:spacing w:after="0"/>
              <w:rPr>
                <w:sz w:val="10"/>
                <w:szCs w:val="10"/>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6"/>
              </w:rPr>
              <w:t>The Nasdaq Global Select Market</w:t>
            </w:r>
          </w:p>
        </w:tc>
        <w:tc>
          <w:tcPr>
            <w:tcW w:w="0" w:type="dxa"/>
            <w:vAlign w:val="bottom"/>
          </w:tcPr>
          <w:p>
            <w:pPr>
              <w:spacing w:after="0"/>
              <w:rPr>
                <w:sz w:val="1"/>
                <w:szCs w:val="1"/>
                <w:color w:val="auto"/>
              </w:rPr>
            </w:pPr>
          </w:p>
        </w:tc>
      </w:tr>
      <w:tr>
        <w:trPr>
          <w:trHeight w:val="132"/>
        </w:trPr>
        <w:tc>
          <w:tcPr>
            <w:tcW w:w="4840" w:type="dxa"/>
            <w:vAlign w:val="bottom"/>
          </w:tcPr>
          <w:p>
            <w:pPr>
              <w:jc w:val="center"/>
              <w:ind w:left="771"/>
              <w:spacing w:after="0"/>
              <w:rPr>
                <w:sz w:val="20"/>
                <w:szCs w:val="20"/>
                <w:color w:val="auto"/>
              </w:rPr>
            </w:pPr>
            <w:r>
              <w:rPr>
                <w:rFonts w:ascii="Arial" w:cs="Arial" w:eastAsia="Arial" w:hAnsi="Arial"/>
                <w:sz w:val="10"/>
                <w:szCs w:val="10"/>
                <w:color w:val="auto"/>
                <w:w w:val="86"/>
              </w:rPr>
              <w:t>Depositary shares of 7.000% Series C Fixed-to-Floating Rate Cumulative Redeemable Preferred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AGNCN</w:t>
            </w:r>
          </w:p>
        </w:tc>
        <w:tc>
          <w:tcPr>
            <w:tcW w:w="3880" w:type="dxa"/>
            <w:vAlign w:val="bottom"/>
          </w:tcPr>
          <w:p>
            <w:pPr>
              <w:jc w:val="center"/>
              <w:spacing w:after="0"/>
              <w:rPr>
                <w:sz w:val="20"/>
                <w:szCs w:val="20"/>
                <w:color w:val="auto"/>
              </w:rPr>
            </w:pPr>
            <w:r>
              <w:rPr>
                <w:rFonts w:ascii="Arial" w:cs="Arial" w:eastAsia="Arial" w:hAnsi="Arial"/>
                <w:sz w:val="10"/>
                <w:szCs w:val="10"/>
                <w:color w:val="auto"/>
                <w:w w:val="86"/>
              </w:rPr>
              <w:t>The Nasdaq Global Select Market</w:t>
            </w:r>
          </w:p>
        </w:tc>
        <w:tc>
          <w:tcPr>
            <w:tcW w:w="0" w:type="dxa"/>
            <w:vAlign w:val="bottom"/>
          </w:tcPr>
          <w:p>
            <w:pPr>
              <w:spacing w:after="0"/>
              <w:rPr>
                <w:sz w:val="1"/>
                <w:szCs w:val="1"/>
                <w:color w:val="auto"/>
              </w:rPr>
            </w:pPr>
          </w:p>
        </w:tc>
      </w:tr>
      <w:tr>
        <w:trPr>
          <w:trHeight w:val="135"/>
        </w:trPr>
        <w:tc>
          <w:tcPr>
            <w:tcW w:w="4840" w:type="dxa"/>
            <w:vAlign w:val="bottom"/>
          </w:tcPr>
          <w:p>
            <w:pPr>
              <w:jc w:val="center"/>
              <w:ind w:left="791"/>
              <w:spacing w:after="0"/>
              <w:rPr>
                <w:sz w:val="20"/>
                <w:szCs w:val="20"/>
                <w:color w:val="auto"/>
              </w:rPr>
            </w:pPr>
            <w:r>
              <w:rPr>
                <w:rFonts w:ascii="Arial" w:cs="Arial" w:eastAsia="Arial" w:hAnsi="Arial"/>
                <w:sz w:val="10"/>
                <w:szCs w:val="10"/>
                <w:color w:val="auto"/>
                <w:w w:val="86"/>
              </w:rPr>
              <w:t>Depositary shares of 6.875% Series D Fixed-to-Floating Rate Cumulative Redeemable Preferred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color w:val="auto"/>
                <w:w w:val="91"/>
              </w:rPr>
              <w:t>AGNCM</w:t>
            </w:r>
          </w:p>
        </w:tc>
        <w:tc>
          <w:tcPr>
            <w:tcW w:w="3880" w:type="dxa"/>
            <w:vAlign w:val="bottom"/>
          </w:tcPr>
          <w:p>
            <w:pPr>
              <w:jc w:val="center"/>
              <w:spacing w:after="0"/>
              <w:rPr>
                <w:sz w:val="20"/>
                <w:szCs w:val="20"/>
                <w:color w:val="auto"/>
              </w:rPr>
            </w:pPr>
            <w:r>
              <w:rPr>
                <w:rFonts w:ascii="Arial" w:cs="Arial" w:eastAsia="Arial" w:hAnsi="Arial"/>
                <w:sz w:val="10"/>
                <w:szCs w:val="10"/>
                <w:color w:val="auto"/>
                <w:w w:val="86"/>
              </w:rPr>
              <w:t>The Nasdaq Global Select Market</w:t>
            </w:r>
          </w:p>
        </w:tc>
        <w:tc>
          <w:tcPr>
            <w:tcW w:w="0" w:type="dxa"/>
            <w:vAlign w:val="bottom"/>
          </w:tcPr>
          <w:p>
            <w:pPr>
              <w:spacing w:after="0"/>
              <w:rPr>
                <w:sz w:val="1"/>
                <w:szCs w:val="1"/>
                <w:color w:val="auto"/>
              </w:rPr>
            </w:pPr>
          </w:p>
        </w:tc>
      </w:tr>
      <w:tr>
        <w:trPr>
          <w:trHeight w:val="135"/>
        </w:trPr>
        <w:tc>
          <w:tcPr>
            <w:tcW w:w="4840" w:type="dxa"/>
            <w:vAlign w:val="bottom"/>
          </w:tcPr>
          <w:p>
            <w:pPr>
              <w:jc w:val="center"/>
              <w:ind w:left="771"/>
              <w:spacing w:after="0"/>
              <w:rPr>
                <w:sz w:val="20"/>
                <w:szCs w:val="20"/>
                <w:color w:val="auto"/>
              </w:rPr>
            </w:pPr>
            <w:r>
              <w:rPr>
                <w:rFonts w:ascii="Arial" w:cs="Arial" w:eastAsia="Arial" w:hAnsi="Arial"/>
                <w:sz w:val="10"/>
                <w:szCs w:val="10"/>
                <w:color w:val="auto"/>
                <w:w w:val="86"/>
              </w:rPr>
              <w:t>Depositary shares of 6.50% Series E Fixed-to-Floating Rate Cumulative Redeemable Preferred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color w:val="auto"/>
                <w:w w:val="92"/>
              </w:rPr>
              <w:t>AGNCO</w:t>
            </w:r>
          </w:p>
        </w:tc>
        <w:tc>
          <w:tcPr>
            <w:tcW w:w="3880" w:type="dxa"/>
            <w:vAlign w:val="bottom"/>
          </w:tcPr>
          <w:p>
            <w:pPr>
              <w:jc w:val="center"/>
              <w:spacing w:after="0"/>
              <w:rPr>
                <w:sz w:val="20"/>
                <w:szCs w:val="20"/>
                <w:color w:val="auto"/>
              </w:rPr>
            </w:pPr>
            <w:r>
              <w:rPr>
                <w:rFonts w:ascii="Arial" w:cs="Arial" w:eastAsia="Arial" w:hAnsi="Arial"/>
                <w:sz w:val="10"/>
                <w:szCs w:val="10"/>
                <w:color w:val="auto"/>
                <w:w w:val="86"/>
              </w:rPr>
              <w:t>The Nasdaq Global Select Market</w:t>
            </w:r>
          </w:p>
        </w:tc>
        <w:tc>
          <w:tcPr>
            <w:tcW w:w="0" w:type="dxa"/>
            <w:vAlign w:val="bottom"/>
          </w:tcPr>
          <w:p>
            <w:pPr>
              <w:spacing w:after="0"/>
              <w:rPr>
                <w:sz w:val="1"/>
                <w:szCs w:val="1"/>
                <w:color w:val="auto"/>
              </w:rPr>
            </w:pPr>
          </w:p>
        </w:tc>
      </w:tr>
      <w:tr>
        <w:trPr>
          <w:trHeight w:val="135"/>
        </w:trPr>
        <w:tc>
          <w:tcPr>
            <w:tcW w:w="4840" w:type="dxa"/>
            <w:vAlign w:val="bottom"/>
          </w:tcPr>
          <w:p>
            <w:pPr>
              <w:jc w:val="center"/>
              <w:ind w:left="771"/>
              <w:spacing w:after="0"/>
              <w:rPr>
                <w:sz w:val="20"/>
                <w:szCs w:val="20"/>
                <w:color w:val="auto"/>
              </w:rPr>
            </w:pPr>
            <w:r>
              <w:rPr>
                <w:rFonts w:ascii="Arial" w:cs="Arial" w:eastAsia="Arial" w:hAnsi="Arial"/>
                <w:sz w:val="10"/>
                <w:szCs w:val="10"/>
                <w:color w:val="auto"/>
                <w:w w:val="86"/>
              </w:rPr>
              <w:t>Depositary shares of 6.125% Series F Fixed-to-Floating Rate Cumulative Redeemable Preferred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color w:val="auto"/>
                <w:w w:val="95"/>
              </w:rPr>
              <w:t>AGNCP</w:t>
            </w:r>
          </w:p>
        </w:tc>
        <w:tc>
          <w:tcPr>
            <w:tcW w:w="3880" w:type="dxa"/>
            <w:vAlign w:val="bottom"/>
          </w:tcPr>
          <w:p>
            <w:pPr>
              <w:jc w:val="center"/>
              <w:spacing w:after="0"/>
              <w:rPr>
                <w:sz w:val="20"/>
                <w:szCs w:val="20"/>
                <w:color w:val="auto"/>
              </w:rPr>
            </w:pPr>
            <w:r>
              <w:rPr>
                <w:rFonts w:ascii="Arial" w:cs="Arial" w:eastAsia="Arial" w:hAnsi="Arial"/>
                <w:sz w:val="10"/>
                <w:szCs w:val="10"/>
                <w:color w:val="auto"/>
                <w:w w:val="86"/>
              </w:rPr>
              <w:t>The Nasdaq Global Select Market</w:t>
            </w:r>
          </w:p>
        </w:tc>
        <w:tc>
          <w:tcPr>
            <w:tcW w:w="0" w:type="dxa"/>
            <w:vAlign w:val="bottom"/>
          </w:tcPr>
          <w:p>
            <w:pPr>
              <w:spacing w:after="0"/>
              <w:rPr>
                <w:sz w:val="1"/>
                <w:szCs w:val="1"/>
                <w:color w:val="auto"/>
              </w:rPr>
            </w:pPr>
          </w:p>
        </w:tc>
      </w:tr>
      <w:tr>
        <w:trPr>
          <w:trHeight w:val="113"/>
        </w:trPr>
        <w:tc>
          <w:tcPr>
            <w:tcW w:w="4840" w:type="dxa"/>
            <w:vAlign w:val="bottom"/>
          </w:tcPr>
          <w:p>
            <w:pPr>
              <w:jc w:val="center"/>
              <w:ind w:left="751"/>
              <w:spacing w:after="0" w:line="113" w:lineRule="exact"/>
              <w:rPr>
                <w:sz w:val="20"/>
                <w:szCs w:val="20"/>
                <w:color w:val="auto"/>
              </w:rPr>
            </w:pPr>
            <w:r>
              <w:rPr>
                <w:rFonts w:ascii="Arial" w:cs="Arial" w:eastAsia="Arial" w:hAnsi="Arial"/>
                <w:sz w:val="10"/>
                <w:szCs w:val="10"/>
                <w:color w:val="auto"/>
                <w:w w:val="85"/>
              </w:rPr>
              <w:t>Depositary shares of 7.75% Series G Fixed-Rate Reset Cumulative</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8"/>
              </w:rPr>
              <w:t>AGNCL</w:t>
            </w:r>
          </w:p>
        </w:tc>
        <w:tc>
          <w:tcPr>
            <w:tcW w:w="3880" w:type="dxa"/>
            <w:vAlign w:val="bottom"/>
            <w:vMerge w:val="restart"/>
          </w:tcPr>
          <w:p>
            <w:pPr>
              <w:jc w:val="center"/>
              <w:spacing w:after="0"/>
              <w:rPr>
                <w:sz w:val="20"/>
                <w:szCs w:val="20"/>
                <w:color w:val="auto"/>
              </w:rPr>
            </w:pPr>
            <w:r>
              <w:rPr>
                <w:rFonts w:ascii="Arial" w:cs="Arial" w:eastAsia="Arial" w:hAnsi="Arial"/>
                <w:sz w:val="10"/>
                <w:szCs w:val="10"/>
                <w:color w:val="auto"/>
                <w:w w:val="86"/>
              </w:rPr>
              <w:t>The Nasdaq Global Select Market</w:t>
            </w:r>
          </w:p>
        </w:tc>
        <w:tc>
          <w:tcPr>
            <w:tcW w:w="0" w:type="dxa"/>
            <w:vAlign w:val="bottom"/>
          </w:tcPr>
          <w:p>
            <w:pPr>
              <w:spacing w:after="0"/>
              <w:rPr>
                <w:sz w:val="1"/>
                <w:szCs w:val="1"/>
                <w:color w:val="auto"/>
              </w:rPr>
            </w:pPr>
          </w:p>
        </w:tc>
      </w:tr>
      <w:tr>
        <w:trPr>
          <w:trHeight w:val="67"/>
        </w:trPr>
        <w:tc>
          <w:tcPr>
            <w:tcW w:w="4840" w:type="dxa"/>
            <w:vAlign w:val="bottom"/>
            <w:vMerge w:val="restart"/>
          </w:tcPr>
          <w:p>
            <w:pPr>
              <w:jc w:val="center"/>
              <w:ind w:left="771"/>
              <w:spacing w:after="0"/>
              <w:rPr>
                <w:sz w:val="20"/>
                <w:szCs w:val="20"/>
                <w:color w:val="auto"/>
              </w:rPr>
            </w:pPr>
            <w:r>
              <w:rPr>
                <w:rFonts w:ascii="Arial" w:cs="Arial" w:eastAsia="Arial" w:hAnsi="Arial"/>
                <w:sz w:val="10"/>
                <w:szCs w:val="10"/>
                <w:color w:val="auto"/>
                <w:w w:val="85"/>
              </w:rPr>
              <w:t>Redeemable Preferred Stock</w:t>
            </w: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8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420" w:type="dxa"/>
            <w:vAlign w:val="bottom"/>
            <w:gridSpan w:val="5"/>
          </w:tcPr>
          <w:p>
            <w:pPr>
              <w:ind w:left="4440"/>
              <w:spacing w:after="0"/>
              <w:rPr>
                <w:sz w:val="20"/>
                <w:szCs w:val="20"/>
                <w:color w:val="auto"/>
              </w:rPr>
            </w:pPr>
            <w:r>
              <w:rPr>
                <w:rFonts w:ascii="Arial" w:cs="Arial" w:eastAsia="Arial" w:hAnsi="Arial"/>
                <w:sz w:val="10"/>
                <w:szCs w:val="10"/>
                <w:b w:val="1"/>
                <w:bCs w:val="1"/>
                <w:color w:val="auto"/>
                <w:w w:val="96"/>
              </w:rPr>
              <w:t>Securities Registered Pursuant to Section 12(g) of the Act: None</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right="80" w:firstLine="216"/>
        <w:spacing w:after="0" w:line="122" w:lineRule="exact"/>
        <w:rPr>
          <w:sz w:val="20"/>
          <w:szCs w:val="20"/>
          <w:color w:val="auto"/>
        </w:rPr>
      </w:pPr>
      <w:r>
        <w:rPr>
          <w:rFonts w:ascii="Arial" w:cs="Arial" w:eastAsia="Arial" w:hAnsi="Arial"/>
          <w:sz w:val="10"/>
          <w:szCs w:val="10"/>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0"/>
          <w:szCs w:val="10"/>
          <w:color w:val="auto"/>
        </w:rPr>
        <w:t>☐</w:t>
      </w:r>
    </w:p>
    <w:p>
      <w:pPr>
        <w:spacing w:after="0" w:line="1" w:lineRule="exact"/>
        <w:rPr>
          <w:sz w:val="24"/>
          <w:szCs w:val="24"/>
          <w:color w:val="auto"/>
        </w:rPr>
      </w:pPr>
    </w:p>
    <w:p>
      <w:pPr>
        <w:ind w:right="20" w:firstLine="216"/>
        <w:spacing w:after="0" w:line="122"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0"/>
          <w:szCs w:val="10"/>
          <w:color w:val="auto"/>
        </w:rPr>
        <w:t>☐</w:t>
      </w:r>
    </w:p>
    <w:p>
      <w:pPr>
        <w:spacing w:after="0" w:line="1" w:lineRule="exact"/>
        <w:rPr>
          <w:sz w:val="24"/>
          <w:szCs w:val="24"/>
          <w:color w:val="auto"/>
        </w:rPr>
      </w:pPr>
    </w:p>
    <w:p>
      <w:pPr>
        <w:ind w:right="80" w:firstLine="216"/>
        <w:spacing w:after="0" w:line="231"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00"/>
          </w:cols>
          <w:pgMar w:left="300" w:top="647" w:right="299" w:bottom="1440" w:gutter="0" w:footer="0" w:header="0"/>
        </w:sectPr>
      </w:pPr>
    </w:p>
    <w:p>
      <w:pPr>
        <w:spacing w:after="0" w:line="23" w:lineRule="exact"/>
        <w:rPr>
          <w:sz w:val="24"/>
          <w:szCs w:val="24"/>
          <w:color w:val="auto"/>
        </w:rPr>
      </w:pPr>
    </w:p>
    <w:p>
      <w:pPr>
        <w:ind w:left="2300"/>
        <w:spacing w:after="0"/>
        <w:rPr>
          <w:sz w:val="20"/>
          <w:szCs w:val="20"/>
          <w:color w:val="auto"/>
        </w:rPr>
      </w:pPr>
      <w:r>
        <w:rPr>
          <w:rFonts w:ascii="Arial" w:cs="Arial" w:eastAsia="Arial" w:hAnsi="Arial"/>
          <w:sz w:val="8"/>
          <w:szCs w:val="8"/>
          <w:color w:val="auto"/>
        </w:rPr>
        <w:t>Large accelerated filer</w:t>
      </w:r>
    </w:p>
    <w:p>
      <w:pPr>
        <w:spacing w:after="0" w:line="52" w:lineRule="exact"/>
        <w:rPr>
          <w:sz w:val="24"/>
          <w:szCs w:val="24"/>
          <w:color w:val="auto"/>
        </w:rPr>
      </w:pPr>
    </w:p>
    <w:p>
      <w:pPr>
        <w:ind w:left="2300"/>
        <w:spacing w:after="0"/>
        <w:rPr>
          <w:sz w:val="20"/>
          <w:szCs w:val="20"/>
          <w:color w:val="auto"/>
        </w:rPr>
      </w:pPr>
      <w:r>
        <w:rPr>
          <w:rFonts w:ascii="Arial" w:cs="Arial" w:eastAsia="Arial" w:hAnsi="Arial"/>
          <w:sz w:val="8"/>
          <w:szCs w:val="8"/>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0"/>
          <w:szCs w:val="20"/>
          <w:color w:val="auto"/>
        </w:rPr>
      </w:pPr>
      <w:r>
        <w:rPr>
          <w:rFonts w:ascii="MS PGothic" w:cs="MS PGothic" w:eastAsia="MS PGothic" w:hAnsi="MS PGothic"/>
          <w:sz w:val="8"/>
          <w:szCs w:val="8"/>
          <w:color w:val="auto"/>
        </w:rPr>
        <w:t>☒</w:t>
      </w:r>
    </w:p>
    <w:p>
      <w:pPr>
        <w:spacing w:after="0" w:line="69"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9" w:lineRule="exact"/>
        <w:rPr>
          <w:sz w:val="24"/>
          <w:szCs w:val="24"/>
          <w:color w:val="auto"/>
        </w:rPr>
      </w:pPr>
    </w:p>
    <w:p>
      <w:pPr>
        <w:spacing w:after="0"/>
        <w:rPr>
          <w:sz w:val="20"/>
          <w:szCs w:val="20"/>
          <w:color w:val="auto"/>
        </w:rPr>
      </w:pPr>
      <w:r>
        <w:rPr>
          <w:rFonts w:ascii="Arial" w:cs="Arial" w:eastAsia="Arial" w:hAnsi="Arial"/>
          <w:sz w:val="8"/>
          <w:szCs w:val="8"/>
          <w:color w:val="auto"/>
        </w:rPr>
        <w:t>Smaller Reporting Company</w:t>
      </w:r>
    </w:p>
    <w:p>
      <w:pPr>
        <w:spacing w:after="0" w:line="20" w:lineRule="exact"/>
        <w:rPr>
          <w:sz w:val="24"/>
          <w:szCs w:val="24"/>
          <w:color w:val="auto"/>
        </w:rPr>
      </w:pPr>
      <w:r>
        <w:rPr>
          <w:sz w:val="24"/>
          <w:szCs w:val="24"/>
          <w:color w:val="auto"/>
        </w:rPr>
        <w:br w:type="column"/>
      </w:r>
    </w:p>
    <w:p>
      <w:pPr>
        <w:spacing w:after="0" w:line="66" w:lineRule="exact"/>
        <w:rPr>
          <w:sz w:val="20"/>
          <w:szCs w:val="20"/>
          <w:color w:val="auto"/>
        </w:rPr>
      </w:pPr>
      <w:r>
        <w:rPr>
          <w:rFonts w:ascii="MS PGothic" w:cs="MS PGothic" w:eastAsia="MS PGothic" w:hAnsi="MS PGothic"/>
          <w:sz w:val="8"/>
          <w:szCs w:val="8"/>
          <w:color w:val="auto"/>
        </w:rPr>
        <w:t>☐</w:t>
      </w:r>
    </w:p>
    <w:p>
      <w:pPr>
        <w:spacing w:after="0" w:line="69"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63" w:lineRule="exact"/>
        <w:rPr>
          <w:sz w:val="24"/>
          <w:szCs w:val="24"/>
          <w:color w:val="auto"/>
        </w:rPr>
      </w:pPr>
    </w:p>
    <w:p>
      <w:pPr>
        <w:sectPr>
          <w:pgSz w:w="11900" w:h="16838" w:orient="portrait"/>
          <w:cols w:equalWidth="0" w:num="4">
            <w:col w:w="4320" w:space="720"/>
            <w:col w:w="80" w:space="380"/>
            <w:col w:w="2580" w:space="720"/>
            <w:col w:w="2500"/>
          </w:cols>
          <w:pgMar w:left="300" w:top="647" w:right="299" w:bottom="1440" w:gutter="0" w:footer="0" w:header="0"/>
          <w:type w:val="continuous"/>
        </w:sectPr>
      </w:pPr>
    </w:p>
    <w:p>
      <w:pPr>
        <w:spacing w:after="0" w:line="13" w:lineRule="exact"/>
        <w:rPr>
          <w:sz w:val="24"/>
          <w:szCs w:val="24"/>
          <w:color w:val="auto"/>
        </w:rPr>
      </w:pPr>
    </w:p>
    <w:p>
      <w:pPr>
        <w:ind w:left="2300"/>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112" w:lineRule="exact"/>
        <w:rPr>
          <w:sz w:val="24"/>
          <w:szCs w:val="24"/>
          <w:color w:val="auto"/>
        </w:rPr>
      </w:pPr>
    </w:p>
    <w:p>
      <w:pPr>
        <w:sectPr>
          <w:pgSz w:w="11900" w:h="16838" w:orient="portrait"/>
          <w:cols w:equalWidth="0" w:num="2">
            <w:col w:w="4320" w:space="720"/>
            <w:col w:w="6260"/>
          </w:cols>
          <w:pgMar w:left="300" w:top="647" w:right="299" w:bottom="1440" w:gutter="0" w:footer="0" w:header="0"/>
          <w:type w:val="continuous"/>
        </w:sectPr>
      </w:pPr>
    </w:p>
    <w:p>
      <w:pPr>
        <w:ind w:left="200"/>
        <w:spacing w:after="0" w:line="92" w:lineRule="exact"/>
        <w:rPr>
          <w:sz w:val="20"/>
          <w:szCs w:val="20"/>
          <w:color w:val="auto"/>
        </w:rPr>
      </w:pPr>
      <w:r>
        <w:rPr>
          <w:rFonts w:ascii="Arial" w:cs="Arial" w:eastAsia="Arial" w:hAnsi="Arial"/>
          <w:sz w:val="8"/>
          <w:szCs w:val="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53" w:lineRule="exact"/>
        <w:rPr>
          <w:sz w:val="24"/>
          <w:szCs w:val="24"/>
          <w:color w:val="auto"/>
        </w:rPr>
      </w:pPr>
    </w:p>
    <w:p>
      <w:pPr>
        <w:ind w:left="200"/>
        <w:spacing w:after="0" w:line="115" w:lineRule="exact"/>
        <w:tabs>
          <w:tab w:leader="none" w:pos="4640" w:val="left"/>
          <w:tab w:leader="none" w:pos="5020" w:val="left"/>
        </w:tabs>
        <w:rPr>
          <w:sz w:val="20"/>
          <w:szCs w:val="20"/>
          <w:color w:val="auto"/>
        </w:rPr>
      </w:pPr>
      <w:r>
        <w:rPr>
          <w:rFonts w:ascii="Arial" w:cs="Arial" w:eastAsia="Arial" w:hAnsi="Arial"/>
          <w:sz w:val="8"/>
          <w:szCs w:val="8"/>
          <w:color w:val="auto"/>
        </w:rPr>
        <w:t>Indicate by check mark whether the registrant is a shell company (as defined in Rule 12b-2 of the Exchange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8"/>
          <w:szCs w:val="8"/>
          <w:color w:val="auto"/>
        </w:rPr>
        <w:t>No x</w:t>
      </w:r>
    </w:p>
    <w:p>
      <w:pPr>
        <w:ind w:left="200"/>
        <w:spacing w:after="0" w:line="236" w:lineRule="auto"/>
        <w:rPr>
          <w:sz w:val="20"/>
          <w:szCs w:val="20"/>
          <w:color w:val="auto"/>
        </w:rPr>
      </w:pPr>
      <w:r>
        <w:rPr>
          <w:rFonts w:ascii="Arial" w:cs="Arial" w:eastAsia="Arial" w:hAnsi="Arial"/>
          <w:sz w:val="10"/>
          <w:szCs w:val="10"/>
          <w:color w:val="auto"/>
        </w:rPr>
        <w:t>The number of shares of the issuer's common stock, $0.01 par value, outstanding as of October 31, 2022 was 571,621,541.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323850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39370</wp:posOffset>
            </wp:positionV>
            <wp:extent cx="70408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16510</wp:posOffset>
            </wp:positionV>
            <wp:extent cx="70408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1" w:name="page2"/>
    <w:bookmarkEnd w:id="1"/>
    <w:p>
      <w:pPr>
        <w:jc w:val="center"/>
        <w:ind w:right="-659"/>
        <w:spacing w:after="0"/>
        <w:rPr>
          <w:sz w:val="20"/>
          <w:szCs w:val="20"/>
          <w:color w:val="auto"/>
        </w:rPr>
      </w:pPr>
      <w:r>
        <w:rPr>
          <w:rFonts w:ascii="Arial" w:cs="Arial" w:eastAsia="Arial" w:hAnsi="Arial"/>
          <w:sz w:val="12"/>
          <w:szCs w:val="12"/>
          <w:b w:val="1"/>
          <w:bCs w:val="1"/>
          <w:color w:val="auto"/>
        </w:rPr>
        <w:t>AGNC INVESTMENT CORP.</w:t>
      </w:r>
    </w:p>
    <w:p>
      <w:pPr>
        <w:spacing w:after="0" w:line="69" w:lineRule="exact"/>
        <w:rPr>
          <w:sz w:val="20"/>
          <w:szCs w:val="20"/>
          <w:color w:val="auto"/>
        </w:rPr>
      </w:pPr>
    </w:p>
    <w:p>
      <w:pPr>
        <w:jc w:val="center"/>
        <w:ind w:right="-659"/>
        <w:spacing w:after="0"/>
        <w:rPr>
          <w:sz w:val="20"/>
          <w:szCs w:val="20"/>
          <w:color w:val="auto"/>
        </w:rPr>
      </w:pPr>
      <w:r>
        <w:rPr>
          <w:rFonts w:ascii="Arial" w:cs="Arial" w:eastAsia="Arial" w:hAnsi="Arial"/>
          <w:sz w:val="12"/>
          <w:szCs w:val="12"/>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4"/>
          </w:tcPr>
          <w:p>
            <w:pPr>
              <w:spacing w:after="0"/>
              <w:rPr>
                <w:sz w:val="20"/>
                <w:szCs w:val="20"/>
                <w:color w:val="auto"/>
              </w:rPr>
            </w:pPr>
            <w:r>
              <w:rPr>
                <w:rFonts w:ascii="Arial" w:cs="Arial" w:eastAsia="Arial" w:hAnsi="Arial"/>
                <w:sz w:val="11"/>
                <w:szCs w:val="11"/>
                <w:b w:val="1"/>
                <w:bCs w:val="1"/>
                <w:color w:val="0000FF"/>
              </w:rPr>
              <w:t>PART I.</w:t>
            </w:r>
          </w:p>
        </w:tc>
        <w:tc>
          <w:tcPr>
            <w:tcW w:w="9460" w:type="dxa"/>
            <w:vAlign w:val="bottom"/>
            <w:gridSpan w:val="12"/>
          </w:tcPr>
          <w:p>
            <w:pPr>
              <w:spacing w:after="0"/>
              <w:rPr>
                <w:sz w:val="20"/>
                <w:szCs w:val="20"/>
                <w:color w:val="auto"/>
              </w:rPr>
            </w:pPr>
            <w:r>
              <w:rPr>
                <w:rFonts w:ascii="Arial" w:cs="Arial" w:eastAsia="Arial" w:hAnsi="Arial"/>
                <w:sz w:val="11"/>
                <w:szCs w:val="11"/>
                <w:b w:val="1"/>
                <w:bCs w:val="1"/>
                <w:color w:val="0000FF"/>
              </w:rPr>
              <w:t>FINANCIAL INFORMATION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300" w:type="dxa"/>
            <w:vAlign w:val="bottom"/>
            <w:tcBorders>
              <w:top w:val="single" w:sz="8" w:color="0000FF"/>
            </w:tcBorders>
          </w:tcPr>
          <w:p>
            <w:pPr>
              <w:spacing w:after="0" w:line="124" w:lineRule="exact"/>
              <w:rPr>
                <w:sz w:val="20"/>
                <w:szCs w:val="20"/>
                <w:color w:val="auto"/>
              </w:rPr>
            </w:pPr>
            <w:r>
              <w:rPr>
                <w:rFonts w:ascii="Arial" w:cs="Arial" w:eastAsia="Arial" w:hAnsi="Arial"/>
                <w:sz w:val="11"/>
                <w:szCs w:val="11"/>
                <w:color w:val="0000FF"/>
                <w:w w:val="77"/>
              </w:rPr>
              <w:t>Item 1.</w:t>
            </w:r>
          </w:p>
        </w:tc>
        <w:tc>
          <w:tcPr>
            <w:tcW w:w="80" w:type="dxa"/>
            <w:vAlign w:val="bottom"/>
            <w:tcBorders>
              <w:top w:val="single" w:sz="8" w:color="0000FF"/>
            </w:tcBorders>
          </w:tcPr>
          <w:p>
            <w:pPr>
              <w:spacing w:after="0"/>
              <w:rPr>
                <w:sz w:val="10"/>
                <w:szCs w:val="10"/>
                <w:color w:val="auto"/>
              </w:rPr>
            </w:pPr>
          </w:p>
        </w:tc>
        <w:tc>
          <w:tcPr>
            <w:tcW w:w="660" w:type="dxa"/>
            <w:vAlign w:val="bottom"/>
            <w:gridSpan w:val="2"/>
          </w:tcPr>
          <w:p>
            <w:pPr>
              <w:spacing w:after="0"/>
              <w:rPr>
                <w:sz w:val="10"/>
                <w:szCs w:val="10"/>
                <w:color w:val="auto"/>
              </w:rPr>
            </w:pPr>
          </w:p>
        </w:tc>
        <w:tc>
          <w:tcPr>
            <w:tcW w:w="1440" w:type="dxa"/>
            <w:vAlign w:val="bottom"/>
            <w:tcBorders>
              <w:top w:val="single" w:sz="8" w:color="0000FF"/>
            </w:tcBorders>
            <w:gridSpan w:val="9"/>
          </w:tcPr>
          <w:p>
            <w:pPr>
              <w:spacing w:after="0" w:line="124" w:lineRule="exact"/>
              <w:rPr>
                <w:sz w:val="20"/>
                <w:szCs w:val="20"/>
                <w:color w:val="auto"/>
              </w:rPr>
            </w:pPr>
            <w:r>
              <w:rPr>
                <w:rFonts w:ascii="Arial" w:cs="Arial" w:eastAsia="Arial" w:hAnsi="Arial"/>
                <w:sz w:val="11"/>
                <w:szCs w:val="11"/>
                <w:color w:val="0000FF"/>
              </w:rPr>
              <w:t>Financial Statements</w:t>
            </w:r>
          </w:p>
        </w:tc>
        <w:tc>
          <w:tcPr>
            <w:tcW w:w="8020" w:type="dxa"/>
            <w:vAlign w:val="bottom"/>
            <w:gridSpan w:val="3"/>
          </w:tcPr>
          <w:p>
            <w:pPr>
              <w:spacing w:after="0"/>
              <w:rPr>
                <w:sz w:val="10"/>
                <w:szCs w:val="10"/>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1"/>
                <w:szCs w:val="11"/>
                <w:u w:val="single" w:color="auto"/>
                <w:color w:val="0000FF"/>
              </w:rPr>
              <w:t>2</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1"/>
                <w:szCs w:val="11"/>
                <w:color w:val="0000FF"/>
                <w:w w:val="77"/>
              </w:rPr>
              <w:t>Item 2.</w:t>
            </w:r>
          </w:p>
        </w:tc>
        <w:tc>
          <w:tcPr>
            <w:tcW w:w="740" w:type="dxa"/>
            <w:vAlign w:val="bottom"/>
            <w:gridSpan w:val="3"/>
          </w:tcPr>
          <w:p>
            <w:pPr>
              <w:spacing w:after="0"/>
              <w:rPr>
                <w:sz w:val="10"/>
                <w:szCs w:val="10"/>
                <w:color w:val="auto"/>
              </w:rPr>
            </w:pPr>
          </w:p>
        </w:tc>
        <w:tc>
          <w:tcPr>
            <w:tcW w:w="9460" w:type="dxa"/>
            <w:vAlign w:val="bottom"/>
            <w:gridSpan w:val="12"/>
          </w:tcPr>
          <w:p>
            <w:pPr>
              <w:spacing w:after="0" w:line="124" w:lineRule="exact"/>
              <w:rPr>
                <w:sz w:val="20"/>
                <w:szCs w:val="20"/>
                <w:color w:val="auto"/>
              </w:rPr>
            </w:pPr>
            <w:r>
              <w:rPr>
                <w:rFonts w:ascii="Arial" w:cs="Arial" w:eastAsia="Arial" w:hAnsi="Arial"/>
                <w:sz w:val="11"/>
                <w:szCs w:val="11"/>
                <w:color w:val="0000FF"/>
              </w:rPr>
              <w:t>Management's Discussion and Analysis of Financial Condition and Results of Operations</w:t>
            </w: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0000FF"/>
                <w:w w:val="81"/>
              </w:rPr>
              <w:t>26</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1"/>
                <w:szCs w:val="11"/>
                <w:color w:val="0000FF"/>
                <w:w w:val="77"/>
              </w:rPr>
              <w:t>Item 3.</w:t>
            </w:r>
          </w:p>
        </w:tc>
        <w:tc>
          <w:tcPr>
            <w:tcW w:w="740" w:type="dxa"/>
            <w:vAlign w:val="bottom"/>
            <w:gridSpan w:val="3"/>
          </w:tcPr>
          <w:p>
            <w:pPr>
              <w:spacing w:after="0"/>
              <w:rPr>
                <w:sz w:val="10"/>
                <w:szCs w:val="10"/>
                <w:color w:val="auto"/>
              </w:rPr>
            </w:pPr>
          </w:p>
        </w:tc>
        <w:tc>
          <w:tcPr>
            <w:tcW w:w="2600" w:type="dxa"/>
            <w:vAlign w:val="bottom"/>
            <w:gridSpan w:val="10"/>
          </w:tcPr>
          <w:p>
            <w:pPr>
              <w:spacing w:after="0" w:line="124" w:lineRule="exact"/>
              <w:rPr>
                <w:sz w:val="20"/>
                <w:szCs w:val="20"/>
                <w:color w:val="auto"/>
              </w:rPr>
            </w:pPr>
            <w:r>
              <w:rPr>
                <w:rFonts w:ascii="Arial" w:cs="Arial" w:eastAsia="Arial" w:hAnsi="Arial"/>
                <w:sz w:val="11"/>
                <w:szCs w:val="11"/>
                <w:color w:val="0000FF"/>
                <w:w w:val="88"/>
              </w:rPr>
              <w:t>Quantitative and Qualitative Disclosures About Market Risk</w:t>
            </w:r>
          </w:p>
        </w:tc>
        <w:tc>
          <w:tcPr>
            <w:tcW w:w="126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0000FF"/>
                <w:w w:val="81"/>
              </w:rPr>
              <w:t>43</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1"/>
                <w:szCs w:val="11"/>
                <w:color w:val="0000FF"/>
                <w:w w:val="77"/>
              </w:rPr>
              <w:t>Item 4.</w:t>
            </w:r>
          </w:p>
        </w:tc>
        <w:tc>
          <w:tcPr>
            <w:tcW w:w="740" w:type="dxa"/>
            <w:vAlign w:val="bottom"/>
            <w:gridSpan w:val="3"/>
          </w:tcPr>
          <w:p>
            <w:pPr>
              <w:spacing w:after="0"/>
              <w:rPr>
                <w:sz w:val="10"/>
                <w:szCs w:val="10"/>
                <w:color w:val="auto"/>
              </w:rPr>
            </w:pPr>
          </w:p>
        </w:tc>
        <w:tc>
          <w:tcPr>
            <w:tcW w:w="2600" w:type="dxa"/>
            <w:vAlign w:val="bottom"/>
            <w:gridSpan w:val="10"/>
          </w:tcPr>
          <w:p>
            <w:pPr>
              <w:spacing w:after="0" w:line="124" w:lineRule="exact"/>
              <w:rPr>
                <w:sz w:val="20"/>
                <w:szCs w:val="20"/>
                <w:color w:val="auto"/>
              </w:rPr>
            </w:pPr>
            <w:r>
              <w:rPr>
                <w:rFonts w:ascii="Arial" w:cs="Arial" w:eastAsia="Arial" w:hAnsi="Arial"/>
                <w:sz w:val="11"/>
                <w:szCs w:val="11"/>
                <w:color w:val="0000FF"/>
              </w:rPr>
              <w:t>Controls and Procedures</w:t>
            </w:r>
          </w:p>
        </w:tc>
        <w:tc>
          <w:tcPr>
            <w:tcW w:w="6860" w:type="dxa"/>
            <w:vAlign w:val="bottom"/>
            <w:gridSpan w:val="2"/>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0000FF"/>
                <w:w w:val="81"/>
              </w:rPr>
              <w:t>46</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95"/>
        </w:trPr>
        <w:tc>
          <w:tcPr>
            <w:tcW w:w="1040" w:type="dxa"/>
            <w:vAlign w:val="bottom"/>
            <w:gridSpan w:val="4"/>
          </w:tcPr>
          <w:p>
            <w:pPr>
              <w:spacing w:after="0"/>
              <w:rPr>
                <w:sz w:val="20"/>
                <w:szCs w:val="20"/>
                <w:color w:val="auto"/>
              </w:rPr>
            </w:pPr>
            <w:r>
              <w:rPr>
                <w:rFonts w:ascii="Arial" w:cs="Arial" w:eastAsia="Arial" w:hAnsi="Arial"/>
                <w:sz w:val="11"/>
                <w:szCs w:val="11"/>
                <w:b w:val="1"/>
                <w:bCs w:val="1"/>
                <w:color w:val="0000FF"/>
              </w:rPr>
              <w:t>PART II.</w:t>
            </w:r>
          </w:p>
        </w:tc>
        <w:tc>
          <w:tcPr>
            <w:tcW w:w="9460" w:type="dxa"/>
            <w:vAlign w:val="bottom"/>
            <w:gridSpan w:val="12"/>
          </w:tcPr>
          <w:p>
            <w:pPr>
              <w:spacing w:after="0"/>
              <w:rPr>
                <w:sz w:val="20"/>
                <w:szCs w:val="20"/>
                <w:color w:val="auto"/>
              </w:rPr>
            </w:pPr>
            <w:r>
              <w:rPr>
                <w:rFonts w:ascii="Arial" w:cs="Arial" w:eastAsia="Arial" w:hAnsi="Arial"/>
                <w:sz w:val="11"/>
                <w:szCs w:val="11"/>
                <w:b w:val="1"/>
                <w:bCs w:val="1"/>
                <w:color w:val="0000FF"/>
              </w:rPr>
              <w:t>OTHER INFORMATION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4"/>
        </w:trPr>
        <w:tc>
          <w:tcPr>
            <w:tcW w:w="380" w:type="dxa"/>
            <w:vAlign w:val="bottom"/>
            <w:tcBorders>
              <w:top w:val="single" w:sz="8" w:color="0000FF"/>
              <w:bottom w:val="single" w:sz="8" w:color="0000FF"/>
            </w:tcBorders>
            <w:gridSpan w:val="2"/>
          </w:tcPr>
          <w:p>
            <w:pPr>
              <w:spacing w:after="0" w:line="115" w:lineRule="exact"/>
              <w:rPr>
                <w:sz w:val="20"/>
                <w:szCs w:val="20"/>
                <w:color w:val="auto"/>
              </w:rPr>
            </w:pPr>
            <w:r>
              <w:rPr>
                <w:rFonts w:ascii="Arial" w:cs="Arial" w:eastAsia="Arial" w:hAnsi="Arial"/>
                <w:sz w:val="11"/>
                <w:szCs w:val="11"/>
                <w:color w:val="0000FF"/>
              </w:rPr>
              <w:t>Item 1.</w:t>
            </w:r>
          </w:p>
        </w:tc>
        <w:tc>
          <w:tcPr>
            <w:tcW w:w="8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7"/>
          </w:tcPr>
          <w:p>
            <w:pPr>
              <w:spacing w:after="0" w:line="115" w:lineRule="exact"/>
              <w:rPr>
                <w:sz w:val="20"/>
                <w:szCs w:val="20"/>
                <w:color w:val="auto"/>
              </w:rPr>
            </w:pPr>
            <w:r>
              <w:rPr>
                <w:rFonts w:ascii="Arial" w:cs="Arial" w:eastAsia="Arial" w:hAnsi="Arial"/>
                <w:sz w:val="11"/>
                <w:szCs w:val="11"/>
                <w:color w:val="0000FF"/>
              </w:rPr>
              <w:t>Legal Proceedings</w:t>
            </w:r>
          </w:p>
        </w:tc>
        <w:tc>
          <w:tcPr>
            <w:tcW w:w="140" w:type="dxa"/>
            <w:vAlign w:val="bottom"/>
            <w:tcBorders>
              <w:bottom w:val="single" w:sz="8" w:color="0000FF"/>
            </w:tcBorders>
          </w:tcPr>
          <w:p>
            <w:pPr>
              <w:spacing w:after="0"/>
              <w:rPr>
                <w:sz w:val="10"/>
                <w:szCs w:val="10"/>
                <w:color w:val="auto"/>
              </w:rPr>
            </w:pPr>
          </w:p>
        </w:tc>
        <w:tc>
          <w:tcPr>
            <w:tcW w:w="8100" w:type="dxa"/>
            <w:vAlign w:val="bottom"/>
            <w:gridSpan w:val="4"/>
          </w:tcPr>
          <w:p>
            <w:pPr>
              <w:spacing w:after="0"/>
              <w:rPr>
                <w:sz w:val="10"/>
                <w:szCs w:val="10"/>
                <w:color w:val="auto"/>
              </w:rPr>
            </w:pPr>
          </w:p>
        </w:tc>
        <w:tc>
          <w:tcPr>
            <w:tcW w:w="120" w:type="dxa"/>
            <w:vAlign w:val="bottom"/>
            <w:tcBorders>
              <w:bottom w:val="single" w:sz="8" w:color="0000FF"/>
            </w:tcBorders>
            <w:gridSpan w:val="2"/>
          </w:tcPr>
          <w:p>
            <w:pPr>
              <w:jc w:val="right"/>
              <w:spacing w:after="0" w:line="104" w:lineRule="exact"/>
              <w:rPr>
                <w:sz w:val="20"/>
                <w:szCs w:val="20"/>
                <w:color w:val="auto"/>
              </w:rPr>
            </w:pPr>
            <w:r>
              <w:rPr>
                <w:rFonts w:ascii="Arial" w:cs="Arial" w:eastAsia="Arial" w:hAnsi="Arial"/>
                <w:sz w:val="12"/>
                <w:szCs w:val="12"/>
                <w:color w:val="0000FF"/>
                <w:w w:val="74"/>
              </w:rPr>
              <w:t>47</w:t>
            </w:r>
          </w:p>
        </w:tc>
      </w:tr>
      <w:tr>
        <w:trPr>
          <w:trHeight w:val="133"/>
        </w:trPr>
        <w:tc>
          <w:tcPr>
            <w:tcW w:w="1040" w:type="dxa"/>
            <w:vAlign w:val="bottom"/>
            <w:gridSpan w:val="4"/>
          </w:tcPr>
          <w:p>
            <w:pPr>
              <w:spacing w:after="0"/>
              <w:rPr>
                <w:sz w:val="20"/>
                <w:szCs w:val="20"/>
                <w:color w:val="auto"/>
              </w:rPr>
            </w:pPr>
            <w:r>
              <w:rPr>
                <w:rFonts w:ascii="Arial" w:cs="Arial" w:eastAsia="Arial" w:hAnsi="Arial"/>
                <w:sz w:val="11"/>
                <w:szCs w:val="11"/>
                <w:color w:val="0000FF"/>
              </w:rPr>
              <w:t>Item 1A.</w:t>
            </w:r>
          </w:p>
        </w:tc>
        <w:tc>
          <w:tcPr>
            <w:tcW w:w="9460" w:type="dxa"/>
            <w:vAlign w:val="bottom"/>
            <w:gridSpan w:val="12"/>
          </w:tcPr>
          <w:p>
            <w:pPr>
              <w:spacing w:after="0"/>
              <w:rPr>
                <w:sz w:val="20"/>
                <w:szCs w:val="20"/>
                <w:color w:val="auto"/>
              </w:rPr>
            </w:pPr>
            <w:r>
              <w:rPr>
                <w:rFonts w:ascii="Arial" w:cs="Arial" w:eastAsia="Arial" w:hAnsi="Arial"/>
                <w:sz w:val="11"/>
                <w:szCs w:val="11"/>
                <w:color w:val="0000FF"/>
              </w:rPr>
              <w:t>Risk Factors</w:t>
            </w:r>
          </w:p>
        </w:tc>
        <w:tc>
          <w:tcPr>
            <w:tcW w:w="120" w:type="dxa"/>
            <w:vAlign w:val="bottom"/>
            <w:gridSpan w:val="2"/>
          </w:tcPr>
          <w:p>
            <w:pPr>
              <w:jc w:val="right"/>
              <w:spacing w:after="0"/>
              <w:rPr>
                <w:sz w:val="20"/>
                <w:szCs w:val="20"/>
                <w:color w:val="auto"/>
              </w:rPr>
            </w:pPr>
            <w:r>
              <w:rPr>
                <w:rFonts w:ascii="Arial" w:cs="Arial" w:eastAsia="Arial" w:hAnsi="Arial"/>
                <w:sz w:val="11"/>
                <w:szCs w:val="11"/>
                <w:color w:val="0000FF"/>
                <w:w w:val="81"/>
              </w:rPr>
              <w:t>47</w:t>
            </w: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1"/>
                <w:szCs w:val="11"/>
                <w:color w:val="0000FF"/>
                <w:w w:val="77"/>
              </w:rPr>
              <w:t>Item 2.</w:t>
            </w:r>
          </w:p>
        </w:tc>
        <w:tc>
          <w:tcPr>
            <w:tcW w:w="8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9460" w:type="dxa"/>
            <w:vAlign w:val="bottom"/>
            <w:gridSpan w:val="12"/>
          </w:tcPr>
          <w:p>
            <w:pPr>
              <w:spacing w:after="0" w:line="124" w:lineRule="exact"/>
              <w:rPr>
                <w:sz w:val="20"/>
                <w:szCs w:val="20"/>
                <w:color w:val="auto"/>
              </w:rPr>
            </w:pPr>
            <w:r>
              <w:rPr>
                <w:rFonts w:ascii="Arial" w:cs="Arial" w:eastAsia="Arial" w:hAnsi="Arial"/>
                <w:sz w:val="11"/>
                <w:szCs w:val="11"/>
                <w:color w:val="0000FF"/>
              </w:rPr>
              <w:t>Unregistered Sales of Equity Securities and Use of Proceeds</w:t>
            </w: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0000FF"/>
                <w:w w:val="81"/>
              </w:rPr>
              <w:t>47</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24"/>
        </w:trPr>
        <w:tc>
          <w:tcPr>
            <w:tcW w:w="300" w:type="dxa"/>
            <w:vAlign w:val="bottom"/>
            <w:tcBorders>
              <w:bottom w:val="single" w:sz="8" w:color="0000FF"/>
            </w:tcBorders>
          </w:tcPr>
          <w:p>
            <w:pPr>
              <w:spacing w:after="0" w:line="115" w:lineRule="exact"/>
              <w:rPr>
                <w:sz w:val="20"/>
                <w:szCs w:val="20"/>
                <w:color w:val="auto"/>
              </w:rPr>
            </w:pPr>
            <w:r>
              <w:rPr>
                <w:rFonts w:ascii="Arial" w:cs="Arial" w:eastAsia="Arial" w:hAnsi="Arial"/>
                <w:sz w:val="11"/>
                <w:szCs w:val="11"/>
                <w:color w:val="0000FF"/>
                <w:w w:val="77"/>
              </w:rPr>
              <w:t>Item 3.</w:t>
            </w:r>
          </w:p>
        </w:tc>
        <w:tc>
          <w:tcPr>
            <w:tcW w:w="160" w:type="dxa"/>
            <w:vAlign w:val="bottom"/>
            <w:tcBorders>
              <w:bottom w:val="single" w:sz="8" w:color="0000FF"/>
            </w:tcBorders>
            <w:gridSpan w:val="2"/>
          </w:tcPr>
          <w:p>
            <w:pPr>
              <w:spacing w:after="0"/>
              <w:rPr>
                <w:sz w:val="10"/>
                <w:szCs w:val="10"/>
                <w:color w:val="auto"/>
              </w:rPr>
            </w:pPr>
          </w:p>
        </w:tc>
        <w:tc>
          <w:tcPr>
            <w:tcW w:w="580" w:type="dxa"/>
            <w:vAlign w:val="bottom"/>
          </w:tcPr>
          <w:p>
            <w:pPr>
              <w:spacing w:after="0"/>
              <w:rPr>
                <w:sz w:val="10"/>
                <w:szCs w:val="10"/>
                <w:color w:val="auto"/>
              </w:rPr>
            </w:pPr>
          </w:p>
        </w:tc>
        <w:tc>
          <w:tcPr>
            <w:tcW w:w="2600" w:type="dxa"/>
            <w:vAlign w:val="bottom"/>
            <w:tcBorders>
              <w:bottom w:val="single" w:sz="8" w:color="0000FF"/>
            </w:tcBorders>
            <w:gridSpan w:val="10"/>
          </w:tcPr>
          <w:p>
            <w:pPr>
              <w:spacing w:after="0" w:line="115" w:lineRule="exact"/>
              <w:rPr>
                <w:sz w:val="20"/>
                <w:szCs w:val="20"/>
                <w:color w:val="auto"/>
              </w:rPr>
            </w:pPr>
            <w:r>
              <w:rPr>
                <w:rFonts w:ascii="Arial" w:cs="Arial" w:eastAsia="Arial" w:hAnsi="Arial"/>
                <w:sz w:val="11"/>
                <w:szCs w:val="11"/>
                <w:color w:val="0000FF"/>
              </w:rPr>
              <w:t>Defaults upon Senior Securities</w:t>
            </w:r>
          </w:p>
        </w:tc>
        <w:tc>
          <w:tcPr>
            <w:tcW w:w="6860" w:type="dxa"/>
            <w:vAlign w:val="bottom"/>
            <w:tcBorders>
              <w:bottom w:val="single" w:sz="8" w:color="0000FF"/>
            </w:tcBorders>
            <w:gridSpan w:val="2"/>
          </w:tcPr>
          <w:p>
            <w:pPr>
              <w:spacing w:after="0"/>
              <w:rPr>
                <w:sz w:val="10"/>
                <w:szCs w:val="10"/>
                <w:color w:val="auto"/>
              </w:rPr>
            </w:pPr>
          </w:p>
        </w:tc>
        <w:tc>
          <w:tcPr>
            <w:tcW w:w="120" w:type="dxa"/>
            <w:vAlign w:val="bottom"/>
            <w:tcBorders>
              <w:bottom w:val="single" w:sz="8" w:color="0000FF"/>
            </w:tcBorders>
            <w:gridSpan w:val="2"/>
          </w:tcPr>
          <w:p>
            <w:pPr>
              <w:jc w:val="right"/>
              <w:spacing w:after="0" w:line="115" w:lineRule="exact"/>
              <w:rPr>
                <w:sz w:val="20"/>
                <w:szCs w:val="20"/>
                <w:color w:val="auto"/>
              </w:rPr>
            </w:pPr>
            <w:r>
              <w:rPr>
                <w:rFonts w:ascii="Arial" w:cs="Arial" w:eastAsia="Arial" w:hAnsi="Arial"/>
                <w:sz w:val="12"/>
                <w:szCs w:val="12"/>
                <w:color w:val="0000FF"/>
                <w:w w:val="74"/>
              </w:rPr>
              <w:t>47</w:t>
            </w:r>
          </w:p>
        </w:tc>
      </w:tr>
      <w:tr>
        <w:trPr>
          <w:trHeight w:val="133"/>
        </w:trPr>
        <w:tc>
          <w:tcPr>
            <w:tcW w:w="300" w:type="dxa"/>
            <w:vAlign w:val="bottom"/>
          </w:tcPr>
          <w:p>
            <w:pPr>
              <w:spacing w:after="0"/>
              <w:rPr>
                <w:sz w:val="20"/>
                <w:szCs w:val="20"/>
                <w:color w:val="auto"/>
              </w:rPr>
            </w:pPr>
            <w:r>
              <w:rPr>
                <w:rFonts w:ascii="Arial" w:cs="Arial" w:eastAsia="Arial" w:hAnsi="Arial"/>
                <w:sz w:val="11"/>
                <w:szCs w:val="11"/>
                <w:color w:val="0000FF"/>
                <w:w w:val="77"/>
              </w:rPr>
              <w:t>Item 4.</w:t>
            </w:r>
          </w:p>
        </w:tc>
        <w:tc>
          <w:tcPr>
            <w:tcW w:w="740" w:type="dxa"/>
            <w:vAlign w:val="bottom"/>
            <w:gridSpan w:val="3"/>
          </w:tcPr>
          <w:p>
            <w:pPr>
              <w:spacing w:after="0"/>
              <w:rPr>
                <w:sz w:val="11"/>
                <w:szCs w:val="11"/>
                <w:color w:val="auto"/>
              </w:rPr>
            </w:pPr>
          </w:p>
        </w:tc>
        <w:tc>
          <w:tcPr>
            <w:tcW w:w="9460" w:type="dxa"/>
            <w:vAlign w:val="bottom"/>
            <w:gridSpan w:val="12"/>
          </w:tcPr>
          <w:p>
            <w:pPr>
              <w:spacing w:after="0"/>
              <w:rPr>
                <w:sz w:val="20"/>
                <w:szCs w:val="20"/>
                <w:color w:val="auto"/>
              </w:rPr>
            </w:pPr>
            <w:r>
              <w:rPr>
                <w:rFonts w:ascii="Arial" w:cs="Arial" w:eastAsia="Arial" w:hAnsi="Arial"/>
                <w:sz w:val="11"/>
                <w:szCs w:val="11"/>
                <w:color w:val="0000FF"/>
              </w:rPr>
              <w:t>Mine Safety Disclosures</w:t>
            </w:r>
          </w:p>
        </w:tc>
        <w:tc>
          <w:tcPr>
            <w:tcW w:w="120" w:type="dxa"/>
            <w:vAlign w:val="bottom"/>
            <w:gridSpan w:val="2"/>
          </w:tcPr>
          <w:p>
            <w:pPr>
              <w:jc w:val="right"/>
              <w:spacing w:after="0"/>
              <w:rPr>
                <w:sz w:val="20"/>
                <w:szCs w:val="20"/>
                <w:color w:val="auto"/>
              </w:rPr>
            </w:pPr>
            <w:r>
              <w:rPr>
                <w:rFonts w:ascii="Arial" w:cs="Arial" w:eastAsia="Arial" w:hAnsi="Arial"/>
                <w:sz w:val="11"/>
                <w:szCs w:val="11"/>
                <w:color w:val="0000FF"/>
                <w:w w:val="81"/>
              </w:rPr>
              <w:t>47</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1"/>
                <w:szCs w:val="11"/>
                <w:color w:val="0000FF"/>
                <w:w w:val="77"/>
              </w:rPr>
              <w:t>Item 5.</w:t>
            </w:r>
          </w:p>
        </w:tc>
        <w:tc>
          <w:tcPr>
            <w:tcW w:w="740" w:type="dxa"/>
            <w:vAlign w:val="bottom"/>
            <w:gridSpan w:val="3"/>
          </w:tcPr>
          <w:p>
            <w:pPr>
              <w:spacing w:after="0"/>
              <w:rPr>
                <w:sz w:val="10"/>
                <w:szCs w:val="10"/>
                <w:color w:val="auto"/>
              </w:rPr>
            </w:pPr>
          </w:p>
        </w:tc>
        <w:tc>
          <w:tcPr>
            <w:tcW w:w="1060" w:type="dxa"/>
            <w:vAlign w:val="bottom"/>
            <w:gridSpan w:val="6"/>
          </w:tcPr>
          <w:p>
            <w:pPr>
              <w:spacing w:after="0" w:line="124" w:lineRule="exact"/>
              <w:rPr>
                <w:sz w:val="20"/>
                <w:szCs w:val="20"/>
                <w:color w:val="auto"/>
              </w:rPr>
            </w:pPr>
            <w:r>
              <w:rPr>
                <w:rFonts w:ascii="Arial" w:cs="Arial" w:eastAsia="Arial" w:hAnsi="Arial"/>
                <w:sz w:val="11"/>
                <w:szCs w:val="11"/>
                <w:color w:val="0000FF"/>
              </w:rPr>
              <w:t>Other Information</w:t>
            </w:r>
          </w:p>
        </w:tc>
        <w:tc>
          <w:tcPr>
            <w:tcW w:w="8400" w:type="dxa"/>
            <w:vAlign w:val="bottom"/>
            <w:gridSpan w:val="6"/>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0000FF"/>
                <w:w w:val="81"/>
              </w:rPr>
              <w:t>47</w:t>
            </w:r>
          </w:p>
        </w:tc>
      </w:tr>
      <w:tr>
        <w:trPr>
          <w:trHeight w:val="20"/>
        </w:trPr>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1"/>
                <w:szCs w:val="11"/>
                <w:color w:val="0000FF"/>
                <w:w w:val="77"/>
              </w:rPr>
              <w:t>Item 6.</w:t>
            </w:r>
          </w:p>
        </w:tc>
        <w:tc>
          <w:tcPr>
            <w:tcW w:w="740" w:type="dxa"/>
            <w:vAlign w:val="bottom"/>
            <w:gridSpan w:val="3"/>
          </w:tcPr>
          <w:p>
            <w:pPr>
              <w:spacing w:after="0"/>
              <w:rPr>
                <w:sz w:val="10"/>
                <w:szCs w:val="10"/>
                <w:color w:val="auto"/>
              </w:rPr>
            </w:pPr>
          </w:p>
        </w:tc>
        <w:tc>
          <w:tcPr>
            <w:tcW w:w="360" w:type="dxa"/>
            <w:vAlign w:val="bottom"/>
          </w:tcPr>
          <w:p>
            <w:pPr>
              <w:spacing w:after="0" w:line="124" w:lineRule="exact"/>
              <w:rPr>
                <w:sz w:val="20"/>
                <w:szCs w:val="20"/>
                <w:color w:val="auto"/>
              </w:rPr>
            </w:pPr>
            <w:r>
              <w:rPr>
                <w:rFonts w:ascii="Arial" w:cs="Arial" w:eastAsia="Arial" w:hAnsi="Arial"/>
                <w:sz w:val="11"/>
                <w:szCs w:val="11"/>
                <w:color w:val="0000FF"/>
                <w:w w:val="88"/>
              </w:rPr>
              <w:t>Exhibits</w:t>
            </w:r>
          </w:p>
        </w:tc>
        <w:tc>
          <w:tcPr>
            <w:tcW w:w="420" w:type="dxa"/>
            <w:vAlign w:val="bottom"/>
            <w:gridSpan w:val="2"/>
          </w:tcPr>
          <w:p>
            <w:pPr>
              <w:spacing w:after="0"/>
              <w:rPr>
                <w:sz w:val="10"/>
                <w:szCs w:val="10"/>
                <w:color w:val="auto"/>
              </w:rPr>
            </w:pPr>
          </w:p>
        </w:tc>
        <w:tc>
          <w:tcPr>
            <w:tcW w:w="8680" w:type="dxa"/>
            <w:vAlign w:val="bottom"/>
            <w:gridSpan w:val="9"/>
          </w:tcPr>
          <w:p>
            <w:pPr>
              <w:spacing w:after="0"/>
              <w:rPr>
                <w:sz w:val="10"/>
                <w:szCs w:val="10"/>
                <w:color w:val="auto"/>
              </w:rPr>
            </w:pP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0000FF"/>
                <w:w w:val="81"/>
              </w:rPr>
              <w:t>47</w:t>
            </w:r>
          </w:p>
        </w:tc>
      </w:tr>
      <w:tr>
        <w:trPr>
          <w:trHeight w:val="20"/>
        </w:trPr>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95"/>
        </w:trPr>
        <w:tc>
          <w:tcPr>
            <w:tcW w:w="460" w:type="dxa"/>
            <w:vAlign w:val="bottom"/>
            <w:gridSpan w:val="3"/>
          </w:tcPr>
          <w:p>
            <w:pPr>
              <w:spacing w:after="0"/>
              <w:rPr>
                <w:sz w:val="20"/>
                <w:szCs w:val="20"/>
                <w:color w:val="auto"/>
              </w:rPr>
            </w:pPr>
            <w:r>
              <w:rPr>
                <w:rFonts w:ascii="Arial" w:cs="Arial" w:eastAsia="Arial" w:hAnsi="Arial"/>
                <w:sz w:val="11"/>
                <w:szCs w:val="11"/>
                <w:color w:val="0000FF"/>
                <w:w w:val="79"/>
              </w:rPr>
              <w:t>Signatures</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0000FF"/>
                <w:w w:val="81"/>
              </w:rPr>
              <w:t>50</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20"/>
          </w:cols>
          <w:pgMar w:left="300" w:top="640" w:right="9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980" w:type="dxa"/>
            <w:vAlign w:val="bottom"/>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2022</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December 31, 2021</w:t>
            </w:r>
          </w:p>
        </w:tc>
      </w:tr>
      <w:tr>
        <w:trPr>
          <w:trHeight w:val="127"/>
        </w:trPr>
        <w:tc>
          <w:tcPr>
            <w:tcW w:w="7980" w:type="dxa"/>
            <w:vAlign w:val="bottom"/>
          </w:tcPr>
          <w:p>
            <w:pPr>
              <w:spacing w:after="0"/>
              <w:rPr>
                <w:sz w:val="11"/>
                <w:szCs w:val="11"/>
                <w:color w:val="auto"/>
              </w:rPr>
            </w:pPr>
          </w:p>
        </w:tc>
        <w:tc>
          <w:tcPr>
            <w:tcW w:w="1240" w:type="dxa"/>
            <w:vAlign w:val="bottom"/>
          </w:tcPr>
          <w:p>
            <w:pPr>
              <w:jc w:val="right"/>
              <w:ind w:right="128"/>
              <w:spacing w:after="0"/>
              <w:rPr>
                <w:sz w:val="20"/>
                <w:szCs w:val="20"/>
                <w:color w:val="auto"/>
              </w:rPr>
            </w:pPr>
            <w:r>
              <w:rPr>
                <w:rFonts w:ascii="Arial" w:cs="Arial" w:eastAsia="Arial" w:hAnsi="Arial"/>
                <w:sz w:val="10"/>
                <w:szCs w:val="10"/>
                <w:b w:val="1"/>
                <w:bCs w:val="1"/>
                <w:color w:val="auto"/>
              </w:rPr>
              <w:t>(Unaudited)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50"/>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Agency securities, at fair value (including pledged securities of $37,886 and $47,601, respectively)</w:t>
            </w:r>
          </w:p>
        </w:tc>
        <w:tc>
          <w:tcPr>
            <w:tcW w:w="1240" w:type="dxa"/>
            <w:vAlign w:val="bottom"/>
          </w:tcPr>
          <w:p>
            <w:pPr>
              <w:jc w:val="right"/>
              <w:ind w:right="1108"/>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w w:val="89"/>
              </w:rPr>
              <w:t>41,740</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52,396</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Agency securities transferred to consolidated variable interest entities, at fair value (pledged securities)</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Credit risk transfer securities, at fair value (including pledged securities of $815 and $510, respectively)</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974</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Non-Agency securities, at fair value (including pledged securities of $775 and $571, respectively)</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U.S. Treasury securities, at fair value (including pledged securities of $1,213 and $471, respectively)</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471</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Cash and cash equivalents</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Restricted cash</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2,186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527</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Derivative assets, at fair value</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Receivable for investment securities sold (including pledged securities of $1,163 and $0, respectively)</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1,169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Receivable under reverse repurchase agreements</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10,475</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Goodwill</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526</w:t>
            </w:r>
          </w:p>
        </w:tc>
      </w:tr>
      <w:tr>
        <w:trPr>
          <w:trHeight w:val="144"/>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Other assets</w:t>
            </w:r>
          </w:p>
        </w:tc>
        <w:tc>
          <w:tcPr>
            <w:tcW w:w="12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w:t>
            </w:r>
          </w:p>
        </w:tc>
      </w:tr>
      <w:tr>
        <w:trPr>
          <w:trHeight w:val="151"/>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Total assets</w:t>
            </w:r>
          </w:p>
        </w:tc>
        <w:tc>
          <w:tcPr>
            <w:tcW w:w="1240" w:type="dxa"/>
            <w:vAlign w:val="bottom"/>
            <w:tcBorders>
              <w:bottom w:val="single" w:sz="8" w:color="auto"/>
            </w:tcBorders>
          </w:tcPr>
          <w:p>
            <w:pPr>
              <w:jc w:val="right"/>
              <w:ind w:right="1108"/>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9"/>
              </w:rPr>
              <w:t>58,524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68,149</w:t>
            </w:r>
          </w:p>
        </w:tc>
      </w:tr>
      <w:tr>
        <w:trPr>
          <w:trHeight w:val="126"/>
        </w:trPr>
        <w:tc>
          <w:tcPr>
            <w:tcW w:w="79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Liabilities:</w:t>
            </w:r>
          </w:p>
        </w:tc>
        <w:tc>
          <w:tcPr>
            <w:tcW w:w="1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Repurchase agreements</w:t>
            </w:r>
          </w:p>
        </w:tc>
        <w:tc>
          <w:tcPr>
            <w:tcW w:w="1240" w:type="dxa"/>
            <w:vAlign w:val="bottom"/>
          </w:tcPr>
          <w:p>
            <w:pPr>
              <w:jc w:val="right"/>
              <w:ind w:right="1108"/>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w w:val="89"/>
              </w:rPr>
              <w:t>40,306</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47,381</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Debt of consolidated variable interest entities, at fair value</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Payable for investment securities purchased</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1,279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80</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Derivative liabilities, at fair value</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Dividends payable</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88</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Obligation to return securities borrowed under reverse repurchase agreements, at fair value</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9,697</w:t>
            </w:r>
          </w:p>
        </w:tc>
      </w:tr>
      <w:tr>
        <w:trPr>
          <w:trHeight w:val="142"/>
        </w:trPr>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Other liabilities</w:t>
            </w:r>
          </w:p>
        </w:tc>
        <w:tc>
          <w:tcPr>
            <w:tcW w:w="1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w:t>
            </w:r>
          </w:p>
        </w:tc>
      </w:tr>
      <w:tr>
        <w:trPr>
          <w:trHeight w:val="135"/>
        </w:trPr>
        <w:tc>
          <w:tcPr>
            <w:tcW w:w="7980" w:type="dxa"/>
            <w:vAlign w:val="bottom"/>
            <w:shd w:val="clear" w:color="auto" w:fill="CCEEFF"/>
          </w:tcPr>
          <w:p>
            <w:pPr>
              <w:ind w:left="380"/>
              <w:spacing w:after="0"/>
              <w:rPr>
                <w:sz w:val="20"/>
                <w:szCs w:val="20"/>
                <w:color w:val="auto"/>
              </w:rPr>
            </w:pPr>
            <w:r>
              <w:rPr>
                <w:rFonts w:ascii="Arial" w:cs="Arial" w:eastAsia="Arial" w:hAnsi="Arial"/>
                <w:sz w:val="11"/>
                <w:szCs w:val="11"/>
                <w:color w:val="auto"/>
              </w:rPr>
              <w:t>Total liabilities</w:t>
            </w:r>
          </w:p>
        </w:tc>
        <w:tc>
          <w:tcPr>
            <w:tcW w:w="12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51,302</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57,858</w:t>
            </w:r>
          </w:p>
        </w:tc>
      </w:tr>
      <w:tr>
        <w:trPr>
          <w:trHeight w:val="122"/>
        </w:trPr>
        <w:tc>
          <w:tcPr>
            <w:tcW w:w="7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Stockholders' equity:</w:t>
            </w: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Preferred Stock - aggregate liquidation preference of $1,688 and $1,538</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1,489</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Common stock - $0.01 par value; 1,500 shares authorized; 551.3 and 522.2 shares issued and outstanding, respectively</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Additional paid-in capital</w:t>
            </w:r>
          </w:p>
        </w:tc>
        <w:tc>
          <w:tcPr>
            <w:tcW w:w="1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13,999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13,710</w:t>
            </w:r>
          </w:p>
        </w:tc>
      </w:tr>
      <w:tr>
        <w:trPr>
          <w:trHeight w:val="142"/>
        </w:trPr>
        <w:tc>
          <w:tcPr>
            <w:tcW w:w="7980" w:type="dxa"/>
            <w:vAlign w:val="bottom"/>
          </w:tcPr>
          <w:p>
            <w:pPr>
              <w:ind w:left="160"/>
              <w:spacing w:after="0"/>
              <w:rPr>
                <w:sz w:val="20"/>
                <w:szCs w:val="20"/>
                <w:color w:val="auto"/>
              </w:rPr>
            </w:pPr>
            <w:r>
              <w:rPr>
                <w:rFonts w:ascii="Arial" w:cs="Arial" w:eastAsia="Arial" w:hAnsi="Arial"/>
                <w:sz w:val="11"/>
                <w:szCs w:val="11"/>
                <w:color w:val="auto"/>
              </w:rPr>
              <w:t>Retained deficit</w:t>
            </w:r>
          </w:p>
        </w:tc>
        <w:tc>
          <w:tcPr>
            <w:tcW w:w="1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w w:val="91"/>
              </w:rPr>
              <w:t>(7,610)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(5,214)</w:t>
            </w:r>
          </w:p>
        </w:tc>
      </w:tr>
      <w:tr>
        <w:trPr>
          <w:trHeight w:val="146"/>
        </w:trPr>
        <w:tc>
          <w:tcPr>
            <w:tcW w:w="79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Accumulated other comprehensive income</w:t>
            </w:r>
          </w:p>
        </w:tc>
        <w:tc>
          <w:tcPr>
            <w:tcW w:w="12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w:t>
            </w:r>
          </w:p>
        </w:tc>
      </w:tr>
      <w:tr>
        <w:trPr>
          <w:trHeight w:val="131"/>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Total stockholders' equity</w:t>
            </w:r>
          </w:p>
        </w:tc>
        <w:tc>
          <w:tcPr>
            <w:tcW w:w="1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7,222</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10,291</w:t>
            </w:r>
          </w:p>
        </w:tc>
      </w:tr>
      <w:tr>
        <w:trPr>
          <w:trHeight w:val="151"/>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Total liabilities and stockholders' equity</w:t>
            </w:r>
          </w:p>
        </w:tc>
        <w:tc>
          <w:tcPr>
            <w:tcW w:w="124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58,524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68,149</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w w:val="97"/>
              </w:rPr>
              <w:t>Three Months Ended September 30,</w:t>
            </w:r>
          </w:p>
        </w:tc>
        <w:tc>
          <w:tcPr>
            <w:tcW w:w="120" w:type="dxa"/>
            <w:vAlign w:val="bottom"/>
          </w:tcPr>
          <w:p>
            <w:pPr>
              <w:spacing w:after="0"/>
              <w:rPr>
                <w:sz w:val="12"/>
                <w:szCs w:val="12"/>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w w:val="89"/>
              </w:rPr>
              <w:t>Nine Months Ended September 30,</w:t>
            </w:r>
          </w:p>
        </w:tc>
      </w:tr>
      <w:tr>
        <w:trPr>
          <w:trHeight w:val="133"/>
        </w:trPr>
        <w:tc>
          <w:tcPr>
            <w:tcW w:w="74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2021</w:t>
            </w:r>
          </w:p>
        </w:tc>
      </w:tr>
      <w:tr>
        <w:trPr>
          <w:trHeight w:val="135"/>
        </w:trPr>
        <w:tc>
          <w:tcPr>
            <w:tcW w:w="74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Interest income:</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7420" w:type="dxa"/>
            <w:vAlign w:val="bottom"/>
          </w:tcPr>
          <w:p>
            <w:pPr>
              <w:ind w:left="220"/>
              <w:spacing w:after="0"/>
              <w:rPr>
                <w:sz w:val="20"/>
                <w:szCs w:val="20"/>
                <w:color w:val="auto"/>
              </w:rPr>
            </w:pPr>
            <w:r>
              <w:rPr>
                <w:rFonts w:ascii="Arial" w:cs="Arial" w:eastAsia="Arial" w:hAnsi="Arial"/>
                <w:sz w:val="12"/>
                <w:szCs w:val="12"/>
                <w:color w:val="auto"/>
              </w:rPr>
              <w:t>Interest income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373</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293</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1,243</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1,099</w:t>
            </w:r>
          </w:p>
        </w:tc>
      </w:tr>
      <w:tr>
        <w:trPr>
          <w:trHeight w:val="153"/>
        </w:trPr>
        <w:tc>
          <w:tcPr>
            <w:tcW w:w="7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Interest expense</w:t>
            </w: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42"/>
        </w:trPr>
        <w:tc>
          <w:tcPr>
            <w:tcW w:w="74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interest income</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1,039</w:t>
            </w:r>
          </w:p>
        </w:tc>
      </w:tr>
      <w:tr>
        <w:trPr>
          <w:trHeight w:val="133"/>
        </w:trPr>
        <w:tc>
          <w:tcPr>
            <w:tcW w:w="74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Other gain (loss), net:</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7420" w:type="dxa"/>
            <w:vAlign w:val="bottom"/>
          </w:tcPr>
          <w:p>
            <w:pPr>
              <w:ind w:left="220"/>
              <w:spacing w:after="0"/>
              <w:rPr>
                <w:sz w:val="20"/>
                <w:szCs w:val="20"/>
                <w:color w:val="auto"/>
              </w:rPr>
            </w:pPr>
            <w:r>
              <w:rPr>
                <w:rFonts w:ascii="Arial" w:cs="Arial" w:eastAsia="Arial" w:hAnsi="Arial"/>
                <w:sz w:val="12"/>
                <w:szCs w:val="12"/>
                <w:color w:val="auto"/>
              </w:rPr>
              <w:t>Gain (loss) on sale of investment securities, net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(560)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(1,848)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7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Unrealized loss on investment securities measured at fair value through net income, net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w:t>
            </w:r>
          </w:p>
        </w:tc>
      </w:tr>
      <w:tr>
        <w:trPr>
          <w:trHeight w:val="153"/>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Gain on derivative instruments and other securities, net</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1,474</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w:t>
            </w:r>
          </w:p>
        </w:tc>
      </w:tr>
      <w:tr>
        <w:trPr>
          <w:trHeight w:val="142"/>
        </w:trPr>
        <w:tc>
          <w:tcPr>
            <w:tcW w:w="7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other loss, net:</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w:t>
            </w:r>
          </w:p>
        </w:tc>
      </w:tr>
      <w:tr>
        <w:trPr>
          <w:trHeight w:val="133"/>
        </w:trPr>
        <w:tc>
          <w:tcPr>
            <w:tcW w:w="7420" w:type="dxa"/>
            <w:vAlign w:val="bottom"/>
          </w:tcPr>
          <w:p>
            <w:pPr>
              <w:spacing w:after="0" w:line="133" w:lineRule="exact"/>
              <w:rPr>
                <w:sz w:val="20"/>
                <w:szCs w:val="20"/>
                <w:color w:val="auto"/>
              </w:rPr>
            </w:pPr>
            <w:r>
              <w:rPr>
                <w:rFonts w:ascii="Arial" w:cs="Arial" w:eastAsia="Arial" w:hAnsi="Arial"/>
                <w:sz w:val="12"/>
                <w:szCs w:val="12"/>
                <w:b w:val="1"/>
                <w:bCs w:val="1"/>
                <w:color w:val="auto"/>
              </w:rPr>
              <w:t>Expenses:</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3"/>
        </w:trPr>
        <w:tc>
          <w:tcPr>
            <w:tcW w:w="7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Compensation and benefits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operating expense</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r>
      <w:tr>
        <w:trPr>
          <w:trHeight w:val="142"/>
        </w:trPr>
        <w:tc>
          <w:tcPr>
            <w:tcW w:w="7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operating expense</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w:t>
            </w:r>
          </w:p>
        </w:tc>
      </w:tr>
      <w:tr>
        <w:trPr>
          <w:trHeight w:val="142"/>
        </w:trPr>
        <w:tc>
          <w:tcPr>
            <w:tcW w:w="7420" w:type="dxa"/>
            <w:vAlign w:val="bottom"/>
          </w:tcPr>
          <w:p>
            <w:pPr>
              <w:spacing w:after="0"/>
              <w:rPr>
                <w:sz w:val="20"/>
                <w:szCs w:val="20"/>
                <w:color w:val="auto"/>
              </w:rPr>
            </w:pPr>
            <w:r>
              <w:rPr>
                <w:rFonts w:ascii="Arial" w:cs="Arial" w:eastAsia="Arial" w:hAnsi="Arial"/>
                <w:sz w:val="12"/>
                <w:szCs w:val="12"/>
                <w:b w:val="1"/>
                <w:bCs w:val="1"/>
                <w:color w:val="auto"/>
              </w:rPr>
              <w:t>Net income (loss)</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(1,751)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776</w:t>
            </w:r>
          </w:p>
        </w:tc>
      </w:tr>
      <w:tr>
        <w:trPr>
          <w:trHeight w:val="153"/>
        </w:trPr>
        <w:tc>
          <w:tcPr>
            <w:tcW w:w="7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Dividends on preferred stock</w:t>
            </w: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r>
      <w:tr>
        <w:trPr>
          <w:trHeight w:val="158"/>
        </w:trPr>
        <w:tc>
          <w:tcPr>
            <w:tcW w:w="74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income (loss) available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(692)</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w:t>
            </w:r>
          </w:p>
        </w:tc>
      </w:tr>
      <w:tr>
        <w:trPr>
          <w:trHeight w:val="162"/>
        </w:trPr>
        <w:tc>
          <w:tcPr>
            <w:tcW w:w="7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3"/>
        </w:trPr>
        <w:tc>
          <w:tcPr>
            <w:tcW w:w="7420" w:type="dxa"/>
            <w:vAlign w:val="bottom"/>
          </w:tcPr>
          <w:p>
            <w:pPr>
              <w:spacing w:after="0"/>
              <w:rPr>
                <w:sz w:val="20"/>
                <w:szCs w:val="20"/>
                <w:color w:val="auto"/>
              </w:rPr>
            </w:pPr>
            <w:r>
              <w:rPr>
                <w:rFonts w:ascii="Arial" w:cs="Arial" w:eastAsia="Arial" w:hAnsi="Arial"/>
                <w:sz w:val="12"/>
                <w:szCs w:val="12"/>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(666)</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212</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(1,751)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776</w:t>
            </w:r>
          </w:p>
        </w:tc>
      </w:tr>
      <w:tr>
        <w:trPr>
          <w:trHeight w:val="153"/>
        </w:trPr>
        <w:tc>
          <w:tcPr>
            <w:tcW w:w="7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Unrealized gain (loss) on investment securities measured at fair value through other comprehensive income (loss), net</w:t>
            </w: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(1,108)</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w:t>
            </w:r>
          </w:p>
        </w:tc>
      </w:tr>
      <w:tr>
        <w:trPr>
          <w:trHeight w:val="142"/>
        </w:trPr>
        <w:tc>
          <w:tcPr>
            <w:tcW w:w="7420" w:type="dxa"/>
            <w:vAlign w:val="bottom"/>
          </w:tcPr>
          <w:p>
            <w:pPr>
              <w:spacing w:after="0"/>
              <w:rPr>
                <w:sz w:val="20"/>
                <w:szCs w:val="20"/>
                <w:color w:val="auto"/>
              </w:rPr>
            </w:pPr>
            <w:r>
              <w:rPr>
                <w:rFonts w:ascii="Arial" w:cs="Arial" w:eastAsia="Arial" w:hAnsi="Arial"/>
                <w:sz w:val="12"/>
                <w:szCs w:val="12"/>
                <w:b w:val="1"/>
                <w:bCs w:val="1"/>
                <w:color w:val="auto"/>
              </w:rPr>
              <w:t>Comprehensive income (loss)</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(1,038)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(2,859)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468</w:t>
            </w:r>
          </w:p>
        </w:tc>
      </w:tr>
      <w:tr>
        <w:trPr>
          <w:trHeight w:val="153"/>
        </w:trPr>
        <w:tc>
          <w:tcPr>
            <w:tcW w:w="7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Dividends on preferred stock</w:t>
            </w: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r>
      <w:tr>
        <w:trPr>
          <w:trHeight w:val="15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Comprehensive income (loss) available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(1,064)</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393</w:t>
            </w:r>
          </w:p>
        </w:tc>
      </w:tr>
      <w:tr>
        <w:trPr>
          <w:trHeight w:val="162"/>
        </w:trPr>
        <w:tc>
          <w:tcPr>
            <w:tcW w:w="7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9"/>
        </w:trPr>
        <w:tc>
          <w:tcPr>
            <w:tcW w:w="74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Weighted average number of common shares outstanding - basic</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528.7</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529.0</w:t>
            </w:r>
          </w:p>
        </w:tc>
      </w:tr>
      <w:tr>
        <w:trPr>
          <w:trHeight w:val="1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528.7</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528.6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530.8</w:t>
            </w:r>
          </w:p>
        </w:tc>
      </w:tr>
      <w:tr>
        <w:trPr>
          <w:trHeight w:val="169"/>
        </w:trPr>
        <w:tc>
          <w:tcPr>
            <w:tcW w:w="74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income (loss) per common share - 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0.36</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r>
      <w:tr>
        <w:trPr>
          <w:trHeight w:val="1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 (loss)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w:t>
            </w:r>
          </w:p>
        </w:tc>
      </w:tr>
      <w:tr>
        <w:trPr>
          <w:trHeight w:val="153"/>
        </w:trPr>
        <w:tc>
          <w:tcPr>
            <w:tcW w:w="7420" w:type="dxa"/>
            <w:vAlign w:val="bottom"/>
          </w:tcPr>
          <w:p>
            <w:pPr>
              <w:spacing w:after="0"/>
              <w:rPr>
                <w:sz w:val="20"/>
                <w:szCs w:val="20"/>
                <w:color w:val="auto"/>
              </w:rPr>
            </w:pPr>
            <w:r>
              <w:rPr>
                <w:rFonts w:ascii="Arial" w:cs="Arial" w:eastAsia="Arial" w:hAnsi="Arial"/>
                <w:sz w:val="12"/>
                <w:szCs w:val="12"/>
                <w:b w:val="1"/>
                <w:bCs w:val="1"/>
                <w:color w:val="auto"/>
              </w:rPr>
              <w:t>Dividends declared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0.36</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0.36</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w:t>
            </w: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3"/>
            <w:vMerge w:val="restart"/>
          </w:tcPr>
          <w:p>
            <w:pPr>
              <w:jc w:val="right"/>
              <w:ind w:right="372"/>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10"/>
                <w:szCs w:val="10"/>
                <w:b w:val="1"/>
                <w:bCs w:val="1"/>
                <w:color w:val="auto"/>
                <w:w w:val="89"/>
              </w:rPr>
              <w:t>Additional</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tcPr>
          <w:p>
            <w:pPr>
              <w:jc w:val="center"/>
              <w:ind w:right="280"/>
              <w:spacing w:after="0" w:line="96" w:lineRule="exact"/>
              <w:rPr>
                <w:sz w:val="20"/>
                <w:szCs w:val="20"/>
                <w:color w:val="auto"/>
              </w:rPr>
            </w:pPr>
            <w:r>
              <w:rPr>
                <w:rFonts w:ascii="Arial" w:cs="Arial" w:eastAsia="Arial" w:hAnsi="Arial"/>
                <w:sz w:val="10"/>
                <w:szCs w:val="10"/>
                <w:b w:val="1"/>
                <w:bCs w:val="1"/>
                <w:color w:val="auto"/>
                <w:w w:val="89"/>
              </w:rPr>
              <w:t>Other</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Borders>
              <w:bottom w:val="single" w:sz="8" w:color="auto"/>
            </w:tcBorders>
            <w:gridSpan w:val="3"/>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rPr>
              <w:t>Paid-in</w:t>
            </w:r>
          </w:p>
        </w:tc>
        <w:tc>
          <w:tcPr>
            <w:tcW w:w="160" w:type="dxa"/>
            <w:vAlign w:val="bottom"/>
          </w:tcPr>
          <w:p>
            <w:pPr>
              <w:spacing w:after="0"/>
              <w:rPr>
                <w:sz w:val="7"/>
                <w:szCs w:val="7"/>
                <w:color w:val="auto"/>
              </w:rPr>
            </w:pPr>
          </w:p>
        </w:tc>
        <w:tc>
          <w:tcPr>
            <w:tcW w:w="820" w:type="dxa"/>
            <w:vAlign w:val="bottom"/>
            <w:gridSpan w:val="2"/>
          </w:tcPr>
          <w:p>
            <w:pPr>
              <w:jc w:val="center"/>
              <w:ind w:right="280"/>
              <w:spacing w:after="0" w:line="79" w:lineRule="exact"/>
              <w:rPr>
                <w:sz w:val="20"/>
                <w:szCs w:val="20"/>
                <w:color w:val="auto"/>
              </w:rPr>
            </w:pPr>
            <w:r>
              <w:rPr>
                <w:rFonts w:ascii="Arial" w:cs="Arial" w:eastAsia="Arial" w:hAnsi="Arial"/>
                <w:sz w:val="8"/>
                <w:szCs w:val="8"/>
                <w:b w:val="1"/>
                <w:bCs w:val="1"/>
                <w:color w:val="auto"/>
              </w:rPr>
              <w:t>Retained</w:t>
            </w:r>
          </w:p>
        </w:tc>
        <w:tc>
          <w:tcPr>
            <w:tcW w:w="160" w:type="dxa"/>
            <w:vAlign w:val="bottom"/>
          </w:tcPr>
          <w:p>
            <w:pPr>
              <w:spacing w:after="0"/>
              <w:rPr>
                <w:sz w:val="7"/>
                <w:szCs w:val="7"/>
                <w:color w:val="auto"/>
              </w:rPr>
            </w:pPr>
          </w:p>
        </w:tc>
        <w:tc>
          <w:tcPr>
            <w:tcW w:w="1160" w:type="dxa"/>
            <w:vAlign w:val="bottom"/>
            <w:gridSpan w:val="2"/>
          </w:tcPr>
          <w:p>
            <w:pPr>
              <w:jc w:val="center"/>
              <w:ind w:right="280"/>
              <w:spacing w:after="0" w:line="79" w:lineRule="exact"/>
              <w:rPr>
                <w:sz w:val="20"/>
                <w:szCs w:val="20"/>
                <w:color w:val="auto"/>
              </w:rPr>
            </w:pPr>
            <w:r>
              <w:rPr>
                <w:rFonts w:ascii="Arial" w:cs="Arial" w:eastAsia="Arial" w:hAnsi="Arial"/>
                <w:sz w:val="8"/>
                <w:szCs w:val="8"/>
                <w:b w:val="1"/>
                <w:bCs w:val="1"/>
                <w:color w:val="auto"/>
              </w:rPr>
              <w:t>Comprehensive</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Preferred Stock</w:t>
            </w:r>
          </w:p>
        </w:tc>
        <w:tc>
          <w:tcPr>
            <w:tcW w:w="1000" w:type="dxa"/>
            <w:vAlign w:val="bottom"/>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jc w:val="right"/>
              <w:ind w:right="32"/>
              <w:spacing w:after="0"/>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Capital</w:t>
            </w:r>
          </w:p>
        </w:tc>
        <w:tc>
          <w:tcPr>
            <w:tcW w:w="160" w:type="dxa"/>
            <w:vAlign w:val="bottom"/>
          </w:tcPr>
          <w:p>
            <w:pPr>
              <w:spacing w:after="0"/>
              <w:rPr>
                <w:sz w:val="11"/>
                <w:szCs w:val="1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Deficit</w:t>
            </w:r>
          </w:p>
        </w:tc>
        <w:tc>
          <w:tcPr>
            <w:tcW w:w="160" w:type="dxa"/>
            <w:vAlign w:val="bottom"/>
          </w:tcPr>
          <w:p>
            <w:pPr>
              <w:spacing w:after="0"/>
              <w:rPr>
                <w:sz w:val="11"/>
                <w:szCs w:val="1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5"/>
              </w:rPr>
              <w:t>Income (Loss)</w:t>
            </w:r>
          </w:p>
        </w:tc>
        <w:tc>
          <w:tcPr>
            <w:tcW w:w="200" w:type="dxa"/>
            <w:vAlign w:val="bottom"/>
          </w:tcPr>
          <w:p>
            <w:pPr>
              <w:spacing w:after="0"/>
              <w:rPr>
                <w:sz w:val="11"/>
                <w:szCs w:val="11"/>
                <w:color w:val="auto"/>
              </w:rPr>
            </w:pPr>
          </w:p>
        </w:tc>
        <w:tc>
          <w:tcPr>
            <w:tcW w:w="700" w:type="dxa"/>
            <w:vAlign w:val="bottom"/>
          </w:tcPr>
          <w:p>
            <w:pPr>
              <w:jc w:val="right"/>
              <w:ind w:right="29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8"/>
        </w:trPr>
        <w:tc>
          <w:tcPr>
            <w:tcW w:w="38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Balance,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1,489</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524.9</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13,741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(4,972)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10,668</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212</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comprehensive income: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80" w:type="dxa"/>
            <w:vAlign w:val="bottom"/>
          </w:tcPr>
          <w:p>
            <w:pPr>
              <w:ind w:left="220"/>
              <w:spacing w:after="0"/>
              <w:rPr>
                <w:sz w:val="20"/>
                <w:szCs w:val="20"/>
                <w:color w:val="auto"/>
              </w:rPr>
            </w:pPr>
            <w:r>
              <w:rPr>
                <w:rFonts w:ascii="Arial" w:cs="Arial" w:eastAsia="Arial" w:hAnsi="Arial"/>
                <w:sz w:val="10"/>
                <w:szCs w:val="10"/>
                <w:color w:val="auto"/>
              </w:rPr>
              <w:t>Unrealized gain on available-for-sale securities, net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Stock-based compensation, net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Preferred dividends declared</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Common dividends declared</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w:t>
            </w:r>
          </w:p>
        </w:tc>
        <w:tc>
          <w:tcPr>
            <w:tcW w:w="0" w:type="dxa"/>
            <w:vAlign w:val="bottom"/>
          </w:tcPr>
          <w:p>
            <w:pPr>
              <w:spacing w:after="0"/>
              <w:rPr>
                <w:sz w:val="1"/>
                <w:szCs w:val="1"/>
                <w:color w:val="auto"/>
              </w:rPr>
            </w:pPr>
          </w:p>
        </w:tc>
      </w:tr>
      <w:tr>
        <w:trPr>
          <w:trHeight w:val="147"/>
        </w:trPr>
        <w:tc>
          <w:tcPr>
            <w:tcW w:w="38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Balance,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1,489</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524.9</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13,747</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(4,973)</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411</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10,679</w:t>
            </w: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20"/>
                <w:szCs w:val="20"/>
                <w:color w:val="auto"/>
              </w:rPr>
            </w:pPr>
            <w:r>
              <w:rPr>
                <w:rFonts w:ascii="Arial" w:cs="Arial" w:eastAsia="Arial" w:hAnsi="Arial"/>
                <w:sz w:val="10"/>
                <w:szCs w:val="10"/>
                <w:b w:val="1"/>
                <w:bCs w:val="1"/>
                <w:color w:val="auto"/>
              </w:rPr>
              <w:t>Balance, June 30, 2022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1,489</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522.7</w:t>
            </w:r>
          </w:p>
        </w:tc>
        <w:tc>
          <w:tcPr>
            <w:tcW w:w="100" w:type="dxa"/>
            <w:vAlign w:val="bottom"/>
          </w:tcPr>
          <w:p>
            <w:pPr>
              <w:spacing w:after="0"/>
              <w:rPr>
                <w:sz w:val="11"/>
                <w:szCs w:val="11"/>
                <w:color w:val="auto"/>
              </w:rPr>
            </w:pP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13,707</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(6,726)</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(435)</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8,040</w:t>
            </w:r>
          </w:p>
        </w:tc>
        <w:tc>
          <w:tcPr>
            <w:tcW w:w="0" w:type="dxa"/>
            <w:vAlign w:val="bottom"/>
          </w:tcPr>
          <w:p>
            <w:pPr>
              <w:spacing w:after="0"/>
              <w:rPr>
                <w:sz w:val="1"/>
                <w:szCs w:val="1"/>
                <w:color w:val="auto"/>
              </w:rPr>
            </w:pPr>
          </w:p>
        </w:tc>
      </w:tr>
      <w:tr>
        <w:trPr>
          <w:trHeight w:val="141"/>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loss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Other comprehensive loss: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Unrealized loss on available-for-sale securities, net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Stock-based compensation, net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Issuance of preferred stock, net of offering cost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Issuance of common stock, net of offering cost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28.6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Preferred dividends declared</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Common dividends declared</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(192)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r>
        <w:trPr>
          <w:trHeight w:val="147"/>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1,634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551.3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7,222</w:t>
            </w:r>
          </w:p>
        </w:tc>
        <w:tc>
          <w:tcPr>
            <w:tcW w:w="0" w:type="dxa"/>
            <w:vAlign w:val="bottom"/>
          </w:tcPr>
          <w:p>
            <w:pPr>
              <w:spacing w:after="0"/>
              <w:rPr>
                <w:sz w:val="1"/>
                <w:szCs w:val="1"/>
                <w:color w:val="auto"/>
              </w:rPr>
            </w:pPr>
          </w:p>
        </w:tc>
      </w:tr>
      <w:tr>
        <w:trPr>
          <w:trHeight w:val="126"/>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1,489</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539.5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13,972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(5,106)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11,079</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776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776</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comprehensive loss: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80" w:type="dxa"/>
            <w:vAlign w:val="bottom"/>
          </w:tcPr>
          <w:p>
            <w:pPr>
              <w:ind w:left="220"/>
              <w:spacing w:after="0"/>
              <w:rPr>
                <w:sz w:val="20"/>
                <w:szCs w:val="20"/>
                <w:color w:val="auto"/>
              </w:rPr>
            </w:pPr>
            <w:r>
              <w:rPr>
                <w:rFonts w:ascii="Arial" w:cs="Arial" w:eastAsia="Arial" w:hAnsi="Arial"/>
                <w:sz w:val="10"/>
                <w:szCs w:val="10"/>
                <w:color w:val="auto"/>
              </w:rPr>
              <w:t>Unrealized loss on available-for-sale securities, net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(308)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Stock-based compensation, net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Repurchase of common stock</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(15.0)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(239)</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Preferred dividends declared</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Common dividends declared</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(568)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(568)</w:t>
            </w:r>
          </w:p>
        </w:tc>
        <w:tc>
          <w:tcPr>
            <w:tcW w:w="0" w:type="dxa"/>
            <w:vAlign w:val="bottom"/>
          </w:tcPr>
          <w:p>
            <w:pPr>
              <w:spacing w:after="0"/>
              <w:rPr>
                <w:sz w:val="1"/>
                <w:szCs w:val="1"/>
                <w:color w:val="auto"/>
              </w:rPr>
            </w:pPr>
          </w:p>
        </w:tc>
      </w:tr>
      <w:tr>
        <w:trPr>
          <w:trHeight w:val="147"/>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September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524.9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13,747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10,679</w:t>
            </w:r>
          </w:p>
        </w:tc>
        <w:tc>
          <w:tcPr>
            <w:tcW w:w="0" w:type="dxa"/>
            <w:vAlign w:val="bottom"/>
          </w:tcPr>
          <w:p>
            <w:pPr>
              <w:spacing w:after="0"/>
              <w:rPr>
                <w:sz w:val="1"/>
                <w:szCs w:val="1"/>
                <w:color w:val="auto"/>
              </w:rPr>
            </w:pPr>
          </w:p>
        </w:tc>
      </w:tr>
      <w:tr>
        <w:trPr>
          <w:trHeight w:val="126"/>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1,489</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522.2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13,710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(5,214)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10,291</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(1,751)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(1,751)</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comprehensive loss: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80" w:type="dxa"/>
            <w:vAlign w:val="bottom"/>
          </w:tcPr>
          <w:p>
            <w:pPr>
              <w:ind w:left="220"/>
              <w:spacing w:after="0"/>
              <w:rPr>
                <w:sz w:val="20"/>
                <w:szCs w:val="20"/>
                <w:color w:val="auto"/>
              </w:rPr>
            </w:pPr>
            <w:r>
              <w:rPr>
                <w:rFonts w:ascii="Arial" w:cs="Arial" w:eastAsia="Arial" w:hAnsi="Arial"/>
                <w:sz w:val="10"/>
                <w:szCs w:val="10"/>
                <w:color w:val="auto"/>
              </w:rPr>
              <w:t>Unrealized loss on available-for-sale securities, net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(1,108)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(1,108)</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Stock-based compensation, net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Issuance of preferred stock, net of offering cost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145</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Issuance of common stock, net of offering cost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Repurchase of common stock</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Preferred dividends declared</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28"/>
        </w:trPr>
        <w:tc>
          <w:tcPr>
            <w:tcW w:w="3880" w:type="dxa"/>
            <w:vAlign w:val="bottom"/>
          </w:tcPr>
          <w:p>
            <w:pPr>
              <w:ind w:left="140"/>
              <w:spacing w:after="0"/>
              <w:rPr>
                <w:sz w:val="20"/>
                <w:szCs w:val="20"/>
                <w:color w:val="auto"/>
              </w:rPr>
            </w:pPr>
            <w:r>
              <w:rPr>
                <w:rFonts w:ascii="Arial" w:cs="Arial" w:eastAsia="Arial" w:hAnsi="Arial"/>
                <w:sz w:val="10"/>
                <w:szCs w:val="10"/>
                <w:color w:val="auto"/>
              </w:rPr>
              <w:t>Common dividends declared</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(569)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(569)</w:t>
            </w:r>
          </w:p>
        </w:tc>
        <w:tc>
          <w:tcPr>
            <w:tcW w:w="0" w:type="dxa"/>
            <w:vAlign w:val="bottom"/>
          </w:tcPr>
          <w:p>
            <w:pPr>
              <w:spacing w:after="0"/>
              <w:rPr>
                <w:sz w:val="1"/>
                <w:szCs w:val="1"/>
                <w:color w:val="auto"/>
              </w:rPr>
            </w:pPr>
          </w:p>
        </w:tc>
      </w:tr>
      <w:tr>
        <w:trPr>
          <w:trHeight w:val="147"/>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1,634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551.3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13,999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7,222</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0"/>
          </w:cols>
          <w:pgMar w:left="300" w:top="640" w:right="5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(in millions)</w:t>
      </w:r>
    </w:p>
    <w:p>
      <w:pPr>
        <w:spacing w:after="0" w:line="13" w:lineRule="exact"/>
        <w:rPr>
          <w:sz w:val="20"/>
          <w:szCs w:val="20"/>
          <w:color w:val="auto"/>
        </w:rPr>
      </w:pPr>
    </w:p>
    <w:p>
      <w:pPr>
        <w:jc w:val="center"/>
        <w:ind w:left="7560"/>
        <w:spacing w:after="0"/>
        <w:rPr>
          <w:sz w:val="20"/>
          <w:szCs w:val="20"/>
          <w:color w:val="auto"/>
        </w:rPr>
      </w:pPr>
      <w:r>
        <w:rPr>
          <w:rFonts w:ascii="Arial" w:cs="Arial" w:eastAsia="Arial" w:hAnsi="Arial"/>
          <w:sz w:val="10"/>
          <w:szCs w:val="10"/>
          <w:b w:val="1"/>
          <w:bCs w:val="1"/>
          <w:color w:val="auto"/>
        </w:rPr>
        <w:t>Nine Months Ended</w:t>
      </w:r>
    </w:p>
    <w:p>
      <w:pPr>
        <w:jc w:val="center"/>
        <w:ind w:left="756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128"/>
        </w:trPr>
        <w:tc>
          <w:tcPr>
            <w:tcW w:w="756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2021</w:t>
            </w:r>
          </w:p>
        </w:tc>
      </w:tr>
      <w:tr>
        <w:trPr>
          <w:trHeight w:val="128"/>
        </w:trPr>
        <w:tc>
          <w:tcPr>
            <w:tcW w:w="7560" w:type="dxa"/>
            <w:vAlign w:val="bottom"/>
            <w:shd w:val="clear" w:color="auto" w:fill="CCEEFF"/>
          </w:tcPr>
          <w:p>
            <w:pPr>
              <w:spacing w:after="0" w:line="125" w:lineRule="exact"/>
              <w:rPr>
                <w:sz w:val="20"/>
                <w:szCs w:val="20"/>
                <w:color w:val="auto"/>
              </w:rPr>
            </w:pPr>
            <w:r>
              <w:rPr>
                <w:rFonts w:ascii="Arial" w:cs="Arial" w:eastAsia="Arial" w:hAnsi="Arial"/>
                <w:sz w:val="11"/>
                <w:szCs w:val="11"/>
                <w:b w:val="1"/>
                <w:bCs w:val="1"/>
                <w:color w:val="auto"/>
              </w:rPr>
              <w:t>Operating activities:</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2"/>
        </w:trPr>
        <w:tc>
          <w:tcPr>
            <w:tcW w:w="7560" w:type="dxa"/>
            <w:vAlign w:val="bottom"/>
          </w:tcPr>
          <w:p>
            <w:pPr>
              <w:spacing w:after="0"/>
              <w:rPr>
                <w:sz w:val="20"/>
                <w:szCs w:val="20"/>
                <w:color w:val="auto"/>
              </w:rPr>
            </w:pPr>
            <w:r>
              <w:rPr>
                <w:rFonts w:ascii="Arial" w:cs="Arial" w:eastAsia="Arial" w:hAnsi="Arial"/>
                <w:sz w:val="11"/>
                <w:szCs w:val="11"/>
                <w:color w:val="auto"/>
              </w:rPr>
              <w:t>Net income (loss)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(1,751)</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776</w:t>
            </w:r>
          </w:p>
        </w:tc>
      </w:tr>
      <w:tr>
        <w:trPr>
          <w:trHeight w:val="146"/>
        </w:trPr>
        <w:tc>
          <w:tcPr>
            <w:tcW w:w="756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Amortization of premiums and discounts on mortgage-backed securities, net</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231</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Stock-based compensation, net</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(Gain) loss on sale of investment securities, net</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1,848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Unrealized loss on investment securities measured at fair value through net income, net</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1,124</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Gain on derivative instruments and other securities, net</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(4,474)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(922)</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Increase in other assets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42"/>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Increase (decrease) in other liabilities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r>
      <w:tr>
        <w:trPr>
          <w:trHeight w:val="135"/>
        </w:trPr>
        <w:tc>
          <w:tcPr>
            <w:tcW w:w="756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919</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1,164</w:t>
            </w:r>
          </w:p>
        </w:tc>
      </w:tr>
      <w:tr>
        <w:trPr>
          <w:trHeight w:val="122"/>
        </w:trPr>
        <w:tc>
          <w:tcPr>
            <w:tcW w:w="7560" w:type="dxa"/>
            <w:vAlign w:val="bottom"/>
          </w:tcPr>
          <w:p>
            <w:pPr>
              <w:spacing w:after="0" w:line="121" w:lineRule="exact"/>
              <w:rPr>
                <w:sz w:val="20"/>
                <w:szCs w:val="20"/>
                <w:color w:val="auto"/>
              </w:rPr>
            </w:pPr>
            <w:r>
              <w:rPr>
                <w:rFonts w:ascii="Arial" w:cs="Arial" w:eastAsia="Arial" w:hAnsi="Arial"/>
                <w:sz w:val="11"/>
                <w:szCs w:val="11"/>
                <w:b w:val="1"/>
                <w:bCs w:val="1"/>
                <w:color w:val="auto"/>
              </w:rPr>
              <w:t>Investing activities:</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Purchases of Agency mortgage-backed securities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(20,847)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(34,575)</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Purchases of credit risk transfer and non-Agency securities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(1,405)</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sale of Agency mortgage-backed securities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27,713</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Proceeds from sale of credit risk transfer and non-Agency securities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994</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Principal collections on Agency mortgage-backed securities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12,167</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Principal collections on credit risk transfer and non-Agency securities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73</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Payments on U.S. Treasury securities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(17,946)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(18,560)</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Proceeds from U.S. Treasury securities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16,584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15,261</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Net proceeds from reverse repurchase agreements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2,129</w:t>
            </w:r>
          </w:p>
        </w:tc>
      </w:tr>
      <w:tr>
        <w:trPr>
          <w:trHeight w:val="142"/>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Net proceeds from derivative instruments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3,754</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918</w:t>
            </w:r>
          </w:p>
        </w:tc>
      </w:tr>
      <w:tr>
        <w:trPr>
          <w:trHeight w:val="135"/>
        </w:trPr>
        <w:tc>
          <w:tcPr>
            <w:tcW w:w="756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investing activities</w:t>
            </w: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8,020</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4,715</w:t>
            </w:r>
          </w:p>
        </w:tc>
      </w:tr>
      <w:tr>
        <w:trPr>
          <w:trHeight w:val="122"/>
        </w:trPr>
        <w:tc>
          <w:tcPr>
            <w:tcW w:w="7560" w:type="dxa"/>
            <w:vAlign w:val="bottom"/>
          </w:tcPr>
          <w:p>
            <w:pPr>
              <w:spacing w:after="0" w:line="121" w:lineRule="exact"/>
              <w:rPr>
                <w:sz w:val="20"/>
                <w:szCs w:val="20"/>
                <w:color w:val="auto"/>
              </w:rPr>
            </w:pPr>
            <w:r>
              <w:rPr>
                <w:rFonts w:ascii="Arial" w:cs="Arial" w:eastAsia="Arial" w:hAnsi="Arial"/>
                <w:sz w:val="11"/>
                <w:szCs w:val="11"/>
                <w:b w:val="1"/>
                <w:bCs w:val="1"/>
                <w:color w:val="auto"/>
              </w:rPr>
              <w:t>Financing activities:</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repurchase arrangements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1,749,235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1,650,800</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Payments on repurchase agreements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(1,756,310)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(1,656,634)</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Payments on debt of consolidated variable interest entities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Net proceeds from preferred stock issuance</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Net proceeds from common stock issuances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7560" w:type="dxa"/>
            <w:vAlign w:val="bottom"/>
          </w:tcPr>
          <w:p>
            <w:pPr>
              <w:ind w:left="220"/>
              <w:spacing w:after="0"/>
              <w:rPr>
                <w:sz w:val="20"/>
                <w:szCs w:val="20"/>
                <w:color w:val="auto"/>
              </w:rPr>
            </w:pPr>
            <w:r>
              <w:rPr>
                <w:rFonts w:ascii="Arial" w:cs="Arial" w:eastAsia="Arial" w:hAnsi="Arial"/>
                <w:sz w:val="11"/>
                <w:szCs w:val="11"/>
                <w:color w:val="auto"/>
              </w:rPr>
              <w:t>Payments for common stock repurchases</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(239)</w:t>
            </w:r>
          </w:p>
        </w:tc>
      </w:tr>
      <w:tr>
        <w:trPr>
          <w:trHeight w:val="146"/>
        </w:trPr>
        <w:tc>
          <w:tcPr>
            <w:tcW w:w="7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dividends paid</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(646)</w:t>
            </w:r>
          </w:p>
        </w:tc>
      </w:tr>
      <w:tr>
        <w:trPr>
          <w:trHeight w:val="131"/>
        </w:trPr>
        <w:tc>
          <w:tcPr>
            <w:tcW w:w="7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financing activities</w:t>
            </w: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(7,302)</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(6,758)</w:t>
            </w:r>
          </w:p>
        </w:tc>
      </w:tr>
      <w:tr>
        <w:trPr>
          <w:trHeight w:val="135"/>
        </w:trPr>
        <w:tc>
          <w:tcPr>
            <w:tcW w:w="7560" w:type="dxa"/>
            <w:vAlign w:val="bottom"/>
            <w:shd w:val="clear" w:color="auto" w:fill="CCEEFF"/>
          </w:tcPr>
          <w:p>
            <w:pPr>
              <w:spacing w:after="0"/>
              <w:rPr>
                <w:sz w:val="20"/>
                <w:szCs w:val="20"/>
                <w:color w:val="auto"/>
              </w:rPr>
            </w:pPr>
            <w:r>
              <w:rPr>
                <w:rFonts w:ascii="Arial" w:cs="Arial" w:eastAsia="Arial" w:hAnsi="Arial"/>
                <w:sz w:val="11"/>
                <w:szCs w:val="11"/>
                <w:color w:val="auto"/>
              </w:rPr>
              <w:t>Net change in cash, cash equivalents and restricted cash</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(879)</w:t>
            </w:r>
          </w:p>
        </w:tc>
      </w:tr>
      <w:tr>
        <w:trPr>
          <w:trHeight w:val="142"/>
        </w:trPr>
        <w:tc>
          <w:tcPr>
            <w:tcW w:w="7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2,324</w:t>
            </w:r>
          </w:p>
        </w:tc>
      </w:tr>
      <w:tr>
        <w:trPr>
          <w:trHeight w:val="151"/>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cash equivalents and restricted cash at end of period</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1,445</w:t>
            </w:r>
          </w:p>
        </w:tc>
      </w:tr>
    </w:tbl>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020"/>
          </w:cols>
          <w:pgMar w:left="940" w:top="640" w:right="93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w:t>
      </w:r>
    </w:p>
    <w:p>
      <w:pPr>
        <w:spacing w:after="0" w:line="11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7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2"/>
          <w:szCs w:val="12"/>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92"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86"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60"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2021.</w:t>
      </w:r>
    </w:p>
    <w:p>
      <w:pPr>
        <w:spacing w:after="0" w:line="30"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Securities</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7" w:name="page8"/>
    <w:bookmarkEnd w:id="7"/>
    <w:p>
      <w:pPr>
        <w:jc w:val="both"/>
        <w:ind w:firstLine="270"/>
        <w:spacing w:after="0" w:line="323" w:lineRule="auto"/>
        <w:rPr>
          <w:sz w:val="20"/>
          <w:szCs w:val="20"/>
          <w:color w:val="auto"/>
        </w:rPr>
      </w:pPr>
      <w:r>
        <w:rPr>
          <w:rFonts w:ascii="Arial" w:cs="Arial" w:eastAsia="Arial" w:hAnsi="Arial"/>
          <w:sz w:val="11"/>
          <w:szCs w:val="11"/>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56" w:lineRule="exact"/>
        <w:rPr>
          <w:sz w:val="20"/>
          <w:szCs w:val="20"/>
          <w:color w:val="auto"/>
        </w:rPr>
      </w:pPr>
    </w:p>
    <w:p>
      <w:pPr>
        <w:jc w:val="both"/>
        <w:ind w:firstLine="297"/>
        <w:spacing w:after="0" w:line="313" w:lineRule="auto"/>
        <w:rPr>
          <w:sz w:val="20"/>
          <w:szCs w:val="20"/>
          <w:color w:val="auto"/>
        </w:rPr>
      </w:pPr>
      <w:r>
        <w:rPr>
          <w:rFonts w:ascii="Arial" w:cs="Arial" w:eastAsia="Arial" w:hAnsi="Arial"/>
          <w:sz w:val="10"/>
          <w:szCs w:val="10"/>
          <w:color w:val="auto"/>
        </w:rPr>
        <w:t xml:space="preserve">All of our securities are reported at fair value on our consolidated balance sheet. Accounting Standards Codification ("ASC") Topic 320, </w:t>
      </w:r>
      <w:r>
        <w:rPr>
          <w:rFonts w:ascii="Arial" w:cs="Arial" w:eastAsia="Arial" w:hAnsi="Arial"/>
          <w:sz w:val="10"/>
          <w:szCs w:val="10"/>
          <w:i w:val="1"/>
          <w:iCs w:val="1"/>
          <w:color w:val="auto"/>
        </w:rPr>
        <w:t>Investments—Debt and Equity Securities</w:t>
      </w:r>
      <w:r>
        <w:rPr>
          <w:rFonts w:ascii="Arial" w:cs="Arial" w:eastAsia="Arial" w:hAnsi="Arial"/>
          <w:sz w:val="10"/>
          <w:szCs w:val="10"/>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Arial" w:cs="Arial" w:eastAsia="Arial" w:hAnsi="Arial"/>
          <w:sz w:val="10"/>
          <w:szCs w:val="10"/>
          <w:i w:val="1"/>
          <w:iCs w:val="1"/>
          <w:color w:val="auto"/>
        </w:rPr>
        <w:t>Financial Instruments</w:t>
      </w:r>
      <w:r>
        <w:rPr>
          <w:rFonts w:ascii="Arial" w:cs="Arial" w:eastAsia="Arial" w:hAnsi="Arial"/>
          <w:sz w:val="10"/>
          <w:szCs w:val="10"/>
          <w:color w:val="auto"/>
        </w:rPr>
        <w:t>. Prior to fiscal year 2017, we primarily designated our investment securities as available-for-sale. On January 1, 2017, we began electing the fair value option of accounting for all investment securities newly</w:t>
      </w:r>
      <w:r>
        <w:rPr>
          <w:rFonts w:ascii="Arial" w:cs="Arial" w:eastAsia="Arial" w:hAnsi="Arial"/>
          <w:sz w:val="10"/>
          <w:szCs w:val="10"/>
          <w:i w:val="1"/>
          <w:iCs w:val="1"/>
          <w:color w:val="auto"/>
        </w:rPr>
        <w:t xml:space="preserve"> </w:t>
      </w:r>
      <w:r>
        <w:rPr>
          <w:rFonts w:ascii="Arial" w:cs="Arial" w:eastAsia="Arial" w:hAnsi="Arial"/>
          <w:sz w:val="10"/>
          <w:szCs w:val="10"/>
          <w:color w:val="auto"/>
        </w:rPr>
        <w:t>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6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14"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2"/>
          <w:szCs w:val="12"/>
          <w:i w:val="1"/>
          <w:iCs w:val="1"/>
          <w:color w:val="auto"/>
        </w:rPr>
        <w:t>Receivables—Nonrefundable Fees and Other Costs</w:t>
      </w:r>
      <w:r>
        <w:rPr>
          <w:rFonts w:ascii="Arial" w:cs="Arial" w:eastAsia="Arial" w:hAnsi="Arial"/>
          <w:sz w:val="12"/>
          <w:szCs w:val="12"/>
          <w:color w:val="auto"/>
        </w:rPr>
        <w:t>.</w:t>
      </w:r>
    </w:p>
    <w:p>
      <w:pPr>
        <w:spacing w:after="0" w:line="86"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2"/>
          <w:szCs w:val="12"/>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94"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Repurchase Agreements</w:t>
      </w:r>
    </w:p>
    <w:p>
      <w:pPr>
        <w:spacing w:after="0" w:line="114"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We finance the acquisition of securities for our investment portfolio primarily through repurchase agreements with financial institutions. Repurchase arrangements involve the sale and a simultaneous agreement to repurchase the transferred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2"/>
          <w:szCs w:val="12"/>
          <w:color w:val="auto"/>
        </w:rPr>
        <w:t xml:space="preserve">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2"/>
          <w:szCs w:val="12"/>
          <w:i w:val="1"/>
          <w:iCs w:val="1"/>
          <w:color w:val="auto"/>
        </w:rPr>
        <w:t>Transfers</w:t>
      </w:r>
      <w:r>
        <w:rPr>
          <w:rFonts w:ascii="Arial" w:cs="Arial" w:eastAsia="Arial" w:hAnsi="Arial"/>
          <w:sz w:val="12"/>
          <w:szCs w:val="12"/>
          <w:color w:val="auto"/>
        </w:rPr>
        <w:t xml:space="preserve"> </w:t>
      </w:r>
      <w:r>
        <w:rPr>
          <w:rFonts w:ascii="Arial" w:cs="Arial" w:eastAsia="Arial" w:hAnsi="Arial"/>
          <w:sz w:val="12"/>
          <w:szCs w:val="12"/>
          <w:i w:val="1"/>
          <w:iCs w:val="1"/>
          <w:color w:val="auto"/>
        </w:rPr>
        <w:t>and Servicing</w:t>
      </w:r>
      <w:r>
        <w:rPr>
          <w:rFonts w:ascii="Arial" w:cs="Arial" w:eastAsia="Arial" w:hAnsi="Arial"/>
          <w:sz w:val="12"/>
          <w:szCs w:val="12"/>
          <w:color w:val="auto"/>
        </w:rPr>
        <w:t>, we account for repurchase agreements as collateralized financing transactions, which are carried at their contractual amounts (cost), plus accrued interest. Our repurchase agreements typically have maturities of less than</w:t>
      </w:r>
      <w:r>
        <w:rPr>
          <w:rFonts w:ascii="Arial" w:cs="Arial" w:eastAsia="Arial" w:hAnsi="Arial"/>
          <w:sz w:val="12"/>
          <w:szCs w:val="12"/>
          <w:i w:val="1"/>
          <w:iCs w:val="1"/>
          <w:color w:val="auto"/>
        </w:rPr>
        <w:t xml:space="preserve"> </w:t>
      </w:r>
      <w:r>
        <w:rPr>
          <w:rFonts w:ascii="Arial" w:cs="Arial" w:eastAsia="Arial" w:hAnsi="Arial"/>
          <w:sz w:val="12"/>
          <w:szCs w:val="12"/>
          <w:color w:val="auto"/>
        </w:rPr>
        <w:t>one year.</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Reverse Repurchase Agreements and Obligation to Return Securities Borrowed under Reverse Repurchase Agreements</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 xml:space="preserve">We borrow securities to cover short sales of U.S. Treasury securities through reverse repurchase transactions under our master repurchase agreements (see </w:t>
      </w:r>
      <w:r>
        <w:rPr>
          <w:rFonts w:ascii="Arial" w:cs="Arial" w:eastAsia="Arial" w:hAnsi="Arial"/>
          <w:sz w:val="12"/>
          <w:szCs w:val="12"/>
          <w:i w:val="1"/>
          <w:iCs w:val="1"/>
          <w:color w:val="auto"/>
        </w:rPr>
        <w:t>Derivative Instruments</w:t>
      </w:r>
      <w:r>
        <w:rPr>
          <w:rFonts w:ascii="Arial" w:cs="Arial" w:eastAsia="Arial" w:hAnsi="Arial"/>
          <w:sz w:val="12"/>
          <w:szCs w:val="12"/>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Instruments</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88"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1"/>
          <w:szCs w:val="11"/>
          <w:color w:val="auto"/>
        </w:rPr>
        <w:t xml:space="preserve">We account for derivative instruments in accordance with ASC Topic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6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2"/>
          <w:szCs w:val="12"/>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Interest rate swap agreements</w:t>
      </w:r>
    </w:p>
    <w:p>
      <w:pPr>
        <w:spacing w:after="0" w:line="114"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2"/>
          <w:szCs w:val="12"/>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Interest rate swaptions</w:t>
      </w:r>
    </w:p>
    <w:p>
      <w:pPr>
        <w:spacing w:after="0" w:line="114"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paid. If we sell or exercise a swaption, the realized gain or loss on the swaption would be equal to the difference between the cash or the fair value of the underlying interest rate swap and the premium paid.</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TBA securities</w:t>
      </w:r>
    </w:p>
    <w:p>
      <w:pPr>
        <w:spacing w:after="0" w:line="114"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1"/>
          <w:szCs w:val="11"/>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77"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U.S. Treasury securities</w:t>
      </w:r>
    </w:p>
    <w:p>
      <w:pPr>
        <w:spacing w:after="0" w:line="114"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14"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three levels of valuation hierarchy are defined as follows:</w:t>
      </w:r>
    </w:p>
    <w:p>
      <w:pPr>
        <w:spacing w:after="0" w:line="114"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Level 1 Inputs —Quoted prices (unadjusted) for identical unrestricted assets and liabilities in active markets that are accessible at the measurement date.</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
        </w:numPr>
        <w:rPr>
          <w:rFonts w:ascii="Arial" w:cs="Arial" w:eastAsia="Arial" w:hAnsi="Arial"/>
          <w:sz w:val="12"/>
          <w:szCs w:val="12"/>
          <w:color w:val="auto"/>
        </w:rPr>
      </w:pPr>
      <w:r>
        <w:rPr>
          <w:rFonts w:ascii="Arial" w:cs="Arial" w:eastAsia="Arial" w:hAnsi="Arial"/>
          <w:sz w:val="12"/>
          <w:szCs w:val="12"/>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Level 3 Inputs —Instruments with primarily unobservable market data that cannot be corroborated.</w:t>
      </w:r>
    </w:p>
    <w:p>
      <w:pPr>
        <w:spacing w:after="0" w:line="114"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t>would indicate and we cannot obtain an understanding from the third-party source as to the significant inputs used to determine the price.</w:t>
      </w:r>
    </w:p>
    <w:p>
      <w:pPr>
        <w:spacing w:after="0" w:line="114"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86"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i w:val="1"/>
          <w:iCs w:val="1"/>
          <w:color w:val="auto"/>
        </w:rPr>
        <w:t xml:space="preserve">Investment securities </w:t>
      </w:r>
      <w:r>
        <w:rPr>
          <w:rFonts w:ascii="Arial" w:cs="Arial" w:eastAsia="Arial" w:hAnsi="Arial"/>
          <w:sz w:val="11"/>
          <w:szCs w:val="11"/>
          <w:color w:val="auto"/>
        </w:rPr>
        <w:t>- are valued based on prices obtained from multiple third-party pricing sources. The pricing sources utilize various valuation approaches, including market and income approaches. For Agency RMBS, the</w:t>
      </w:r>
      <w:r>
        <w:rPr>
          <w:rFonts w:ascii="Arial" w:cs="Arial" w:eastAsia="Arial" w:hAnsi="Arial"/>
          <w:sz w:val="11"/>
          <w:szCs w:val="11"/>
          <w:i w:val="1"/>
          <w:iCs w:val="1"/>
          <w:color w:val="auto"/>
        </w:rPr>
        <w:t xml:space="preserve"> </w:t>
      </w:r>
      <w:r>
        <w:rPr>
          <w:rFonts w:ascii="Arial" w:cs="Arial" w:eastAsia="Arial" w:hAnsi="Arial"/>
          <w:sz w:val="11"/>
          <w:szCs w:val="11"/>
          <w:color w:val="auto"/>
        </w:rPr>
        <w:t>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TBA securities </w:t>
      </w:r>
      <w:r>
        <w:rPr>
          <w:rFonts w:ascii="Arial" w:cs="Arial" w:eastAsia="Arial" w:hAnsi="Arial"/>
          <w:sz w:val="12"/>
          <w:szCs w:val="12"/>
          <w:color w:val="auto"/>
        </w:rPr>
        <w:t>- are valued using prices obtained from third-party pricing sources based on pricing models that reference recent trading activity.</w:t>
      </w:r>
    </w:p>
    <w:p>
      <w:pPr>
        <w:spacing w:after="0" w:line="114"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i w:val="1"/>
          <w:iCs w:val="1"/>
          <w:color w:val="auto"/>
        </w:rPr>
        <w:t xml:space="preserve">Interest rate swaps </w:t>
      </w:r>
      <w:r>
        <w:rPr>
          <w:rFonts w:ascii="Arial" w:cs="Arial" w:eastAsia="Arial" w:hAnsi="Arial"/>
          <w:sz w:val="12"/>
          <w:szCs w:val="12"/>
          <w:color w:val="auto"/>
        </w:rPr>
        <w:t>- are valued using the daily settlement price, or fair value, determined by the clearing exchange based on a pricing model that references observable market inputs, including current benchmark rates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forward yield curve.</w:t>
      </w:r>
    </w:p>
    <w:p>
      <w:pPr>
        <w:spacing w:after="0" w:line="79"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i w:val="1"/>
          <w:iCs w:val="1"/>
          <w:color w:val="auto"/>
        </w:rPr>
        <w:t xml:space="preserve">Interest rate swaptions </w:t>
      </w:r>
      <w:r>
        <w:rPr>
          <w:rFonts w:ascii="Arial" w:cs="Arial" w:eastAsia="Arial" w:hAnsi="Arial"/>
          <w:sz w:val="12"/>
          <w:szCs w:val="12"/>
          <w:color w:val="auto"/>
        </w:rPr>
        <w:t>- are valued using prices obtained from the counterparty and other third-party pricing models. The pricing models are based on the value of the future interest rate swap that we have the option to enter into</w:t>
      </w:r>
      <w:r>
        <w:rPr>
          <w:rFonts w:ascii="Arial" w:cs="Arial" w:eastAsia="Arial" w:hAnsi="Arial"/>
          <w:sz w:val="12"/>
          <w:szCs w:val="12"/>
          <w:i w:val="1"/>
          <w:iCs w:val="1"/>
          <w:color w:val="auto"/>
        </w:rPr>
        <w:t xml:space="preserve"> </w:t>
      </w:r>
      <w:r>
        <w:rPr>
          <w:rFonts w:ascii="Arial" w:cs="Arial" w:eastAsia="Arial" w:hAnsi="Arial"/>
          <w:sz w:val="12"/>
          <w:szCs w:val="12"/>
          <w:color w:val="auto"/>
        </w:rPr>
        <w:t>as well as the remaining length of time that we have to exercise the option based on observable market inputs, adjusted for non-performance risk, if any.</w:t>
      </w:r>
    </w:p>
    <w:p>
      <w:pPr>
        <w:spacing w:after="0" w:line="79" w:lineRule="exact"/>
        <w:rPr>
          <w:sz w:val="20"/>
          <w:szCs w:val="20"/>
          <w:color w:val="auto"/>
        </w:rPr>
      </w:pPr>
    </w:p>
    <w:p>
      <w:pPr>
        <w:ind w:right="680" w:firstLine="297"/>
        <w:spacing w:after="0" w:line="438" w:lineRule="auto"/>
        <w:rPr>
          <w:sz w:val="20"/>
          <w:szCs w:val="20"/>
          <w:color w:val="auto"/>
        </w:rPr>
      </w:pPr>
      <w:r>
        <w:rPr>
          <w:rFonts w:ascii="Arial" w:cs="Arial" w:eastAsia="Arial" w:hAnsi="Arial"/>
          <w:sz w:val="12"/>
          <w:szCs w:val="12"/>
          <w:color w:val="auto"/>
        </w:rPr>
        <w:t xml:space="preserve">U.S. Treasury securities and futures are valued based on quoted prices for identical instruments in active markets and are classified as Level 1 assets. None of our financial instruments are classified as Level 3 inputs. </w:t>
      </w:r>
      <w:r>
        <w:rPr>
          <w:rFonts w:ascii="Arial" w:cs="Arial" w:eastAsia="Arial" w:hAnsi="Arial"/>
          <w:sz w:val="12"/>
          <w:szCs w:val="12"/>
          <w:b w:val="1"/>
          <w:bCs w:val="1"/>
          <w:i w:val="1"/>
          <w:iCs w:val="1"/>
          <w:color w:val="auto"/>
        </w:rPr>
        <w:t>Recent Accounting Pronouncements</w:t>
      </w:r>
    </w:p>
    <w:p>
      <w:pPr>
        <w:jc w:val="both"/>
        <w:ind w:firstLine="297"/>
        <w:spacing w:after="0" w:line="276" w:lineRule="auto"/>
        <w:rPr>
          <w:sz w:val="20"/>
          <w:szCs w:val="20"/>
          <w:color w:val="auto"/>
        </w:rPr>
      </w:pPr>
      <w:r>
        <w:rPr>
          <w:rFonts w:ascii="Arial" w:cs="Arial" w:eastAsia="Arial" w:hAnsi="Arial"/>
          <w:sz w:val="12"/>
          <w:szCs w:val="12"/>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Investment Securities</w:t>
      </w:r>
    </w:p>
    <w:p>
      <w:pPr>
        <w:spacing w:after="0" w:line="11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As of September 30, 2022 and December 31, 2021, our investment portfolio consisted of: $43.6 billion and $54.4 billion investment securities, at fair value, respectively; $17.9 billion and $27.1 billion net TBA securities, at fair value, respectively; and, as of December 31, 2021, $0.4 billion forward settling non-Agency securities, at fair value. Our net TBA position and forward settling non-Agency securities are reported at their net carrying value totaling $(1.2) billion and $(44) million as of September 30, 2022 and December 31, 2021,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September 30, 2022 and December 31, 2021, our investment securities had a net unamortized premium balance of $1.5 billion and $1.8 billion, respectively.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11" w:name="page12"/>
    <w:bookmarkEnd w:id="11"/>
    <w:p>
      <w:pPr>
        <w:ind w:firstLine="270"/>
        <w:spacing w:after="0" w:line="276" w:lineRule="auto"/>
        <w:rPr>
          <w:sz w:val="20"/>
          <w:szCs w:val="20"/>
          <w:color w:val="auto"/>
        </w:rPr>
      </w:pPr>
      <w:r>
        <w:rPr>
          <w:rFonts w:ascii="Arial" w:cs="Arial" w:eastAsia="Arial" w:hAnsi="Arial"/>
          <w:sz w:val="12"/>
          <w:szCs w:val="12"/>
          <w:color w:val="auto"/>
        </w:rPr>
        <w:t>The following tables summarize our investment securities as of September 30, 2022 and December 31, 2021, excluding TBA and forward settling securities, (dollars in millions). Details of our TBA and forward settling securities as of each of the respective dates are included in Note 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0"/>
                <w:szCs w:val="10"/>
                <w:b w:val="1"/>
                <w:bCs w:val="1"/>
                <w:color w:val="auto"/>
              </w:rPr>
              <w:t>September 30, 2022</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w w:val="86"/>
              </w:rPr>
              <w:t>December 31, 2021</w:t>
            </w: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9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Investment Securities</w:t>
            </w: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tcPr>
          <w:p>
            <w:pPr>
              <w:jc w:val="center"/>
              <w:ind w:right="500"/>
              <w:spacing w:after="0" w:line="91" w:lineRule="exact"/>
              <w:rPr>
                <w:sz w:val="20"/>
                <w:szCs w:val="20"/>
                <w:color w:val="auto"/>
              </w:rPr>
            </w:pPr>
            <w:r>
              <w:rPr>
                <w:rFonts w:ascii="Arial" w:cs="Arial" w:eastAsia="Arial" w:hAnsi="Arial"/>
                <w:sz w:val="10"/>
                <w:szCs w:val="10"/>
                <w:b w:val="1"/>
                <w:bCs w:val="1"/>
                <w:color w:val="auto"/>
                <w:w w:val="89"/>
              </w:rPr>
              <w:t>Amortized</w:t>
            </w:r>
          </w:p>
        </w:tc>
        <w:tc>
          <w:tcPr>
            <w:tcW w:w="80" w:type="dxa"/>
            <w:vAlign w:val="bottom"/>
          </w:tcPr>
          <w:p>
            <w:pPr>
              <w:spacing w:after="0"/>
              <w:rPr>
                <w:sz w:val="7"/>
                <w:szCs w:val="7"/>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gridSpan w:val="3"/>
          </w:tcPr>
          <w:p>
            <w:pPr>
              <w:jc w:val="right"/>
              <w:ind w:right="395"/>
              <w:spacing w:after="0" w:line="91" w:lineRule="exact"/>
              <w:rPr>
                <w:sz w:val="20"/>
                <w:szCs w:val="20"/>
                <w:color w:val="auto"/>
              </w:rPr>
            </w:pPr>
            <w:r>
              <w:rPr>
                <w:rFonts w:ascii="Arial" w:cs="Arial" w:eastAsia="Arial" w:hAnsi="Arial"/>
                <w:sz w:val="10"/>
                <w:szCs w:val="10"/>
                <w:b w:val="1"/>
                <w:bCs w:val="1"/>
                <w:color w:val="auto"/>
              </w:rPr>
              <w:t>Amortized</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vMerge w:val="restart"/>
          </w:tcPr>
          <w:p>
            <w:pPr>
              <w:jc w:val="right"/>
              <w:ind w:right="376"/>
              <w:spacing w:after="0"/>
              <w:rPr>
                <w:sz w:val="20"/>
                <w:szCs w:val="20"/>
                <w:color w:val="auto"/>
              </w:rPr>
            </w:pPr>
            <w:r>
              <w:rPr>
                <w:rFonts w:ascii="Arial" w:cs="Arial" w:eastAsia="Arial" w:hAnsi="Arial"/>
                <w:sz w:val="10"/>
                <w:szCs w:val="10"/>
                <w:b w:val="1"/>
                <w:bCs w:val="1"/>
                <w:color w:val="auto"/>
                <w:w w:val="91"/>
              </w:rPr>
              <w:t>Fair Value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0"/>
              </w:rPr>
              <w:t>Cost</w:t>
            </w: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tcPr>
          <w:p>
            <w:pPr>
              <w:jc w:val="right"/>
              <w:ind w:right="515"/>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0"/>
                <w:szCs w:val="10"/>
                <w:color w:val="auto"/>
              </w:rPr>
              <w:t>Agency RMBS:</w:t>
            </w: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ind w:left="100"/>
              <w:spacing w:after="0"/>
              <w:rPr>
                <w:sz w:val="20"/>
                <w:szCs w:val="20"/>
                <w:color w:val="auto"/>
              </w:rPr>
            </w:pPr>
            <w:r>
              <w:rPr>
                <w:rFonts w:ascii="Arial" w:cs="Arial" w:eastAsia="Arial" w:hAnsi="Arial"/>
                <w:sz w:val="10"/>
                <w:szCs w:val="10"/>
                <w:color w:val="auto"/>
              </w:rPr>
              <w:t>Fixed rate</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right"/>
              <w:ind w:right="156"/>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47,027</w:t>
            </w:r>
          </w:p>
        </w:tc>
        <w:tc>
          <w:tcPr>
            <w:tcW w:w="10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w w:val="91"/>
              </w:rPr>
              <w:t>41,578</w:t>
            </w:r>
          </w:p>
        </w:tc>
        <w:tc>
          <w:tcPr>
            <w:tcW w:w="420" w:type="dxa"/>
            <w:vAlign w:val="bottom"/>
            <w:gridSpan w:val="2"/>
          </w:tcPr>
          <w:p>
            <w:pPr>
              <w:jc w:val="right"/>
              <w:ind w:right="172"/>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51,546</w:t>
            </w:r>
          </w:p>
        </w:tc>
        <w:tc>
          <w:tcPr>
            <w:tcW w:w="300" w:type="dxa"/>
            <w:vAlign w:val="bottom"/>
            <w:gridSpan w:val="2"/>
          </w:tcPr>
          <w:p>
            <w:pPr>
              <w:jc w:val="right"/>
              <w:ind w:right="117"/>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52,289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Adjustable rate</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127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ind w:left="100"/>
              <w:spacing w:after="0"/>
              <w:rPr>
                <w:sz w:val="20"/>
                <w:szCs w:val="20"/>
                <w:color w:val="auto"/>
              </w:rPr>
            </w:pPr>
            <w:r>
              <w:rPr>
                <w:rFonts w:ascii="Arial" w:cs="Arial" w:eastAsia="Arial" w:hAnsi="Arial"/>
                <w:sz w:val="10"/>
                <w:szCs w:val="10"/>
                <w:color w:val="auto"/>
              </w:rPr>
              <w:t>CMO</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rPr>
              <w:t>136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Interest-only and principal-only strips</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48</w:t>
            </w: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80" w:type="dxa"/>
            <w:vAlign w:val="bottom"/>
            <w:gridSpan w:val="2"/>
          </w:tcPr>
          <w:p>
            <w:pPr>
              <w:ind w:left="20"/>
              <w:spacing w:after="0" w:line="107" w:lineRule="exact"/>
              <w:rPr>
                <w:sz w:val="20"/>
                <w:szCs w:val="20"/>
                <w:color w:val="auto"/>
              </w:rPr>
            </w:pPr>
            <w:r>
              <w:rPr>
                <w:rFonts w:ascii="Arial" w:cs="Arial" w:eastAsia="Arial" w:hAnsi="Arial"/>
                <w:sz w:val="10"/>
                <w:szCs w:val="10"/>
                <w:color w:val="auto"/>
              </w:rPr>
              <w:t>Total Agency RMBS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47,356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w w:val="91"/>
              </w:rPr>
              <w:t>41,889</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51,843</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52,604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Non-Agency RMBS </w:t>
            </w:r>
            <w:r>
              <w:rPr>
                <w:rFonts w:ascii="Arial" w:cs="Arial" w:eastAsia="Arial" w:hAnsi="Arial"/>
                <w:sz w:val="12"/>
                <w:szCs w:val="12"/>
                <w:color w:val="auto"/>
                <w:vertAlign w:val="superscript"/>
              </w:rPr>
              <w:t>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222</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ind w:left="20"/>
              <w:spacing w:after="0"/>
              <w:rPr>
                <w:sz w:val="20"/>
                <w:szCs w:val="20"/>
                <w:color w:val="auto"/>
              </w:rPr>
            </w:pPr>
            <w:r>
              <w:rPr>
                <w:rFonts w:ascii="Arial" w:cs="Arial" w:eastAsia="Arial" w:hAnsi="Arial"/>
                <w:sz w:val="10"/>
                <w:szCs w:val="10"/>
                <w:color w:val="auto"/>
              </w:rPr>
              <w:t>CMBS</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rPr>
              <w:t>621</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CRT securities</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860</w:t>
            </w: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980" w:type="dxa"/>
            <w:vAlign w:val="bottom"/>
            <w:gridSpan w:val="2"/>
          </w:tcPr>
          <w:p>
            <w:pPr>
              <w:ind w:left="20"/>
              <w:spacing w:after="0"/>
              <w:rPr>
                <w:sz w:val="20"/>
                <w:szCs w:val="20"/>
                <w:color w:val="auto"/>
              </w:rPr>
            </w:pPr>
            <w:r>
              <w:rPr>
                <w:rFonts w:ascii="Arial" w:cs="Arial" w:eastAsia="Arial" w:hAnsi="Arial"/>
                <w:sz w:val="10"/>
                <w:szCs w:val="10"/>
                <w:color w:val="auto"/>
              </w:rPr>
              <w:t>Total investment securities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49,162</w:t>
            </w:r>
          </w:p>
        </w:tc>
        <w:tc>
          <w:tcPr>
            <w:tcW w:w="100" w:type="dxa"/>
            <w:vAlign w:val="bottom"/>
          </w:tcPr>
          <w:p>
            <w:pPr>
              <w:spacing w:after="0"/>
              <w:rPr>
                <w:sz w:val="10"/>
                <w:szCs w:val="10"/>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w w:val="91"/>
              </w:rPr>
              <w:t>43,592</w:t>
            </w:r>
          </w:p>
        </w:tc>
        <w:tc>
          <w:tcPr>
            <w:tcW w:w="140" w:type="dxa"/>
            <w:vAlign w:val="bottom"/>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53,628</w:t>
            </w:r>
          </w:p>
        </w:tc>
        <w:tc>
          <w:tcPr>
            <w:tcW w:w="80" w:type="dxa"/>
            <w:vAlign w:val="bottom"/>
          </w:tcPr>
          <w:p>
            <w:pPr>
              <w:spacing w:after="0"/>
              <w:rPr>
                <w:sz w:val="10"/>
                <w:szCs w:val="10"/>
                <w:color w:val="auto"/>
              </w:rPr>
            </w:pPr>
          </w:p>
        </w:tc>
        <w:tc>
          <w:tcPr>
            <w:tcW w:w="22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54,421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5"/>
              </w:rPr>
              <w:t>September 30,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rPr>
              <w:t>Agency RMBS</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660"/>
              <w:spacing w:after="0" w:line="133" w:lineRule="exact"/>
              <w:rPr>
                <w:sz w:val="20"/>
                <w:szCs w:val="20"/>
                <w:color w:val="auto"/>
              </w:rPr>
            </w:pPr>
            <w:r>
              <w:rPr>
                <w:rFonts w:ascii="Arial" w:cs="Arial" w:eastAsia="Arial" w:hAnsi="Arial"/>
                <w:sz w:val="10"/>
                <w:szCs w:val="10"/>
                <w:b w:val="1"/>
                <w:bCs w:val="1"/>
                <w:color w:val="auto"/>
                <w:w w:val="81"/>
              </w:rPr>
              <w:t xml:space="preserve">Non-Agency </w:t>
            </w:r>
            <w:r>
              <w:rPr>
                <w:rFonts w:ascii="Arial" w:cs="Arial" w:eastAsia="Arial" w:hAnsi="Arial"/>
                <w:sz w:val="12"/>
                <w:szCs w:val="12"/>
                <w:b w:val="1"/>
                <w:bCs w:val="1"/>
                <w:color w:val="auto"/>
                <w:w w:val="81"/>
                <w:vertAlign w:val="superscript"/>
              </w:rPr>
              <w:t>1</w:t>
            </w: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880" w:type="dxa"/>
            <w:vAlign w:val="bottom"/>
            <w:vMerge w:val="restart"/>
          </w:tcPr>
          <w:p>
            <w:pPr>
              <w:spacing w:after="0"/>
              <w:rPr>
                <w:sz w:val="20"/>
                <w:szCs w:val="20"/>
                <w:color w:val="auto"/>
              </w:rPr>
            </w:pPr>
            <w:r>
              <w:rPr>
                <w:rFonts w:ascii="Arial" w:cs="Arial" w:eastAsia="Arial" w:hAnsi="Arial"/>
                <w:sz w:val="10"/>
                <w:szCs w:val="10"/>
                <w:b w:val="1"/>
                <w:bCs w:val="1"/>
                <w:color w:val="auto"/>
              </w:rPr>
              <w:t>Investment Securities</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restart"/>
          </w:tcPr>
          <w:p>
            <w:pPr>
              <w:jc w:val="right"/>
              <w:ind w:right="198"/>
              <w:spacing w:after="0"/>
              <w:rPr>
                <w:sz w:val="20"/>
                <w:szCs w:val="20"/>
                <w:color w:val="auto"/>
              </w:rPr>
            </w:pPr>
            <w:r>
              <w:rPr>
                <w:rFonts w:ascii="Arial" w:cs="Arial" w:eastAsia="Arial" w:hAnsi="Arial"/>
                <w:sz w:val="10"/>
                <w:szCs w:val="10"/>
                <w:b w:val="1"/>
                <w:bCs w:val="1"/>
                <w:color w:val="auto"/>
              </w:rPr>
              <w:t>Fannie Mae</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jc w:val="right"/>
              <w:ind w:right="176"/>
              <w:spacing w:after="0"/>
              <w:rPr>
                <w:sz w:val="20"/>
                <w:szCs w:val="20"/>
                <w:color w:val="auto"/>
              </w:rPr>
            </w:pPr>
            <w:r>
              <w:rPr>
                <w:rFonts w:ascii="Arial" w:cs="Arial" w:eastAsia="Arial" w:hAnsi="Arial"/>
                <w:sz w:val="10"/>
                <w:szCs w:val="10"/>
                <w:b w:val="1"/>
                <w:bCs w:val="1"/>
                <w:color w:val="auto"/>
              </w:rPr>
              <w:t>Freddie Mac</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jc w:val="right"/>
              <w:ind w:right="296"/>
              <w:spacing w:after="0" w:line="79" w:lineRule="exact"/>
              <w:rPr>
                <w:sz w:val="20"/>
                <w:szCs w:val="20"/>
                <w:color w:val="auto"/>
              </w:rPr>
            </w:pPr>
            <w:r>
              <w:rPr>
                <w:rFonts w:ascii="Arial" w:cs="Arial" w:eastAsia="Arial" w:hAnsi="Arial"/>
                <w:sz w:val="8"/>
                <w:szCs w:val="8"/>
                <w:b w:val="1"/>
                <w:bCs w:val="1"/>
                <w:color w:val="auto"/>
              </w:rPr>
              <w:t>Ginnie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restart"/>
          </w:tcPr>
          <w:p>
            <w:pPr>
              <w:jc w:val="right"/>
              <w:ind w:right="297"/>
              <w:spacing w:after="0"/>
              <w:rPr>
                <w:sz w:val="20"/>
                <w:szCs w:val="20"/>
                <w:color w:val="auto"/>
              </w:rPr>
            </w:pPr>
            <w:r>
              <w:rPr>
                <w:rFonts w:ascii="Arial" w:cs="Arial" w:eastAsia="Arial" w:hAnsi="Arial"/>
                <w:sz w:val="10"/>
                <w:szCs w:val="10"/>
                <w:b w:val="1"/>
                <w:bCs w:val="1"/>
                <w:color w:val="auto"/>
              </w:rPr>
              <w:t>RMBS</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CMBS</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0"/>
                <w:szCs w:val="10"/>
                <w:b w:val="1"/>
                <w:bCs w:val="1"/>
                <w:color w:val="auto"/>
              </w:rPr>
              <w:t>CRT</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8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Mae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980" w:type="dxa"/>
            <w:vAlign w:val="bottom"/>
            <w:gridSpan w:val="2"/>
          </w:tcPr>
          <w:p>
            <w:pPr>
              <w:spacing w:after="0"/>
              <w:rPr>
                <w:sz w:val="20"/>
                <w:szCs w:val="20"/>
                <w:color w:val="auto"/>
              </w:rPr>
            </w:pPr>
            <w:r>
              <w:rPr>
                <w:rFonts w:ascii="Arial" w:cs="Arial" w:eastAsia="Arial" w:hAnsi="Arial"/>
                <w:sz w:val="8"/>
                <w:szCs w:val="8"/>
                <w:color w:val="auto"/>
              </w:rPr>
              <w:t>Available-for-sale securities:</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Par value</w:t>
            </w: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5,015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860" w:type="dxa"/>
            <w:vAlign w:val="bottom"/>
            <w:gridSpan w:val="3"/>
            <w:shd w:val="clear" w:color="auto" w:fill="CCEEFF"/>
          </w:tcPr>
          <w:p>
            <w:pPr>
              <w:jc w:val="right"/>
              <w:ind w:right="76"/>
              <w:spacing w:after="0"/>
              <w:rPr>
                <w:sz w:val="20"/>
                <w:szCs w:val="20"/>
                <w:color w:val="auto"/>
              </w:rPr>
            </w:pPr>
            <w:r>
              <w:rPr>
                <w:rFonts w:ascii="Arial" w:cs="Arial" w:eastAsia="Arial" w:hAnsi="Arial"/>
                <w:sz w:val="8"/>
                <w:szCs w:val="8"/>
                <w:color w:val="auto"/>
              </w:rPr>
              <w:t>1,609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8"/>
                <w:szCs w:val="8"/>
                <w:color w:val="auto"/>
                <w:w w:val="88"/>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555"/>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6,625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980" w:type="dxa"/>
            <w:vAlign w:val="bottom"/>
            <w:gridSpan w:val="2"/>
          </w:tcPr>
          <w:p>
            <w:pPr>
              <w:ind w:left="120"/>
              <w:spacing w:after="0"/>
              <w:rPr>
                <w:sz w:val="20"/>
                <w:szCs w:val="20"/>
                <w:color w:val="auto"/>
              </w:rPr>
            </w:pPr>
            <w:r>
              <w:rPr>
                <w:rFonts w:ascii="Arial" w:cs="Arial" w:eastAsia="Arial" w:hAnsi="Arial"/>
                <w:sz w:val="8"/>
                <w:szCs w:val="8"/>
                <w:color w:val="auto"/>
              </w:rPr>
              <w:t>Unamortized discount</w:t>
            </w:r>
          </w:p>
        </w:tc>
        <w:tc>
          <w:tcPr>
            <w:tcW w:w="140" w:type="dxa"/>
            <w:vAlign w:val="bottom"/>
          </w:tcPr>
          <w:p>
            <w:pPr>
              <w:spacing w:after="0"/>
              <w:rPr>
                <w:sz w:val="9"/>
                <w:szCs w:val="9"/>
                <w:color w:val="auto"/>
              </w:rPr>
            </w:pPr>
          </w:p>
        </w:tc>
        <w:tc>
          <w:tcPr>
            <w:tcW w:w="820" w:type="dxa"/>
            <w:vAlign w:val="bottom"/>
          </w:tcPr>
          <w:p>
            <w:pPr>
              <w:jc w:val="right"/>
              <w:ind w:right="38"/>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880" w:type="dxa"/>
            <w:vAlign w:val="bottom"/>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80" w:type="dxa"/>
            <w:vAlign w:val="bottom"/>
          </w:tcPr>
          <w:p>
            <w:pPr>
              <w:jc w:val="right"/>
              <w:ind w:right="36"/>
              <w:spacing w:after="0"/>
              <w:rPr>
                <w:sz w:val="20"/>
                <w:szCs w:val="20"/>
                <w:color w:val="auto"/>
              </w:rPr>
            </w:pPr>
            <w:r>
              <w:rPr>
                <w:rFonts w:ascii="Arial" w:cs="Arial" w:eastAsia="Arial" w:hAnsi="Arial"/>
                <w:sz w:val="8"/>
                <w:szCs w:val="8"/>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Unamortized premium</w:t>
            </w:r>
          </w:p>
        </w:tc>
        <w:tc>
          <w:tcPr>
            <w:tcW w:w="1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296</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gridSpan w:val="3"/>
            <w:shd w:val="clear" w:color="auto" w:fill="CCEEFF"/>
          </w:tcPr>
          <w:p>
            <w:pPr>
              <w:jc w:val="right"/>
              <w:ind w:right="76"/>
              <w:spacing w:after="0"/>
              <w:rPr>
                <w:sz w:val="20"/>
                <w:szCs w:val="20"/>
                <w:color w:val="auto"/>
              </w:rPr>
            </w:pPr>
            <w:r>
              <w:rPr>
                <w:rFonts w:ascii="Arial" w:cs="Arial" w:eastAsia="Arial" w:hAnsi="Arial"/>
                <w:sz w:val="8"/>
                <w:szCs w:val="8"/>
                <w:color w:val="auto"/>
              </w:rPr>
              <w:t>99</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8"/>
                <w:szCs w:val="8"/>
                <w:color w:val="auto"/>
              </w:rPr>
              <w:t>395</w:t>
            </w:r>
          </w:p>
        </w:tc>
        <w:tc>
          <w:tcPr>
            <w:tcW w:w="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80" w:type="dxa"/>
            <w:vAlign w:val="bottom"/>
            <w:gridSpan w:val="2"/>
          </w:tcPr>
          <w:p>
            <w:pPr>
              <w:ind w:left="120"/>
              <w:spacing w:after="0"/>
              <w:rPr>
                <w:sz w:val="20"/>
                <w:szCs w:val="20"/>
                <w:color w:val="auto"/>
              </w:rPr>
            </w:pPr>
            <w:r>
              <w:rPr>
                <w:rFonts w:ascii="Arial" w:cs="Arial" w:eastAsia="Arial" w:hAnsi="Arial"/>
                <w:sz w:val="8"/>
                <w:szCs w:val="8"/>
                <w:color w:val="auto"/>
              </w:rPr>
              <w:t>Amortized cost</w:t>
            </w:r>
          </w:p>
        </w:tc>
        <w:tc>
          <w:tcPr>
            <w:tcW w:w="140" w:type="dxa"/>
            <w:vAlign w:val="bottom"/>
          </w:tcPr>
          <w:p>
            <w:pPr>
              <w:spacing w:after="0"/>
              <w:rPr>
                <w:sz w:val="8"/>
                <w:szCs w:val="8"/>
                <w:color w:val="auto"/>
              </w:rPr>
            </w:pP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5,310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tcPr>
          <w:p>
            <w:pPr>
              <w:jc w:val="right"/>
              <w:ind w:right="76"/>
              <w:spacing w:after="0"/>
              <w:rPr>
                <w:sz w:val="20"/>
                <w:szCs w:val="20"/>
                <w:color w:val="auto"/>
              </w:rPr>
            </w:pPr>
            <w:r>
              <w:rPr>
                <w:rFonts w:ascii="Arial" w:cs="Arial" w:eastAsia="Arial" w:hAnsi="Arial"/>
                <w:sz w:val="8"/>
                <w:szCs w:val="8"/>
                <w:color w:val="auto"/>
              </w:rPr>
              <w:t>1,708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right"/>
              <w:ind w:right="56"/>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880" w:type="dxa"/>
            <w:vAlign w:val="bottom"/>
          </w:tcPr>
          <w:p>
            <w:pPr>
              <w:jc w:val="right"/>
              <w:ind w:right="56"/>
              <w:spacing w:after="0"/>
              <w:rPr>
                <w:sz w:val="20"/>
                <w:szCs w:val="20"/>
                <w:color w:val="auto"/>
              </w:rPr>
            </w:pPr>
            <w:r>
              <w:rPr>
                <w:rFonts w:ascii="Arial" w:cs="Arial" w:eastAsia="Arial" w:hAnsi="Arial"/>
                <w:sz w:val="8"/>
                <w:szCs w:val="8"/>
                <w:color w:val="auto"/>
              </w:rPr>
              <w:t>7,019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Gross unrealized gains</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76"/>
              <w:spacing w:after="0"/>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980" w:type="dxa"/>
            <w:vAlign w:val="bottom"/>
            <w:tcBorders>
              <w:bottom w:val="single" w:sz="8" w:color="CCEEFF"/>
            </w:tcBorders>
            <w:gridSpan w:val="2"/>
          </w:tcPr>
          <w:p>
            <w:pPr>
              <w:ind w:left="120"/>
              <w:spacing w:after="0"/>
              <w:rPr>
                <w:sz w:val="20"/>
                <w:szCs w:val="20"/>
                <w:color w:val="auto"/>
              </w:rPr>
            </w:pPr>
            <w:r>
              <w:rPr>
                <w:rFonts w:ascii="Arial" w:cs="Arial" w:eastAsia="Arial" w:hAnsi="Arial"/>
                <w:sz w:val="8"/>
                <w:szCs w:val="8"/>
                <w:color w:val="auto"/>
              </w:rPr>
              <w:t>Gross unrealized losses</w:t>
            </w: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(606)</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8"/>
                <w:szCs w:val="8"/>
                <w:color w:val="auto"/>
              </w:rPr>
              <w:t>(202)</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8"/>
                <w:szCs w:val="8"/>
                <w:color w:val="auto"/>
              </w:rPr>
              <w:t>(808)</w:t>
            </w: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980" w:type="dxa"/>
            <w:vAlign w:val="bottom"/>
            <w:gridSpan w:val="2"/>
            <w:shd w:val="clear" w:color="auto" w:fill="CCEEFF"/>
          </w:tcPr>
          <w:p>
            <w:pPr>
              <w:spacing w:after="0"/>
              <w:rPr>
                <w:sz w:val="20"/>
                <w:szCs w:val="20"/>
                <w:color w:val="auto"/>
              </w:rPr>
            </w:pPr>
            <w:r>
              <w:rPr>
                <w:rFonts w:ascii="Arial" w:cs="Arial" w:eastAsia="Arial" w:hAnsi="Arial"/>
                <w:sz w:val="8"/>
                <w:szCs w:val="8"/>
                <w:color w:val="auto"/>
              </w:rPr>
              <w:t>Total available-for-sale securities, at fair value</w:t>
            </w: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4,704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76"/>
              <w:spacing w:after="0"/>
              <w:rPr>
                <w:sz w:val="20"/>
                <w:szCs w:val="20"/>
                <w:color w:val="auto"/>
              </w:rPr>
            </w:pPr>
            <w:r>
              <w:rPr>
                <w:rFonts w:ascii="Arial" w:cs="Arial" w:eastAsia="Arial" w:hAnsi="Arial"/>
                <w:sz w:val="8"/>
                <w:szCs w:val="8"/>
                <w:color w:val="auto"/>
              </w:rPr>
              <w:t>1,507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6,212</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980" w:type="dxa"/>
            <w:vAlign w:val="bottom"/>
            <w:gridSpan w:val="2"/>
          </w:tcPr>
          <w:p>
            <w:pPr>
              <w:spacing w:after="0" w:line="85" w:lineRule="exact"/>
              <w:rPr>
                <w:sz w:val="20"/>
                <w:szCs w:val="20"/>
                <w:color w:val="auto"/>
              </w:rPr>
            </w:pPr>
            <w:r>
              <w:rPr>
                <w:rFonts w:ascii="Arial" w:cs="Arial" w:eastAsia="Arial" w:hAnsi="Arial"/>
                <w:sz w:val="8"/>
                <w:szCs w:val="8"/>
                <w:color w:val="auto"/>
              </w:rPr>
              <w:t>Securities remeasured at fair value through earnings:</w:t>
            </w: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Par value</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27,731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76"/>
              <w:spacing w:after="0"/>
              <w:rPr>
                <w:sz w:val="20"/>
                <w:szCs w:val="20"/>
                <w:color w:val="auto"/>
              </w:rPr>
            </w:pPr>
            <w:r>
              <w:rPr>
                <w:rFonts w:ascii="Arial" w:cs="Arial" w:eastAsia="Arial" w:hAnsi="Arial"/>
                <w:sz w:val="8"/>
                <w:szCs w:val="8"/>
                <w:color w:val="auto"/>
              </w:rPr>
              <w:t>11,474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263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657</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8"/>
                <w:szCs w:val="8"/>
                <w:color w:val="auto"/>
              </w:rPr>
              <w:t>894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41,021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980" w:type="dxa"/>
            <w:vAlign w:val="bottom"/>
            <w:gridSpan w:val="2"/>
          </w:tcPr>
          <w:p>
            <w:pPr>
              <w:ind w:left="120"/>
              <w:spacing w:after="0"/>
              <w:rPr>
                <w:sz w:val="20"/>
                <w:szCs w:val="20"/>
                <w:color w:val="auto"/>
              </w:rPr>
            </w:pPr>
            <w:r>
              <w:rPr>
                <w:rFonts w:ascii="Arial" w:cs="Arial" w:eastAsia="Arial" w:hAnsi="Arial"/>
                <w:sz w:val="8"/>
                <w:szCs w:val="8"/>
                <w:color w:val="auto"/>
              </w:rPr>
              <w:t>Unamortized discount</w:t>
            </w:r>
          </w:p>
        </w:tc>
        <w:tc>
          <w:tcPr>
            <w:tcW w:w="140" w:type="dxa"/>
            <w:vAlign w:val="bottom"/>
          </w:tcPr>
          <w:p>
            <w:pPr>
              <w:spacing w:after="0"/>
              <w:rPr>
                <w:sz w:val="9"/>
                <w:szCs w:val="9"/>
                <w:color w:val="auto"/>
              </w:rPr>
            </w:pPr>
          </w:p>
        </w:tc>
        <w:tc>
          <w:tcPr>
            <w:tcW w:w="820" w:type="dxa"/>
            <w:vAlign w:val="bottom"/>
          </w:tcPr>
          <w:p>
            <w:pPr>
              <w:jc w:val="right"/>
              <w:ind w:right="38"/>
              <w:spacing w:after="0"/>
              <w:rPr>
                <w:sz w:val="20"/>
                <w:szCs w:val="20"/>
                <w:color w:val="auto"/>
              </w:rPr>
            </w:pPr>
            <w:r>
              <w:rPr>
                <w:rFonts w:ascii="Arial" w:cs="Arial" w:eastAsia="Arial" w:hAnsi="Arial"/>
                <w:sz w:val="8"/>
                <w:szCs w:val="8"/>
                <w:color w:val="auto"/>
              </w:rPr>
              <w:t>(127)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56"/>
              <w:spacing w:after="0"/>
              <w:rPr>
                <w:sz w:val="20"/>
                <w:szCs w:val="20"/>
                <w:color w:val="auto"/>
              </w:rPr>
            </w:pPr>
            <w:r>
              <w:rPr>
                <w:rFonts w:ascii="Arial" w:cs="Arial" w:eastAsia="Arial" w:hAnsi="Arial"/>
                <w:sz w:val="8"/>
                <w:szCs w:val="8"/>
                <w:color w:val="auto"/>
              </w:rPr>
              <w:t>(21)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880" w:type="dxa"/>
            <w:vAlign w:val="bottom"/>
          </w:tcPr>
          <w:p>
            <w:pPr>
              <w:ind w:left="660"/>
              <w:spacing w:after="0"/>
              <w:rPr>
                <w:sz w:val="20"/>
                <w:szCs w:val="20"/>
                <w:color w:val="auto"/>
              </w:rPr>
            </w:pPr>
            <w:r>
              <w:rPr>
                <w:rFonts w:ascii="Arial" w:cs="Arial" w:eastAsia="Arial" w:hAnsi="Arial"/>
                <w:sz w:val="8"/>
                <w:szCs w:val="8"/>
                <w:color w:val="auto"/>
              </w:rPr>
              <w:t>(12)</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jc w:val="right"/>
              <w:ind w:right="37"/>
              <w:spacing w:after="0"/>
              <w:rPr>
                <w:sz w:val="20"/>
                <w:szCs w:val="20"/>
                <w:color w:val="auto"/>
              </w:rPr>
            </w:pPr>
            <w:r>
              <w:rPr>
                <w:rFonts w:ascii="Arial" w:cs="Arial" w:eastAsia="Arial" w:hAnsi="Arial"/>
                <w:sz w:val="8"/>
                <w:szCs w:val="8"/>
                <w:color w:val="auto"/>
              </w:rPr>
              <w:t>(10)</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8"/>
                <w:szCs w:val="8"/>
                <w:color w:val="auto"/>
              </w:rPr>
              <w:t>(7)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jc w:val="right"/>
              <w:ind w:right="36"/>
              <w:spacing w:after="0"/>
              <w:rPr>
                <w:sz w:val="20"/>
                <w:szCs w:val="20"/>
                <w:color w:val="auto"/>
              </w:rPr>
            </w:pPr>
            <w:r>
              <w:rPr>
                <w:rFonts w:ascii="Arial" w:cs="Arial" w:eastAsia="Arial" w:hAnsi="Arial"/>
                <w:sz w:val="8"/>
                <w:szCs w:val="8"/>
                <w:color w:val="auto"/>
              </w:rPr>
              <w:t>(177)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Unamortized premium</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899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76"/>
              <w:spacing w:after="0"/>
              <w:rPr>
                <w:sz w:val="20"/>
                <w:szCs w:val="20"/>
                <w:color w:val="auto"/>
              </w:rPr>
            </w:pPr>
            <w:r>
              <w:rPr>
                <w:rFonts w:ascii="Arial" w:cs="Arial" w:eastAsia="Arial" w:hAnsi="Arial"/>
                <w:sz w:val="8"/>
                <w:szCs w:val="8"/>
                <w:color w:val="auto"/>
              </w:rPr>
              <w:t>379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4</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8"/>
                <w:szCs w:val="8"/>
                <w:color w:val="auto"/>
              </w:rPr>
              <w:t>14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1,299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80" w:type="dxa"/>
            <w:vAlign w:val="bottom"/>
            <w:gridSpan w:val="2"/>
          </w:tcPr>
          <w:p>
            <w:pPr>
              <w:ind w:left="120"/>
              <w:spacing w:after="0"/>
              <w:rPr>
                <w:sz w:val="20"/>
                <w:szCs w:val="20"/>
                <w:color w:val="auto"/>
              </w:rPr>
            </w:pPr>
            <w:r>
              <w:rPr>
                <w:rFonts w:ascii="Arial" w:cs="Arial" w:eastAsia="Arial" w:hAnsi="Arial"/>
                <w:sz w:val="8"/>
                <w:szCs w:val="8"/>
                <w:color w:val="auto"/>
              </w:rPr>
              <w:t>Amortized cost</w:t>
            </w: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58"/>
              <w:spacing w:after="0"/>
              <w:rPr>
                <w:sz w:val="20"/>
                <w:szCs w:val="20"/>
                <w:color w:val="auto"/>
              </w:rPr>
            </w:pPr>
            <w:r>
              <w:rPr>
                <w:rFonts w:ascii="Arial" w:cs="Arial" w:eastAsia="Arial" w:hAnsi="Arial"/>
                <w:sz w:val="8"/>
                <w:szCs w:val="8"/>
                <w:color w:val="auto"/>
              </w:rPr>
              <w:t>28,503</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8"/>
                <w:szCs w:val="8"/>
                <w:color w:val="auto"/>
              </w:rPr>
              <w:t>11,832</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8"/>
                <w:szCs w:val="8"/>
                <w:color w:val="auto"/>
              </w:rPr>
              <w:t>254</w:t>
            </w: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57"/>
              <w:spacing w:after="0"/>
              <w:rPr>
                <w:sz w:val="20"/>
                <w:szCs w:val="20"/>
                <w:color w:val="auto"/>
              </w:rPr>
            </w:pPr>
            <w:r>
              <w:rPr>
                <w:rFonts w:ascii="Arial" w:cs="Arial" w:eastAsia="Arial" w:hAnsi="Arial"/>
                <w:sz w:val="8"/>
                <w:szCs w:val="8"/>
                <w:color w:val="auto"/>
              </w:rPr>
              <w:t>651</w:t>
            </w: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8"/>
                <w:szCs w:val="8"/>
                <w:color w:val="auto"/>
              </w:rPr>
              <w:t>901</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8"/>
                <w:szCs w:val="8"/>
                <w:color w:val="auto"/>
              </w:rPr>
              <w:t>42,143</w:t>
            </w: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Gross unrealized gains</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8"/>
                <w:szCs w:val="8"/>
                <w:color w:val="auto"/>
              </w:rPr>
              <w:t>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980" w:type="dxa"/>
            <w:vAlign w:val="bottom"/>
            <w:gridSpan w:val="2"/>
          </w:tcPr>
          <w:p>
            <w:pPr>
              <w:ind w:left="120"/>
              <w:spacing w:after="0"/>
              <w:rPr>
                <w:sz w:val="20"/>
                <w:szCs w:val="20"/>
                <w:color w:val="auto"/>
              </w:rPr>
            </w:pPr>
            <w:r>
              <w:rPr>
                <w:rFonts w:ascii="Arial" w:cs="Arial" w:eastAsia="Arial" w:hAnsi="Arial"/>
                <w:sz w:val="8"/>
                <w:szCs w:val="8"/>
                <w:color w:val="auto"/>
              </w:rPr>
              <w:t>Gross unrealized losses</w:t>
            </w:r>
          </w:p>
        </w:tc>
        <w:tc>
          <w:tcPr>
            <w:tcW w:w="140" w:type="dxa"/>
            <w:vAlign w:val="bottom"/>
          </w:tcPr>
          <w:p>
            <w:pPr>
              <w:spacing w:after="0"/>
              <w:rPr>
                <w:sz w:val="9"/>
                <w:szCs w:val="9"/>
                <w:color w:val="auto"/>
              </w:rPr>
            </w:pPr>
          </w:p>
        </w:tc>
        <w:tc>
          <w:tcPr>
            <w:tcW w:w="820" w:type="dxa"/>
            <w:vAlign w:val="bottom"/>
          </w:tcPr>
          <w:p>
            <w:pPr>
              <w:jc w:val="right"/>
              <w:ind w:right="38"/>
              <w:spacing w:after="0"/>
              <w:rPr>
                <w:sz w:val="20"/>
                <w:szCs w:val="20"/>
                <w:color w:val="auto"/>
              </w:rPr>
            </w:pPr>
            <w:r>
              <w:rPr>
                <w:rFonts w:ascii="Arial" w:cs="Arial" w:eastAsia="Arial" w:hAnsi="Arial"/>
                <w:sz w:val="8"/>
                <w:szCs w:val="8"/>
                <w:color w:val="auto"/>
              </w:rPr>
              <w:t>(3,346)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56"/>
              <w:spacing w:after="0"/>
              <w:rPr>
                <w:sz w:val="20"/>
                <w:szCs w:val="20"/>
                <w:color w:val="auto"/>
              </w:rPr>
            </w:pPr>
            <w:r>
              <w:rPr>
                <w:rFonts w:ascii="Arial" w:cs="Arial" w:eastAsia="Arial" w:hAnsi="Arial"/>
                <w:sz w:val="8"/>
                <w:szCs w:val="8"/>
                <w:color w:val="auto"/>
              </w:rPr>
              <w:t>(1,314)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880" w:type="dxa"/>
            <w:vAlign w:val="bottom"/>
          </w:tcPr>
          <w:p>
            <w:pPr>
              <w:ind w:left="660"/>
              <w:spacing w:after="0"/>
              <w:rPr>
                <w:sz w:val="20"/>
                <w:szCs w:val="20"/>
                <w:color w:val="auto"/>
              </w:rPr>
            </w:pPr>
            <w:r>
              <w:rPr>
                <w:rFonts w:ascii="Arial" w:cs="Arial" w:eastAsia="Arial" w:hAnsi="Arial"/>
                <w:sz w:val="8"/>
                <w:szCs w:val="8"/>
                <w:color w:val="auto"/>
              </w:rPr>
              <w:t>(32)</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jc w:val="right"/>
              <w:ind w:right="37"/>
              <w:spacing w:after="0"/>
              <w:rPr>
                <w:sz w:val="20"/>
                <w:szCs w:val="20"/>
                <w:color w:val="auto"/>
              </w:rPr>
            </w:pPr>
            <w:r>
              <w:rPr>
                <w:rFonts w:ascii="Arial" w:cs="Arial" w:eastAsia="Arial" w:hAnsi="Arial"/>
                <w:sz w:val="8"/>
                <w:szCs w:val="8"/>
                <w:color w:val="auto"/>
              </w:rPr>
              <w:t>(31)</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8"/>
                <w:szCs w:val="8"/>
                <w:color w:val="auto"/>
              </w:rPr>
              <w:t>(45)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jc w:val="right"/>
              <w:ind w:right="36"/>
              <w:spacing w:after="0"/>
              <w:rPr>
                <w:sz w:val="20"/>
                <w:szCs w:val="20"/>
                <w:color w:val="auto"/>
              </w:rPr>
            </w:pPr>
            <w:r>
              <w:rPr>
                <w:rFonts w:ascii="Arial" w:cs="Arial" w:eastAsia="Arial" w:hAnsi="Arial"/>
                <w:sz w:val="8"/>
                <w:szCs w:val="8"/>
                <w:color w:val="auto"/>
              </w:rPr>
              <w:t>(4,768)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8"/>
                <w:szCs w:val="8"/>
                <w:color w:val="auto"/>
              </w:rPr>
              <w:t>Total securities remeasured at fair value through earnings</w:t>
            </w: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8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25,157</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gridSpan w:val="3"/>
            <w:shd w:val="clear" w:color="auto" w:fill="CCEEFF"/>
          </w:tcPr>
          <w:p>
            <w:pPr>
              <w:jc w:val="right"/>
              <w:ind w:right="76"/>
              <w:spacing w:after="0"/>
              <w:rPr>
                <w:sz w:val="20"/>
                <w:szCs w:val="20"/>
                <w:color w:val="auto"/>
              </w:rPr>
            </w:pPr>
            <w:r>
              <w:rPr>
                <w:rFonts w:ascii="Arial" w:cs="Arial" w:eastAsia="Arial" w:hAnsi="Arial"/>
                <w:sz w:val="8"/>
                <w:szCs w:val="8"/>
                <w:color w:val="auto"/>
              </w:rPr>
              <w:t>10,518</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8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8"/>
                <w:szCs w:val="8"/>
                <w:color w:val="auto"/>
              </w:rPr>
              <w:t>2</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8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222</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621</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8"/>
                <w:szCs w:val="8"/>
                <w:color w:val="auto"/>
              </w:rPr>
              <w:t>860</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rPr>
                <w:sz w:val="9"/>
                <w:szCs w:val="9"/>
                <w:color w:val="auto"/>
              </w:rPr>
            </w:pPr>
          </w:p>
        </w:tc>
        <w:tc>
          <w:tcPr>
            <w:tcW w:w="8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8"/>
                <w:szCs w:val="8"/>
                <w:color w:val="auto"/>
              </w:rPr>
              <w:t>37,380</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spacing w:after="0"/>
              <w:rPr>
                <w:sz w:val="20"/>
                <w:szCs w:val="20"/>
                <w:color w:val="auto"/>
              </w:rPr>
            </w:pPr>
            <w:r>
              <w:rPr>
                <w:rFonts w:ascii="Arial" w:cs="Arial" w:eastAsia="Arial" w:hAnsi="Arial"/>
                <w:sz w:val="8"/>
                <w:szCs w:val="8"/>
                <w:color w:val="auto"/>
              </w:rPr>
              <w:t>Total securities, at fair value</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29,861</w:t>
            </w:r>
          </w:p>
        </w:tc>
        <w:tc>
          <w:tcPr>
            <w:tcW w:w="100" w:type="dxa"/>
            <w:vAlign w:val="bottom"/>
          </w:tcPr>
          <w:p>
            <w:pPr>
              <w:spacing w:after="0"/>
              <w:rPr>
                <w:sz w:val="11"/>
                <w:szCs w:val="11"/>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860" w:type="dxa"/>
            <w:vAlign w:val="bottom"/>
            <w:gridSpan w:val="3"/>
          </w:tcPr>
          <w:p>
            <w:pPr>
              <w:jc w:val="right"/>
              <w:ind w:right="76"/>
              <w:spacing w:after="0"/>
              <w:rPr>
                <w:sz w:val="20"/>
                <w:szCs w:val="20"/>
                <w:color w:val="auto"/>
              </w:rPr>
            </w:pPr>
            <w:r>
              <w:rPr>
                <w:rFonts w:ascii="Arial" w:cs="Arial" w:eastAsia="Arial" w:hAnsi="Arial"/>
                <w:sz w:val="8"/>
                <w:szCs w:val="8"/>
                <w:color w:val="auto"/>
              </w:rPr>
              <w:t>12,025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56"/>
              <w:spacing w:after="0"/>
              <w:rPr>
                <w:sz w:val="20"/>
                <w:szCs w:val="20"/>
                <w:color w:val="auto"/>
              </w:rPr>
            </w:pPr>
            <w:r>
              <w:rPr>
                <w:rFonts w:ascii="Arial" w:cs="Arial" w:eastAsia="Arial" w:hAnsi="Arial"/>
                <w:sz w:val="8"/>
                <w:szCs w:val="8"/>
                <w:color w:val="auto"/>
              </w:rPr>
              <w:t>3</w:t>
            </w:r>
          </w:p>
        </w:tc>
        <w:tc>
          <w:tcPr>
            <w:tcW w:w="10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57"/>
              <w:spacing w:after="0"/>
              <w:rPr>
                <w:sz w:val="20"/>
                <w:szCs w:val="20"/>
                <w:color w:val="auto"/>
              </w:rPr>
            </w:pPr>
            <w:r>
              <w:rPr>
                <w:rFonts w:ascii="Arial" w:cs="Arial" w:eastAsia="Arial" w:hAnsi="Arial"/>
                <w:sz w:val="8"/>
                <w:szCs w:val="8"/>
                <w:color w:val="auto"/>
              </w:rPr>
              <w:t>222</w:t>
            </w:r>
          </w:p>
        </w:tc>
        <w:tc>
          <w:tcPr>
            <w:tcW w:w="3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jc w:val="right"/>
              <w:ind w:right="57"/>
              <w:spacing w:after="0"/>
              <w:rPr>
                <w:sz w:val="20"/>
                <w:szCs w:val="20"/>
                <w:color w:val="auto"/>
              </w:rPr>
            </w:pPr>
            <w:r>
              <w:rPr>
                <w:rFonts w:ascii="Arial" w:cs="Arial" w:eastAsia="Arial" w:hAnsi="Arial"/>
                <w:sz w:val="8"/>
                <w:szCs w:val="8"/>
                <w:color w:val="auto"/>
              </w:rPr>
              <w:t>621</w:t>
            </w:r>
          </w:p>
        </w:tc>
        <w:tc>
          <w:tcPr>
            <w:tcW w:w="100" w:type="dxa"/>
            <w:vAlign w:val="bottom"/>
          </w:tcPr>
          <w:p>
            <w:pPr>
              <w:spacing w:after="0"/>
              <w:rPr>
                <w:sz w:val="11"/>
                <w:szCs w:val="11"/>
                <w:color w:val="auto"/>
              </w:rPr>
            </w:pPr>
          </w:p>
        </w:tc>
        <w:tc>
          <w:tcPr>
            <w:tcW w:w="640" w:type="dxa"/>
            <w:vAlign w:val="bottom"/>
          </w:tcPr>
          <w:p>
            <w:pPr>
              <w:jc w:val="right"/>
              <w:ind w:right="555"/>
              <w:spacing w:after="0"/>
              <w:rPr>
                <w:sz w:val="20"/>
                <w:szCs w:val="20"/>
                <w:color w:val="auto"/>
              </w:rPr>
            </w:pPr>
            <w:r>
              <w:rPr>
                <w:rFonts w:ascii="Arial" w:cs="Arial" w:eastAsia="Arial" w:hAnsi="Arial"/>
                <w:sz w:val="5"/>
                <w:szCs w:val="5"/>
                <w:color w:val="auto"/>
                <w:w w:val="70"/>
              </w:rPr>
              <w:t>$</w:t>
            </w:r>
          </w:p>
        </w:tc>
        <w:tc>
          <w:tcPr>
            <w:tcW w:w="300" w:type="dxa"/>
            <w:vAlign w:val="bottom"/>
            <w:gridSpan w:val="2"/>
          </w:tcPr>
          <w:p>
            <w:pPr>
              <w:jc w:val="right"/>
              <w:ind w:right="57"/>
              <w:spacing w:after="0"/>
              <w:rPr>
                <w:sz w:val="20"/>
                <w:szCs w:val="20"/>
                <w:color w:val="auto"/>
              </w:rPr>
            </w:pPr>
            <w:r>
              <w:rPr>
                <w:rFonts w:ascii="Arial" w:cs="Arial" w:eastAsia="Arial" w:hAnsi="Arial"/>
                <w:sz w:val="8"/>
                <w:szCs w:val="8"/>
                <w:color w:val="auto"/>
              </w:rPr>
              <w:t>860</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ind w:right="56"/>
              <w:spacing w:after="0"/>
              <w:rPr>
                <w:sz w:val="20"/>
                <w:szCs w:val="20"/>
                <w:color w:val="auto"/>
              </w:rPr>
            </w:pPr>
            <w:r>
              <w:rPr>
                <w:rFonts w:ascii="Arial" w:cs="Arial" w:eastAsia="Arial" w:hAnsi="Arial"/>
                <w:sz w:val="8"/>
                <w:szCs w:val="8"/>
                <w:color w:val="auto"/>
              </w:rPr>
              <w:t>43,592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8"/>
                <w:szCs w:val="8"/>
                <w:color w:val="auto"/>
              </w:rPr>
              <w:t>Weighted average coupon as of September 30, 2022</w:t>
            </w: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3.51 %</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8"/>
                <w:szCs w:val="8"/>
                <w:color w:val="auto"/>
              </w:rPr>
              <w:t>3.63 %</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4.67 %</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3.80 %</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5.06 %</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color w:val="auto"/>
              </w:rPr>
              <w:t>6.93 %</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3.63 %</w:t>
            </w: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80" w:type="dxa"/>
            <w:vAlign w:val="bottom"/>
            <w:gridSpan w:val="2"/>
          </w:tcPr>
          <w:p>
            <w:pPr>
              <w:spacing w:after="0"/>
              <w:rPr>
                <w:sz w:val="20"/>
                <w:szCs w:val="20"/>
                <w:color w:val="auto"/>
              </w:rPr>
            </w:pPr>
            <w:r>
              <w:rPr>
                <w:rFonts w:ascii="Arial" w:cs="Arial" w:eastAsia="Arial" w:hAnsi="Arial"/>
                <w:sz w:val="8"/>
                <w:szCs w:val="8"/>
                <w:color w:val="auto"/>
              </w:rPr>
              <w:t xml:space="preserve">Weighted average yield as of September 30, 2022 </w:t>
            </w:r>
            <w:r>
              <w:rPr>
                <w:rFonts w:ascii="Arial" w:cs="Arial" w:eastAsia="Arial" w:hAnsi="Arial"/>
                <w:sz w:val="10"/>
                <w:szCs w:val="10"/>
                <w:color w:val="auto"/>
                <w:vertAlign w:val="superscript"/>
              </w:rPr>
              <w:t>2</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2.98 %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spacing w:after="0"/>
              <w:rPr>
                <w:sz w:val="20"/>
                <w:szCs w:val="20"/>
                <w:color w:val="auto"/>
              </w:rPr>
            </w:pPr>
            <w:r>
              <w:rPr>
                <w:rFonts w:ascii="Arial" w:cs="Arial" w:eastAsia="Arial" w:hAnsi="Arial"/>
                <w:sz w:val="8"/>
                <w:szCs w:val="8"/>
                <w:color w:val="auto"/>
              </w:rPr>
              <w:t>3.09 %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2.56 %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4.13 %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5.91 %</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8"/>
                <w:szCs w:val="8"/>
                <w:color w:val="auto"/>
              </w:rPr>
              <w:t>7.76 %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3.14 %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0"/>
          <w:szCs w:val="10"/>
          <w:color w:val="auto"/>
        </w:rPr>
      </w:pPr>
      <w:r>
        <w:rPr>
          <w:rFonts w:ascii="Arial" w:cs="Arial" w:eastAsia="Arial" w:hAnsi="Arial"/>
          <w:sz w:val="10"/>
          <w:szCs w:val="10"/>
          <w:color w:val="auto"/>
        </w:rPr>
        <w:t>Amount excludes mortgage credit investment fund limited partnership interest totaling approximately $27 million, as of September 30, 2022, reported in non-Agency securities on the accompanying consolidated balance sheets.</w:t>
      </w:r>
    </w:p>
    <w:p>
      <w:pPr>
        <w:ind w:left="420" w:hanging="212"/>
        <w:spacing w:after="0"/>
        <w:tabs>
          <w:tab w:leader="none" w:pos="420" w:val="left"/>
        </w:tabs>
        <w:numPr>
          <w:ilvl w:val="0"/>
          <w:numId w:val="2"/>
        </w:numPr>
        <w:rPr>
          <w:rFonts w:ascii="Arial" w:cs="Arial" w:eastAsia="Arial" w:hAnsi="Arial"/>
          <w:sz w:val="10"/>
          <w:szCs w:val="10"/>
          <w:color w:val="auto"/>
        </w:rPr>
      </w:pPr>
      <w:r>
        <w:rPr>
          <w:rFonts w:ascii="Arial" w:cs="Arial" w:eastAsia="Arial" w:hAnsi="Arial"/>
          <w:sz w:val="10"/>
          <w:szCs w:val="10"/>
          <w:color w:val="auto"/>
        </w:rPr>
        <w:t>Incorporates a weighted average future constant prepayment rate assumption of 7.0% based on forward rates as of September 30,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12" w:name="page13"/>
    <w:bookmarkEnd w:id="12"/>
    <w:tbl>
      <w:tblPr>
        <w:tblLayout w:type="fixed"/>
        <w:tblInd w:w="200" w:type="dxa"/>
        <w:tblCellMar>
          <w:top w:w="0" w:type="dxa"/>
          <w:left w:w="0" w:type="dxa"/>
          <w:bottom w:w="0" w:type="dxa"/>
          <w:right w:w="0" w:type="dxa"/>
        </w:tblCellMar>
      </w:tblPr>
      <w:tr>
        <w:trPr>
          <w:trHeight w:val="132"/>
        </w:trPr>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9"/>
              </w:rPr>
              <w:t>December 31, 2021</w:t>
            </w: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Agency RMBS</w:t>
            </w: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0"/>
                <w:szCs w:val="10"/>
                <w:b w:val="1"/>
                <w:bCs w:val="1"/>
                <w:color w:val="auto"/>
              </w:rPr>
              <w:t>Non-Agency</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Investment Securities</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tcPr>
          <w:p>
            <w:pPr>
              <w:ind w:left="140"/>
              <w:spacing w:after="0" w:line="89" w:lineRule="exact"/>
              <w:rPr>
                <w:sz w:val="20"/>
                <w:szCs w:val="20"/>
                <w:color w:val="auto"/>
              </w:rPr>
            </w:pPr>
            <w:r>
              <w:rPr>
                <w:rFonts w:ascii="Arial" w:cs="Arial" w:eastAsia="Arial" w:hAnsi="Arial"/>
                <w:sz w:val="10"/>
                <w:szCs w:val="10"/>
                <w:b w:val="1"/>
                <w:bCs w:val="1"/>
                <w:color w:val="auto"/>
              </w:rPr>
              <w:t>Fannie</w:t>
            </w:r>
          </w:p>
        </w:tc>
        <w:tc>
          <w:tcPr>
            <w:tcW w:w="120" w:type="dxa"/>
            <w:vAlign w:val="bottom"/>
          </w:tcPr>
          <w:p>
            <w:pPr>
              <w:spacing w:after="0"/>
              <w:rPr>
                <w:sz w:val="7"/>
                <w:szCs w:val="7"/>
                <w:color w:val="auto"/>
              </w:rPr>
            </w:pPr>
          </w:p>
        </w:tc>
        <w:tc>
          <w:tcPr>
            <w:tcW w:w="800" w:type="dxa"/>
            <w:vAlign w:val="bottom"/>
            <w:vMerge w:val="restart"/>
          </w:tcPr>
          <w:p>
            <w:pPr>
              <w:jc w:val="right"/>
              <w:ind w:right="157"/>
              <w:spacing w:after="0"/>
              <w:rPr>
                <w:sz w:val="20"/>
                <w:szCs w:val="20"/>
                <w:color w:val="auto"/>
              </w:rPr>
            </w:pPr>
            <w:r>
              <w:rPr>
                <w:rFonts w:ascii="Arial" w:cs="Arial" w:eastAsia="Arial" w:hAnsi="Arial"/>
                <w:sz w:val="10"/>
                <w:szCs w:val="10"/>
                <w:b w:val="1"/>
                <w:bCs w:val="1"/>
                <w:color w:val="auto"/>
                <w:w w:val="99"/>
              </w:rPr>
              <w:t>Freddie Mac</w:t>
            </w:r>
          </w:p>
        </w:tc>
        <w:tc>
          <w:tcPr>
            <w:tcW w:w="10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jc w:val="right"/>
              <w:ind w:right="297"/>
              <w:spacing w:after="0" w:line="89" w:lineRule="exact"/>
              <w:rPr>
                <w:sz w:val="20"/>
                <w:szCs w:val="20"/>
                <w:color w:val="auto"/>
              </w:rPr>
            </w:pPr>
            <w:r>
              <w:rPr>
                <w:rFonts w:ascii="Arial" w:cs="Arial" w:eastAsia="Arial" w:hAnsi="Arial"/>
                <w:sz w:val="10"/>
                <w:szCs w:val="10"/>
                <w:b w:val="1"/>
                <w:bCs w:val="1"/>
                <w:color w:val="auto"/>
              </w:rPr>
              <w:t>Ginnie</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RMBS</w:t>
            </w:r>
          </w:p>
        </w:tc>
        <w:tc>
          <w:tcPr>
            <w:tcW w:w="8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restart"/>
          </w:tcPr>
          <w:p>
            <w:pPr>
              <w:jc w:val="right"/>
              <w:ind w:right="298"/>
              <w:spacing w:after="0"/>
              <w:rPr>
                <w:sz w:val="20"/>
                <w:szCs w:val="20"/>
                <w:color w:val="auto"/>
              </w:rPr>
            </w:pPr>
            <w:r>
              <w:rPr>
                <w:rFonts w:ascii="Arial" w:cs="Arial" w:eastAsia="Arial" w:hAnsi="Arial"/>
                <w:sz w:val="10"/>
                <w:szCs w:val="10"/>
                <w:b w:val="1"/>
                <w:bCs w:val="1"/>
                <w:color w:val="auto"/>
              </w:rPr>
              <w:t>CMBS</w:t>
            </w:r>
          </w:p>
        </w:tc>
        <w:tc>
          <w:tcPr>
            <w:tcW w:w="80" w:type="dxa"/>
            <w:vAlign w:val="bottom"/>
            <w:vMerge w:val="restart"/>
          </w:tcPr>
          <w:p>
            <w:pPr>
              <w:spacing w:after="0"/>
              <w:rPr>
                <w:sz w:val="7"/>
                <w:szCs w:val="7"/>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CRT</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ind w:right="31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7"/>
        </w:trPr>
        <w:tc>
          <w:tcPr>
            <w:tcW w:w="37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Mae</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Mae</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840" w:type="dxa"/>
            <w:vAlign w:val="bottom"/>
            <w:gridSpan w:val="2"/>
          </w:tcPr>
          <w:p>
            <w:pPr>
              <w:ind w:left="20"/>
              <w:spacing w:after="0"/>
              <w:rPr>
                <w:sz w:val="20"/>
                <w:szCs w:val="20"/>
                <w:color w:val="auto"/>
              </w:rPr>
            </w:pPr>
            <w:r>
              <w:rPr>
                <w:rFonts w:ascii="Arial" w:cs="Arial" w:eastAsia="Arial" w:hAnsi="Arial"/>
                <w:sz w:val="8"/>
                <w:szCs w:val="8"/>
                <w:color w:val="auto"/>
              </w:rPr>
              <w:t>Available-for-sale securities:</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Par value</w:t>
            </w:r>
          </w:p>
        </w:tc>
        <w:tc>
          <w:tcPr>
            <w:tcW w:w="1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6,345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2,111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2</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16"/>
              <w:spacing w:after="0"/>
              <w:rPr>
                <w:sz w:val="20"/>
                <w:szCs w:val="20"/>
                <w:color w:val="auto"/>
              </w:rPr>
            </w:pPr>
            <w:r>
              <w:rPr>
                <w:rFonts w:ascii="Arial" w:cs="Arial" w:eastAsia="Arial" w:hAnsi="Arial"/>
                <w:sz w:val="8"/>
                <w:szCs w:val="8"/>
                <w:color w:val="auto"/>
                <w:w w:val="88"/>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8,458</w:t>
            </w:r>
          </w:p>
        </w:tc>
        <w:tc>
          <w:tcPr>
            <w:tcW w:w="0" w:type="dxa"/>
            <w:vAlign w:val="bottom"/>
          </w:tcPr>
          <w:p>
            <w:pPr>
              <w:spacing w:after="0"/>
              <w:rPr>
                <w:sz w:val="1"/>
                <w:szCs w:val="1"/>
                <w:color w:val="auto"/>
              </w:rPr>
            </w:pPr>
          </w:p>
        </w:tc>
      </w:tr>
      <w:tr>
        <w:trPr>
          <w:trHeight w:val="111"/>
        </w:trPr>
        <w:tc>
          <w:tcPr>
            <w:tcW w:w="3840" w:type="dxa"/>
            <w:vAlign w:val="bottom"/>
            <w:gridSpan w:val="2"/>
          </w:tcPr>
          <w:p>
            <w:pPr>
              <w:ind w:left="120"/>
              <w:spacing w:after="0"/>
              <w:rPr>
                <w:sz w:val="20"/>
                <w:szCs w:val="20"/>
                <w:color w:val="auto"/>
              </w:rPr>
            </w:pPr>
            <w:r>
              <w:rPr>
                <w:rFonts w:ascii="Arial" w:cs="Arial" w:eastAsia="Arial" w:hAnsi="Arial"/>
                <w:sz w:val="8"/>
                <w:szCs w:val="8"/>
                <w:color w:val="auto"/>
              </w:rPr>
              <w:t>Unamortized discount</w:t>
            </w:r>
          </w:p>
        </w:tc>
        <w:tc>
          <w:tcPr>
            <w:tcW w:w="180" w:type="dxa"/>
            <w:vAlign w:val="bottom"/>
          </w:tcPr>
          <w:p>
            <w:pPr>
              <w:spacing w:after="0"/>
              <w:rPr>
                <w:sz w:val="9"/>
                <w:szCs w:val="9"/>
                <w:color w:val="auto"/>
              </w:rPr>
            </w:pPr>
          </w:p>
        </w:tc>
        <w:tc>
          <w:tcPr>
            <w:tcW w:w="760" w:type="dxa"/>
            <w:vAlign w:val="bottom"/>
          </w:tcPr>
          <w:p>
            <w:pPr>
              <w:jc w:val="right"/>
              <w:ind w:right="57"/>
              <w:spacing w:after="0"/>
              <w:rPr>
                <w:sz w:val="20"/>
                <w:szCs w:val="20"/>
                <w:color w:val="auto"/>
              </w:rPr>
            </w:pPr>
            <w:r>
              <w:rPr>
                <w:rFonts w:ascii="Arial" w:cs="Arial" w:eastAsia="Arial" w:hAnsi="Arial"/>
                <w:sz w:val="8"/>
                <w:szCs w:val="8"/>
                <w:color w:val="auto"/>
              </w:rPr>
              <w:t>(3)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37"/>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9"/>
                <w:szCs w:val="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9"/>
                <w:szCs w:val="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ind w:right="38"/>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23"/>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Unamortized premium</w:t>
            </w: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299</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105</w:t>
            </w: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404</w:t>
            </w:r>
          </w:p>
        </w:tc>
        <w:tc>
          <w:tcPr>
            <w:tcW w:w="0" w:type="dxa"/>
            <w:vAlign w:val="bottom"/>
          </w:tcPr>
          <w:p>
            <w:pPr>
              <w:spacing w:after="0"/>
              <w:rPr>
                <w:sz w:val="1"/>
                <w:szCs w:val="1"/>
                <w:color w:val="auto"/>
              </w:rPr>
            </w:pPr>
          </w:p>
        </w:tc>
      </w:tr>
      <w:tr>
        <w:trPr>
          <w:trHeight w:val="100"/>
        </w:trPr>
        <w:tc>
          <w:tcPr>
            <w:tcW w:w="3840" w:type="dxa"/>
            <w:vAlign w:val="bottom"/>
            <w:gridSpan w:val="2"/>
          </w:tcPr>
          <w:p>
            <w:pPr>
              <w:ind w:left="160"/>
              <w:spacing w:after="0"/>
              <w:rPr>
                <w:sz w:val="20"/>
                <w:szCs w:val="20"/>
                <w:color w:val="auto"/>
              </w:rPr>
            </w:pPr>
            <w:r>
              <w:rPr>
                <w:rFonts w:ascii="Arial" w:cs="Arial" w:eastAsia="Arial" w:hAnsi="Arial"/>
                <w:sz w:val="8"/>
                <w:szCs w:val="8"/>
                <w:color w:val="auto"/>
              </w:rPr>
              <w:t>Amortized cost</w:t>
            </w:r>
          </w:p>
        </w:tc>
        <w:tc>
          <w:tcPr>
            <w:tcW w:w="180" w:type="dxa"/>
            <w:vAlign w:val="bottom"/>
          </w:tcPr>
          <w:p>
            <w:pPr>
              <w:spacing w:after="0"/>
              <w:rPr>
                <w:sz w:val="8"/>
                <w:szCs w:val="8"/>
                <w:color w:val="auto"/>
              </w:rPr>
            </w:pPr>
          </w:p>
        </w:tc>
        <w:tc>
          <w:tcPr>
            <w:tcW w:w="760" w:type="dxa"/>
            <w:vAlign w:val="bottom"/>
          </w:tcPr>
          <w:p>
            <w:pPr>
              <w:jc w:val="right"/>
              <w:ind w:right="77"/>
              <w:spacing w:after="0"/>
              <w:rPr>
                <w:sz w:val="20"/>
                <w:szCs w:val="20"/>
                <w:color w:val="auto"/>
              </w:rPr>
            </w:pPr>
            <w:r>
              <w:rPr>
                <w:rFonts w:ascii="Arial" w:cs="Arial" w:eastAsia="Arial" w:hAnsi="Arial"/>
                <w:sz w:val="8"/>
                <w:szCs w:val="8"/>
                <w:color w:val="auto"/>
              </w:rPr>
              <w:t>6,641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57"/>
              <w:spacing w:after="0"/>
              <w:rPr>
                <w:sz w:val="20"/>
                <w:szCs w:val="20"/>
                <w:color w:val="auto"/>
              </w:rPr>
            </w:pPr>
            <w:r>
              <w:rPr>
                <w:rFonts w:ascii="Arial" w:cs="Arial" w:eastAsia="Arial" w:hAnsi="Arial"/>
                <w:sz w:val="8"/>
                <w:szCs w:val="8"/>
                <w:color w:val="auto"/>
              </w:rPr>
              <w:t>2,215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right"/>
              <w:ind w:right="57"/>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8"/>
                <w:szCs w:val="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8"/>
                <w:szCs w:val="8"/>
                <w:color w:val="auto"/>
              </w:rPr>
            </w:pP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8,858</w:t>
            </w:r>
          </w:p>
        </w:tc>
        <w:tc>
          <w:tcPr>
            <w:tcW w:w="0" w:type="dxa"/>
            <w:vAlign w:val="bottom"/>
          </w:tcPr>
          <w:p>
            <w:pPr>
              <w:spacing w:after="0"/>
              <w:rPr>
                <w:sz w:val="1"/>
                <w:szCs w:val="1"/>
                <w:color w:val="auto"/>
              </w:rPr>
            </w:pPr>
          </w:p>
        </w:tc>
      </w:tr>
      <w:tr>
        <w:trPr>
          <w:trHeight w:val="123"/>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Gross unrealized gains</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234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67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301</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CCEEFF"/>
            </w:tcBorders>
            <w:gridSpan w:val="2"/>
          </w:tcPr>
          <w:p>
            <w:pPr>
              <w:ind w:left="120"/>
              <w:spacing w:after="0"/>
              <w:rPr>
                <w:sz w:val="20"/>
                <w:szCs w:val="20"/>
                <w:color w:val="auto"/>
              </w:rPr>
            </w:pPr>
            <w:r>
              <w:rPr>
                <w:rFonts w:ascii="Arial" w:cs="Arial" w:eastAsia="Arial" w:hAnsi="Arial"/>
                <w:sz w:val="8"/>
                <w:szCs w:val="8"/>
                <w:color w:val="auto"/>
              </w:rPr>
              <w:t>Gross unrealized losses</w:t>
            </w: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Total available-for-sale securities, at fair value</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6,875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2,282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9,159</w:t>
            </w:r>
          </w:p>
        </w:tc>
        <w:tc>
          <w:tcPr>
            <w:tcW w:w="0" w:type="dxa"/>
            <w:vAlign w:val="bottom"/>
          </w:tcPr>
          <w:p>
            <w:pPr>
              <w:spacing w:after="0"/>
              <w:rPr>
                <w:sz w:val="1"/>
                <w:szCs w:val="1"/>
                <w:color w:val="auto"/>
              </w:rPr>
            </w:pPr>
          </w:p>
        </w:tc>
      </w:tr>
      <w:tr>
        <w:trPr>
          <w:trHeight w:val="91"/>
        </w:trPr>
        <w:tc>
          <w:tcPr>
            <w:tcW w:w="3840" w:type="dxa"/>
            <w:vAlign w:val="bottom"/>
            <w:gridSpan w:val="2"/>
          </w:tcPr>
          <w:p>
            <w:pPr>
              <w:ind w:left="20"/>
              <w:spacing w:after="0" w:line="85" w:lineRule="exact"/>
              <w:rPr>
                <w:sz w:val="20"/>
                <w:szCs w:val="20"/>
                <w:color w:val="auto"/>
              </w:rPr>
            </w:pPr>
            <w:r>
              <w:rPr>
                <w:rFonts w:ascii="Arial" w:cs="Arial" w:eastAsia="Arial" w:hAnsi="Arial"/>
                <w:sz w:val="8"/>
                <w:szCs w:val="8"/>
                <w:color w:val="auto"/>
              </w:rPr>
              <w:t>Securities remeasured at fair value through earnings:</w:t>
            </w:r>
          </w:p>
        </w:tc>
        <w:tc>
          <w:tcPr>
            <w:tcW w:w="1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84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Par value</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27,952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13,680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327</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508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950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43,420</w:t>
            </w:r>
          </w:p>
        </w:tc>
        <w:tc>
          <w:tcPr>
            <w:tcW w:w="0" w:type="dxa"/>
            <w:vAlign w:val="bottom"/>
          </w:tcPr>
          <w:p>
            <w:pPr>
              <w:spacing w:after="0"/>
              <w:rPr>
                <w:sz w:val="1"/>
                <w:szCs w:val="1"/>
                <w:color w:val="auto"/>
              </w:rPr>
            </w:pPr>
          </w:p>
        </w:tc>
      </w:tr>
      <w:tr>
        <w:trPr>
          <w:trHeight w:val="111"/>
        </w:trPr>
        <w:tc>
          <w:tcPr>
            <w:tcW w:w="3840" w:type="dxa"/>
            <w:vAlign w:val="bottom"/>
            <w:gridSpan w:val="2"/>
          </w:tcPr>
          <w:p>
            <w:pPr>
              <w:ind w:left="160"/>
              <w:spacing w:after="0"/>
              <w:rPr>
                <w:sz w:val="20"/>
                <w:szCs w:val="20"/>
                <w:color w:val="auto"/>
              </w:rPr>
            </w:pPr>
            <w:r>
              <w:rPr>
                <w:rFonts w:ascii="Arial" w:cs="Arial" w:eastAsia="Arial" w:hAnsi="Arial"/>
                <w:sz w:val="8"/>
                <w:szCs w:val="8"/>
                <w:color w:val="auto"/>
              </w:rPr>
              <w:t>Unamortized discount</w:t>
            </w:r>
          </w:p>
        </w:tc>
        <w:tc>
          <w:tcPr>
            <w:tcW w:w="180" w:type="dxa"/>
            <w:vAlign w:val="bottom"/>
          </w:tcPr>
          <w:p>
            <w:pPr>
              <w:spacing w:after="0"/>
              <w:rPr>
                <w:sz w:val="9"/>
                <w:szCs w:val="9"/>
                <w:color w:val="auto"/>
              </w:rPr>
            </w:pPr>
          </w:p>
        </w:tc>
        <w:tc>
          <w:tcPr>
            <w:tcW w:w="760" w:type="dxa"/>
            <w:vAlign w:val="bottom"/>
          </w:tcPr>
          <w:p>
            <w:pPr>
              <w:jc w:val="right"/>
              <w:ind w:right="57"/>
              <w:spacing w:after="0"/>
              <w:rPr>
                <w:sz w:val="20"/>
                <w:szCs w:val="20"/>
                <w:color w:val="auto"/>
              </w:rPr>
            </w:pPr>
            <w:r>
              <w:rPr>
                <w:rFonts w:ascii="Arial" w:cs="Arial" w:eastAsia="Arial" w:hAnsi="Arial"/>
                <w:sz w:val="8"/>
                <w:szCs w:val="8"/>
                <w:color w:val="auto"/>
              </w:rPr>
              <w:t>(14)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37"/>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60" w:type="dxa"/>
            <w:vAlign w:val="bottom"/>
          </w:tcPr>
          <w:p>
            <w:pPr>
              <w:jc w:val="right"/>
              <w:ind w:right="37"/>
              <w:spacing w:after="0"/>
              <w:rPr>
                <w:sz w:val="20"/>
                <w:szCs w:val="20"/>
                <w:color w:val="auto"/>
              </w:rPr>
            </w:pPr>
            <w:r>
              <w:rPr>
                <w:rFonts w:ascii="Arial" w:cs="Arial" w:eastAsia="Arial" w:hAnsi="Arial"/>
                <w:sz w:val="8"/>
                <w:szCs w:val="8"/>
                <w:color w:val="auto"/>
              </w:rPr>
              <w:t>(6)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(6)</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jc w:val="right"/>
              <w:ind w:right="38"/>
              <w:spacing w:after="0"/>
              <w:rPr>
                <w:sz w:val="20"/>
                <w:szCs w:val="20"/>
                <w:color w:val="auto"/>
              </w:rPr>
            </w:pPr>
            <w:r>
              <w:rPr>
                <w:rFonts w:ascii="Arial" w:cs="Arial" w:eastAsia="Arial" w:hAnsi="Arial"/>
                <w:sz w:val="8"/>
                <w:szCs w:val="8"/>
                <w:color w:val="auto"/>
              </w:rPr>
              <w:t>(7)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ind w:right="38"/>
              <w:spacing w:after="0"/>
              <w:rPr>
                <w:sz w:val="20"/>
                <w:szCs w:val="20"/>
                <w:color w:val="auto"/>
              </w:rPr>
            </w:pPr>
            <w:r>
              <w:rPr>
                <w:rFonts w:ascii="Arial" w:cs="Arial" w:eastAsia="Arial" w:hAnsi="Arial"/>
                <w:sz w:val="8"/>
                <w:szCs w:val="8"/>
                <w:color w:val="auto"/>
              </w:rPr>
              <w:t>(37)</w:t>
            </w:r>
          </w:p>
        </w:tc>
        <w:tc>
          <w:tcPr>
            <w:tcW w:w="0" w:type="dxa"/>
            <w:vAlign w:val="bottom"/>
          </w:tcPr>
          <w:p>
            <w:pPr>
              <w:spacing w:after="0"/>
              <w:rPr>
                <w:sz w:val="1"/>
                <w:szCs w:val="1"/>
                <w:color w:val="auto"/>
              </w:rPr>
            </w:pPr>
          </w:p>
        </w:tc>
      </w:tr>
      <w:tr>
        <w:trPr>
          <w:trHeight w:val="123"/>
        </w:trPr>
        <w:tc>
          <w:tcPr>
            <w:tcW w:w="384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Unamortized premium</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924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444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4</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1,387</w:t>
            </w:r>
          </w:p>
        </w:tc>
        <w:tc>
          <w:tcPr>
            <w:tcW w:w="0" w:type="dxa"/>
            <w:vAlign w:val="bottom"/>
          </w:tcPr>
          <w:p>
            <w:pPr>
              <w:spacing w:after="0"/>
              <w:rPr>
                <w:sz w:val="1"/>
                <w:szCs w:val="1"/>
                <w:color w:val="auto"/>
              </w:rPr>
            </w:pPr>
          </w:p>
        </w:tc>
      </w:tr>
      <w:tr>
        <w:trPr>
          <w:trHeight w:val="100"/>
        </w:trPr>
        <w:tc>
          <w:tcPr>
            <w:tcW w:w="3840" w:type="dxa"/>
            <w:vAlign w:val="bottom"/>
            <w:gridSpan w:val="2"/>
          </w:tcPr>
          <w:p>
            <w:pPr>
              <w:ind w:left="160"/>
              <w:spacing w:after="0"/>
              <w:rPr>
                <w:sz w:val="20"/>
                <w:szCs w:val="20"/>
                <w:color w:val="auto"/>
              </w:rPr>
            </w:pPr>
            <w:r>
              <w:rPr>
                <w:rFonts w:ascii="Arial" w:cs="Arial" w:eastAsia="Arial" w:hAnsi="Arial"/>
                <w:sz w:val="8"/>
                <w:szCs w:val="8"/>
                <w:color w:val="auto"/>
              </w:rPr>
              <w:t>Amortized cost</w:t>
            </w:r>
          </w:p>
        </w:tc>
        <w:tc>
          <w:tcPr>
            <w:tcW w:w="1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8"/>
                <w:szCs w:val="8"/>
                <w:color w:val="auto"/>
              </w:rPr>
              <w:t>28,862</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8"/>
                <w:szCs w:val="8"/>
                <w:color w:val="auto"/>
              </w:rPr>
              <w:t>14,120</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57"/>
              <w:spacing w:after="0"/>
              <w:rPr>
                <w:sz w:val="20"/>
                <w:szCs w:val="20"/>
                <w:color w:val="auto"/>
              </w:rPr>
            </w:pPr>
            <w:r>
              <w:rPr>
                <w:rFonts w:ascii="Arial" w:cs="Arial" w:eastAsia="Arial" w:hAnsi="Arial"/>
                <w:sz w:val="8"/>
                <w:szCs w:val="8"/>
                <w:color w:val="auto"/>
              </w:rPr>
              <w:t>3</w:t>
            </w: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8"/>
                <w:szCs w:val="8"/>
                <w:color w:val="auto"/>
              </w:rPr>
              <w:t>325</w:t>
            </w: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505</w:t>
            </w: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58"/>
              <w:spacing w:after="0"/>
              <w:rPr>
                <w:sz w:val="20"/>
                <w:szCs w:val="20"/>
                <w:color w:val="auto"/>
              </w:rPr>
            </w:pPr>
            <w:r>
              <w:rPr>
                <w:rFonts w:ascii="Arial" w:cs="Arial" w:eastAsia="Arial" w:hAnsi="Arial"/>
                <w:sz w:val="8"/>
                <w:szCs w:val="8"/>
                <w:color w:val="auto"/>
              </w:rPr>
              <w:t>955</w:t>
            </w: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44,770</w:t>
            </w:r>
          </w:p>
        </w:tc>
        <w:tc>
          <w:tcPr>
            <w:tcW w:w="0" w:type="dxa"/>
            <w:vAlign w:val="bottom"/>
          </w:tcPr>
          <w:p>
            <w:pPr>
              <w:spacing w:after="0"/>
              <w:rPr>
                <w:sz w:val="1"/>
                <w:szCs w:val="1"/>
                <w:color w:val="auto"/>
              </w:rPr>
            </w:pPr>
          </w:p>
        </w:tc>
      </w:tr>
      <w:tr>
        <w:trPr>
          <w:trHeight w:val="123"/>
        </w:trPr>
        <w:tc>
          <w:tcPr>
            <w:tcW w:w="384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Gross unrealized gains</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517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8"/>
                <w:szCs w:val="8"/>
                <w:color w:val="auto"/>
              </w:rPr>
              <w:t>213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768</w:t>
            </w:r>
          </w:p>
        </w:tc>
        <w:tc>
          <w:tcPr>
            <w:tcW w:w="0" w:type="dxa"/>
            <w:vAlign w:val="bottom"/>
          </w:tcPr>
          <w:p>
            <w:pPr>
              <w:spacing w:after="0"/>
              <w:rPr>
                <w:sz w:val="1"/>
                <w:szCs w:val="1"/>
                <w:color w:val="auto"/>
              </w:rPr>
            </w:pPr>
          </w:p>
        </w:tc>
      </w:tr>
      <w:tr>
        <w:trPr>
          <w:trHeight w:val="111"/>
        </w:trPr>
        <w:tc>
          <w:tcPr>
            <w:tcW w:w="3840" w:type="dxa"/>
            <w:vAlign w:val="bottom"/>
            <w:gridSpan w:val="2"/>
          </w:tcPr>
          <w:p>
            <w:pPr>
              <w:ind w:left="160"/>
              <w:spacing w:after="0"/>
              <w:rPr>
                <w:sz w:val="20"/>
                <w:szCs w:val="20"/>
                <w:color w:val="auto"/>
              </w:rPr>
            </w:pPr>
            <w:r>
              <w:rPr>
                <w:rFonts w:ascii="Arial" w:cs="Arial" w:eastAsia="Arial" w:hAnsi="Arial"/>
                <w:sz w:val="8"/>
                <w:szCs w:val="8"/>
                <w:color w:val="auto"/>
              </w:rPr>
              <w:t>Gross unrealized losses</w:t>
            </w:r>
          </w:p>
        </w:tc>
        <w:tc>
          <w:tcPr>
            <w:tcW w:w="180" w:type="dxa"/>
            <w:vAlign w:val="bottom"/>
          </w:tcPr>
          <w:p>
            <w:pPr>
              <w:spacing w:after="0"/>
              <w:rPr>
                <w:sz w:val="9"/>
                <w:szCs w:val="9"/>
                <w:color w:val="auto"/>
              </w:rPr>
            </w:pPr>
          </w:p>
        </w:tc>
        <w:tc>
          <w:tcPr>
            <w:tcW w:w="760" w:type="dxa"/>
            <w:vAlign w:val="bottom"/>
          </w:tcPr>
          <w:p>
            <w:pPr>
              <w:jc w:val="right"/>
              <w:ind w:right="57"/>
              <w:spacing w:after="0"/>
              <w:rPr>
                <w:sz w:val="20"/>
                <w:szCs w:val="20"/>
                <w:color w:val="auto"/>
              </w:rPr>
            </w:pPr>
            <w:r>
              <w:rPr>
                <w:rFonts w:ascii="Arial" w:cs="Arial" w:eastAsia="Arial" w:hAnsi="Arial"/>
                <w:sz w:val="8"/>
                <w:szCs w:val="8"/>
                <w:color w:val="auto"/>
              </w:rPr>
              <w:t>(181)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37"/>
              <w:spacing w:after="0"/>
              <w:rPr>
                <w:sz w:val="20"/>
                <w:szCs w:val="20"/>
                <w:color w:val="auto"/>
              </w:rPr>
            </w:pPr>
            <w:r>
              <w:rPr>
                <w:rFonts w:ascii="Arial" w:cs="Arial" w:eastAsia="Arial" w:hAnsi="Arial"/>
                <w:sz w:val="8"/>
                <w:szCs w:val="8"/>
                <w:color w:val="auto"/>
              </w:rPr>
              <w:t>(89)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60" w:type="dxa"/>
            <w:vAlign w:val="bottom"/>
          </w:tcPr>
          <w:p>
            <w:pPr>
              <w:jc w:val="right"/>
              <w:ind w:right="37"/>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jc w:val="right"/>
              <w:ind w:right="38"/>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ind w:right="38"/>
              <w:spacing w:after="0"/>
              <w:rPr>
                <w:sz w:val="20"/>
                <w:szCs w:val="20"/>
                <w:color w:val="auto"/>
              </w:rPr>
            </w:pPr>
            <w:r>
              <w:rPr>
                <w:rFonts w:ascii="Arial" w:cs="Arial" w:eastAsia="Arial" w:hAnsi="Arial"/>
                <w:sz w:val="8"/>
                <w:szCs w:val="8"/>
                <w:color w:val="auto"/>
              </w:rPr>
              <w:t>(276)</w:t>
            </w:r>
          </w:p>
        </w:tc>
        <w:tc>
          <w:tcPr>
            <w:tcW w:w="0" w:type="dxa"/>
            <w:vAlign w:val="bottom"/>
          </w:tcPr>
          <w:p>
            <w:pPr>
              <w:spacing w:after="0"/>
              <w:rPr>
                <w:sz w:val="1"/>
                <w:szCs w:val="1"/>
                <w:color w:val="auto"/>
              </w:rPr>
            </w:pPr>
          </w:p>
        </w:tc>
      </w:tr>
      <w:tr>
        <w:trPr>
          <w:trHeight w:val="106"/>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color w:val="auto"/>
              </w:rPr>
              <w:t>Total securities remeasured at fair value through earnings</w:t>
            </w: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29,198</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14,244</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8"/>
                <w:szCs w:val="8"/>
                <w:color w:val="auto"/>
              </w:rPr>
              <w:t>3</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329</w:t>
            </w: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514</w:t>
            </w: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974</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45,262</w:t>
            </w:r>
          </w:p>
        </w:tc>
        <w:tc>
          <w:tcPr>
            <w:tcW w:w="0" w:type="dxa"/>
            <w:vAlign w:val="bottom"/>
          </w:tcPr>
          <w:p>
            <w:pPr>
              <w:spacing w:after="0"/>
              <w:rPr>
                <w:sz w:val="1"/>
                <w:szCs w:val="1"/>
                <w:color w:val="auto"/>
              </w:rPr>
            </w:pPr>
          </w:p>
        </w:tc>
      </w:tr>
      <w:tr>
        <w:trPr>
          <w:trHeight w:val="128"/>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8"/>
                <w:szCs w:val="8"/>
                <w:color w:val="auto"/>
              </w:rPr>
              <w:t>Total securities, at fair value</w:t>
            </w:r>
          </w:p>
        </w:tc>
        <w:tc>
          <w:tcPr>
            <w:tcW w:w="1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36,073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88"/>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16,526</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w w:val="88"/>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8"/>
                <w:szCs w:val="8"/>
                <w:color w:val="auto"/>
              </w:rPr>
              <w:t>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329</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w w:val="88"/>
              </w:rPr>
              <w:t>$</w:t>
            </w: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514</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516"/>
              <w:spacing w:after="0"/>
              <w:rPr>
                <w:sz w:val="20"/>
                <w:szCs w:val="20"/>
                <w:color w:val="auto"/>
              </w:rPr>
            </w:pPr>
            <w:r>
              <w:rPr>
                <w:rFonts w:ascii="Arial" w:cs="Arial" w:eastAsia="Arial" w:hAnsi="Arial"/>
                <w:sz w:val="8"/>
                <w:szCs w:val="8"/>
                <w:color w:val="auto"/>
                <w:w w:val="88"/>
              </w:rPr>
              <w:t>$</w:t>
            </w: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974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54,421</w:t>
            </w:r>
          </w:p>
        </w:tc>
        <w:tc>
          <w:tcPr>
            <w:tcW w:w="0" w:type="dxa"/>
            <w:vAlign w:val="bottom"/>
          </w:tcPr>
          <w:p>
            <w:pPr>
              <w:spacing w:after="0"/>
              <w:rPr>
                <w:sz w:val="1"/>
                <w:szCs w:val="1"/>
                <w:color w:val="auto"/>
              </w:rPr>
            </w:pPr>
          </w:p>
        </w:tc>
      </w:tr>
      <w:tr>
        <w:trPr>
          <w:trHeight w:val="11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Weighted average coupon as of December 31, 2021</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3.09 %</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2.98 %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4.69 %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3.33 %</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3.60 %</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8"/>
                <w:szCs w:val="8"/>
                <w:color w:val="auto"/>
              </w:rPr>
              <w:t>3.74 %</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3.08 %</w:t>
            </w:r>
          </w:p>
        </w:tc>
        <w:tc>
          <w:tcPr>
            <w:tcW w:w="0" w:type="dxa"/>
            <w:vAlign w:val="bottom"/>
          </w:tcPr>
          <w:p>
            <w:pPr>
              <w:spacing w:after="0"/>
              <w:rPr>
                <w:sz w:val="1"/>
                <w:szCs w:val="1"/>
                <w:color w:val="auto"/>
              </w:rPr>
            </w:pPr>
          </w:p>
        </w:tc>
      </w:tr>
      <w:tr>
        <w:trPr>
          <w:trHeight w:val="143"/>
        </w:trPr>
        <w:tc>
          <w:tcPr>
            <w:tcW w:w="3840" w:type="dxa"/>
            <w:vAlign w:val="bottom"/>
            <w:gridSpan w:val="2"/>
          </w:tcPr>
          <w:p>
            <w:pPr>
              <w:ind w:left="20"/>
              <w:spacing w:after="0"/>
              <w:rPr>
                <w:sz w:val="20"/>
                <w:szCs w:val="20"/>
                <w:color w:val="auto"/>
              </w:rPr>
            </w:pPr>
            <w:r>
              <w:rPr>
                <w:rFonts w:ascii="Arial" w:cs="Arial" w:eastAsia="Arial" w:hAnsi="Arial"/>
                <w:sz w:val="8"/>
                <w:szCs w:val="8"/>
                <w:color w:val="auto"/>
              </w:rPr>
              <w:t xml:space="preserve">Weighted average yield as of December 31, 2021 </w:t>
            </w:r>
            <w:r>
              <w:rPr>
                <w:rFonts w:ascii="Arial" w:cs="Arial" w:eastAsia="Arial" w:hAnsi="Arial"/>
                <w:sz w:val="10"/>
                <w:szCs w:val="10"/>
                <w:color w:val="auto"/>
                <w:vertAlign w:val="superscript"/>
              </w:rPr>
              <w:t>1</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2.38 %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2.29 %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2.54 %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5.68 %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4.28 %</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4.47 %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2.43 %</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Incorporates a weighted average future constant prepayment rate assumption of 10.9% based on forward rates as of December 31, 2021.</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September 30, 2022 and December 31, 2021, our investments in CRT and non-Agency securities had the following credit ratings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5"/>
              </w:rPr>
              <w:t>September 30, 2022</w:t>
            </w: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December 31, 2021</w:t>
            </w: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5"/>
        </w:trPr>
        <w:tc>
          <w:tcPr>
            <w:tcW w:w="4140" w:type="dxa"/>
            <w:vAlign w:val="bottom"/>
            <w:gridSpan w:val="2"/>
          </w:tcPr>
          <w:p>
            <w:pPr>
              <w:ind w:left="20"/>
              <w:spacing w:after="0" w:line="135" w:lineRule="exact"/>
              <w:rPr>
                <w:sz w:val="20"/>
                <w:szCs w:val="20"/>
                <w:color w:val="auto"/>
              </w:rPr>
            </w:pPr>
            <w:r>
              <w:rPr>
                <w:rFonts w:ascii="Arial" w:cs="Arial" w:eastAsia="Arial" w:hAnsi="Arial"/>
                <w:sz w:val="10"/>
                <w:szCs w:val="10"/>
                <w:b w:val="1"/>
                <w:bCs w:val="1"/>
                <w:color w:val="auto"/>
              </w:rPr>
              <w:t xml:space="preserve">CRT and Non-Agency Security Credit Ratings </w:t>
            </w:r>
            <w:r>
              <w:rPr>
                <w:rFonts w:ascii="Arial" w:cs="Arial" w:eastAsia="Arial" w:hAnsi="Arial"/>
                <w:sz w:val="12"/>
                <w:szCs w:val="12"/>
                <w:b w:val="1"/>
                <w:bCs w:val="1"/>
                <w:color w:val="auto"/>
                <w:vertAlign w:val="superscript"/>
              </w:rPr>
              <w:t>1</w:t>
            </w: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Arial" w:cs="Arial" w:eastAsia="Arial" w:hAnsi="Arial"/>
                <w:sz w:val="10"/>
                <w:szCs w:val="10"/>
                <w:b w:val="1"/>
                <w:bCs w:val="1"/>
                <w:color w:val="auto"/>
              </w:rPr>
              <w:t>CRT</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0"/>
                <w:szCs w:val="10"/>
                <w:b w:val="1"/>
                <w:bCs w:val="1"/>
                <w:color w:val="auto"/>
                <w:w w:val="92"/>
              </w:rPr>
              <w:t xml:space="preserve">RMBS </w:t>
            </w:r>
            <w:r>
              <w:rPr>
                <w:rFonts w:ascii="Arial" w:cs="Arial" w:eastAsia="Arial" w:hAnsi="Arial"/>
                <w:sz w:val="12"/>
                <w:szCs w:val="12"/>
                <w:b w:val="1"/>
                <w:bCs w:val="1"/>
                <w:color w:val="auto"/>
                <w:w w:val="92"/>
                <w:vertAlign w:val="superscript"/>
              </w:rPr>
              <w:t>2</w:t>
            </w:r>
          </w:p>
        </w:tc>
        <w:tc>
          <w:tcPr>
            <w:tcW w:w="240" w:type="dxa"/>
            <w:vAlign w:val="bottom"/>
          </w:tcPr>
          <w:p>
            <w:pPr>
              <w:spacing w:after="0"/>
              <w:rPr>
                <w:sz w:val="11"/>
                <w:szCs w:val="11"/>
                <w:color w:val="auto"/>
              </w:rPr>
            </w:pPr>
          </w:p>
        </w:tc>
        <w:tc>
          <w:tcPr>
            <w:tcW w:w="860" w:type="dxa"/>
            <w:vAlign w:val="bottom"/>
          </w:tcPr>
          <w:p>
            <w:pPr>
              <w:jc w:val="right"/>
              <w:ind w:right="372"/>
              <w:spacing w:after="0"/>
              <w:rPr>
                <w:sz w:val="20"/>
                <w:szCs w:val="20"/>
                <w:color w:val="auto"/>
              </w:rPr>
            </w:pPr>
            <w:r>
              <w:rPr>
                <w:rFonts w:ascii="Arial" w:cs="Arial" w:eastAsia="Arial" w:hAnsi="Arial"/>
                <w:sz w:val="10"/>
                <w:szCs w:val="10"/>
                <w:b w:val="1"/>
                <w:bCs w:val="1"/>
                <w:color w:val="auto"/>
              </w:rPr>
              <w:t>CMBS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Arial" w:cs="Arial" w:eastAsia="Arial" w:hAnsi="Arial"/>
                <w:sz w:val="10"/>
                <w:szCs w:val="10"/>
                <w:b w:val="1"/>
                <w:bCs w:val="1"/>
                <w:color w:val="auto"/>
              </w:rPr>
              <w:t>CRT</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RMBS</w:t>
            </w:r>
          </w:p>
        </w:tc>
        <w:tc>
          <w:tcPr>
            <w:tcW w:w="240" w:type="dxa"/>
            <w:vAlign w:val="bottom"/>
          </w:tcPr>
          <w:p>
            <w:pPr>
              <w:spacing w:after="0"/>
              <w:rPr>
                <w:sz w:val="11"/>
                <w:szCs w:val="11"/>
                <w:color w:val="auto"/>
              </w:rPr>
            </w:pPr>
          </w:p>
        </w:tc>
        <w:tc>
          <w:tcPr>
            <w:tcW w:w="860" w:type="dxa"/>
            <w:vAlign w:val="bottom"/>
          </w:tcPr>
          <w:p>
            <w:pPr>
              <w:jc w:val="right"/>
              <w:ind w:right="352"/>
              <w:spacing w:after="0"/>
              <w:rPr>
                <w:sz w:val="20"/>
                <w:szCs w:val="20"/>
                <w:color w:val="auto"/>
              </w:rPr>
            </w:pPr>
            <w:r>
              <w:rPr>
                <w:rFonts w:ascii="Arial" w:cs="Arial" w:eastAsia="Arial" w:hAnsi="Arial"/>
                <w:sz w:val="10"/>
                <w:szCs w:val="10"/>
                <w:b w:val="1"/>
                <w:bCs w:val="1"/>
                <w:color w:val="auto"/>
              </w:rPr>
              <w:t>CMBS</w:t>
            </w:r>
          </w:p>
        </w:tc>
      </w:tr>
      <w:tr>
        <w:trPr>
          <w:trHeight w:val="124"/>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AAA</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w:t>
            </w:r>
          </w:p>
        </w:tc>
      </w:tr>
      <w:tr>
        <w:trPr>
          <w:trHeight w:val="128"/>
        </w:trPr>
        <w:tc>
          <w:tcPr>
            <w:tcW w:w="4140" w:type="dxa"/>
            <w:vAlign w:val="bottom"/>
            <w:gridSpan w:val="2"/>
          </w:tcPr>
          <w:p>
            <w:pPr>
              <w:ind w:left="20"/>
              <w:spacing w:after="0"/>
              <w:rPr>
                <w:sz w:val="20"/>
                <w:szCs w:val="20"/>
                <w:color w:val="auto"/>
              </w:rPr>
            </w:pPr>
            <w:r>
              <w:rPr>
                <w:rFonts w:ascii="Arial" w:cs="Arial" w:eastAsia="Arial" w:hAnsi="Arial"/>
                <w:sz w:val="10"/>
                <w:szCs w:val="10"/>
                <w:color w:val="auto"/>
              </w:rPr>
              <w:t>AA</w:t>
            </w:r>
          </w:p>
        </w:tc>
        <w:tc>
          <w:tcPr>
            <w:tcW w:w="2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111</w:t>
            </w:r>
          </w:p>
        </w:tc>
      </w:tr>
      <w:tr>
        <w:trPr>
          <w:trHeight w:val="14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w:t>
            </w:r>
          </w:p>
        </w:tc>
      </w:tr>
      <w:tr>
        <w:trPr>
          <w:trHeight w:val="128"/>
        </w:trPr>
        <w:tc>
          <w:tcPr>
            <w:tcW w:w="4140" w:type="dxa"/>
            <w:vAlign w:val="bottom"/>
            <w:gridSpan w:val="2"/>
          </w:tcPr>
          <w:p>
            <w:pPr>
              <w:ind w:left="20"/>
              <w:spacing w:after="0"/>
              <w:rPr>
                <w:sz w:val="20"/>
                <w:szCs w:val="20"/>
                <w:color w:val="auto"/>
              </w:rPr>
            </w:pPr>
            <w:r>
              <w:rPr>
                <w:rFonts w:ascii="Arial" w:cs="Arial" w:eastAsia="Arial" w:hAnsi="Arial"/>
                <w:sz w:val="10"/>
                <w:szCs w:val="10"/>
                <w:color w:val="auto"/>
              </w:rPr>
              <w:t>BBB</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BB</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w:t>
            </w:r>
          </w:p>
        </w:tc>
      </w:tr>
      <w:tr>
        <w:trPr>
          <w:trHeight w:val="128"/>
        </w:trPr>
        <w:tc>
          <w:tcPr>
            <w:tcW w:w="4140" w:type="dxa"/>
            <w:vAlign w:val="bottom"/>
            <w:gridSpan w:val="2"/>
          </w:tcPr>
          <w:p>
            <w:pPr>
              <w:ind w:left="20"/>
              <w:spacing w:after="0"/>
              <w:rPr>
                <w:sz w:val="20"/>
                <w:szCs w:val="20"/>
                <w:color w:val="auto"/>
              </w:rPr>
            </w:pPr>
            <w:r>
              <w:rPr>
                <w:rFonts w:ascii="Arial" w:cs="Arial" w:eastAsia="Arial" w:hAnsi="Arial"/>
                <w:sz w:val="10"/>
                <w:szCs w:val="10"/>
                <w:color w:val="auto"/>
              </w:rPr>
              <w:t>B</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79</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117</w:t>
            </w:r>
          </w:p>
        </w:tc>
      </w:tr>
      <w:tr>
        <w:trPr>
          <w:trHeight w:val="13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Not Rated</w:t>
            </w: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w:t>
            </w:r>
          </w:p>
        </w:tc>
      </w:tr>
      <w:tr>
        <w:trPr>
          <w:trHeight w:val="131"/>
        </w:trPr>
        <w:tc>
          <w:tcPr>
            <w:tcW w:w="4140" w:type="dxa"/>
            <w:vAlign w:val="bottom"/>
            <w:gridSpan w:val="2"/>
          </w:tcPr>
          <w:p>
            <w:pPr>
              <w:ind w:left="20"/>
              <w:spacing w:after="0"/>
              <w:rPr>
                <w:sz w:val="20"/>
                <w:szCs w:val="20"/>
                <w:color w:val="auto"/>
              </w:rPr>
            </w:pPr>
            <w:r>
              <w:rPr>
                <w:rFonts w:ascii="Arial" w:cs="Arial" w:eastAsia="Arial" w:hAnsi="Arial"/>
                <w:sz w:val="10"/>
                <w:szCs w:val="10"/>
                <w:color w:val="auto"/>
              </w:rPr>
              <w:t>Total</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621</w:t>
            </w:r>
          </w:p>
        </w:tc>
        <w:tc>
          <w:tcPr>
            <w:tcW w:w="140" w:type="dxa"/>
            <w:vAlign w:val="bottom"/>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974</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329</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514</w:t>
            </w:r>
          </w:p>
        </w:tc>
      </w:tr>
      <w:tr>
        <w:trPr>
          <w:trHeight w:val="20"/>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Represents the lowest of Standard and Poor's ("S&amp;P"), Moody's, Fitch, DBRS, Kroll Bond Rating Agency ("KBRA") and Morningstar credit ratings, stated in terms of the S&amp;P equivalent rating as of each date.</w:t>
      </w:r>
    </w:p>
    <w:p>
      <w:pPr>
        <w:ind w:left="420" w:hanging="212"/>
        <w:spacing w:after="0" w:line="236" w:lineRule="auto"/>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RMBS excludes mortgage credit investment fund limited partnership interest totaling approximately $27 million, as of September 30, 2022, reported in non-Agency securities on the accompanying consolidated balance sheets.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CRT securities reference the performance of loans underlying Agency RMBS issued by Fannie Mae or Freddie Mac, which were subject to their underwriting standards.</w:t>
      </w:r>
    </w:p>
    <w:p>
      <w:pPr>
        <w:spacing w:after="0" w:line="114"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1"/>
          <w:szCs w:val="11"/>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2022 and December 31, 2021, the weighted average expected constant prepayment rate ("CPR") over the remaining life of our Agency and high credit quality non-Agency RMBS investment portfolio was 7.0% and 10.9%, respectively. Our estimates can differ materially for different securities and thus our individual holdings have a wide range of projected CPRs. The following table summarizes our investments as of September 30, 2022 and December 31, 2021 according to their estimated weighted average life classification (dollars in millions):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2"/>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ind w:left="480"/>
              <w:spacing w:after="0"/>
              <w:rPr>
                <w:sz w:val="20"/>
                <w:szCs w:val="20"/>
                <w:color w:val="auto"/>
              </w:rPr>
            </w:pPr>
            <w:r>
              <w:rPr>
                <w:rFonts w:ascii="Arial" w:cs="Arial" w:eastAsia="Arial" w:hAnsi="Arial"/>
                <w:sz w:val="10"/>
                <w:szCs w:val="10"/>
                <w:b w:val="1"/>
                <w:bCs w:val="1"/>
                <w:color w:val="auto"/>
              </w:rPr>
              <w:t>September 30, 2022</w:t>
            </w:r>
          </w:p>
        </w:tc>
        <w:tc>
          <w:tcPr>
            <w:tcW w:w="10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ind w:left="480"/>
              <w:spacing w:after="0"/>
              <w:rPr>
                <w:sz w:val="20"/>
                <w:szCs w:val="20"/>
                <w:color w:val="auto"/>
              </w:rPr>
            </w:pPr>
            <w:r>
              <w:rPr>
                <w:rFonts w:ascii="Arial" w:cs="Arial" w:eastAsia="Arial" w:hAnsi="Arial"/>
                <w:sz w:val="10"/>
                <w:szCs w:val="10"/>
                <w:b w:val="1"/>
                <w:bCs w:val="1"/>
                <w:color w:val="auto"/>
              </w:rPr>
              <w:t>December 31, 2021</w:t>
            </w: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80"/>
              <w:spacing w:after="0" w:line="91" w:lineRule="exact"/>
              <w:rPr>
                <w:sz w:val="20"/>
                <w:szCs w:val="20"/>
                <w:color w:val="auto"/>
              </w:rPr>
            </w:pPr>
            <w:r>
              <w:rPr>
                <w:rFonts w:ascii="Arial" w:cs="Arial" w:eastAsia="Arial" w:hAnsi="Arial"/>
                <w:sz w:val="10"/>
                <w:szCs w:val="10"/>
                <w:b w:val="1"/>
                <w:bCs w:val="1"/>
                <w:color w:val="auto"/>
                <w:w w:val="84"/>
              </w:rPr>
              <w:t>Weighted</w:t>
            </w:r>
          </w:p>
        </w:tc>
        <w:tc>
          <w:tcPr>
            <w:tcW w:w="10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4"/>
              </w:rPr>
              <w:t>Weighted</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88"/>
              </w:rPr>
              <w:t>Weighted</w:t>
            </w:r>
          </w:p>
        </w:tc>
        <w:tc>
          <w:tcPr>
            <w:tcW w:w="10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8"/>
              </w:rPr>
              <w:t>Weighted</w:t>
            </w:r>
          </w:p>
        </w:tc>
        <w:tc>
          <w:tcPr>
            <w:tcW w:w="0" w:type="dxa"/>
            <w:vAlign w:val="bottom"/>
          </w:tcPr>
          <w:p>
            <w:pPr>
              <w:spacing w:after="0"/>
              <w:rPr>
                <w:sz w:val="1"/>
                <w:szCs w:val="1"/>
                <w:color w:val="auto"/>
              </w:rPr>
            </w:pPr>
          </w:p>
        </w:tc>
      </w:tr>
      <w:tr>
        <w:trPr>
          <w:trHeight w:val="95"/>
        </w:trPr>
        <w:tc>
          <w:tcPr>
            <w:tcW w:w="28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8"/>
              </w:rPr>
              <w:t xml:space="preserve">Estimated Weighted Average Life of Investment Securities </w:t>
            </w:r>
            <w:r>
              <w:rPr>
                <w:rFonts w:ascii="Arial" w:cs="Arial" w:eastAsia="Arial" w:hAnsi="Arial"/>
                <w:sz w:val="12"/>
                <w:szCs w:val="12"/>
                <w:b w:val="1"/>
                <w:bCs w:val="1"/>
                <w:color w:val="auto"/>
                <w:w w:val="98"/>
                <w:vertAlign w:val="superscript"/>
              </w:rPr>
              <w:t>1</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89"/>
              </w:rPr>
              <w:t>Amortized</w:t>
            </w:r>
          </w:p>
        </w:tc>
        <w:tc>
          <w:tcPr>
            <w:tcW w:w="102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86"/>
              </w:rPr>
              <w:t>Average</w:t>
            </w:r>
          </w:p>
        </w:tc>
        <w:tc>
          <w:tcPr>
            <w:tcW w:w="118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86"/>
              </w:rPr>
              <w:t>Average</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89"/>
              </w:rPr>
              <w:t>Amortized</w:t>
            </w:r>
          </w:p>
        </w:tc>
        <w:tc>
          <w:tcPr>
            <w:tcW w:w="102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0"/>
              </w:rPr>
              <w:t>Average</w:t>
            </w:r>
          </w:p>
        </w:tc>
        <w:tc>
          <w:tcPr>
            <w:tcW w:w="100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0"/>
              </w:rPr>
              <w:t>Average</w:t>
            </w:r>
          </w:p>
        </w:tc>
        <w:tc>
          <w:tcPr>
            <w:tcW w:w="0" w:type="dxa"/>
            <w:vAlign w:val="bottom"/>
          </w:tcPr>
          <w:p>
            <w:pPr>
              <w:spacing w:after="0"/>
              <w:rPr>
                <w:sz w:val="1"/>
                <w:szCs w:val="1"/>
                <w:color w:val="auto"/>
              </w:rPr>
            </w:pPr>
          </w:p>
        </w:tc>
      </w:tr>
      <w:tr>
        <w:trPr>
          <w:trHeight w:val="135"/>
        </w:trPr>
        <w:tc>
          <w:tcPr>
            <w:tcW w:w="2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Cost</w:t>
            </w: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Coupon</w:t>
            </w:r>
          </w:p>
        </w:tc>
        <w:tc>
          <w:tcPr>
            <w:tcW w:w="11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Yield</w:t>
            </w:r>
          </w:p>
        </w:tc>
        <w:tc>
          <w:tcPr>
            <w:tcW w:w="14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0"/>
                <w:szCs w:val="10"/>
                <w:b w:val="1"/>
                <w:bCs w:val="1"/>
                <w:color w:val="auto"/>
              </w:rPr>
              <w:t>Fair Value</w:t>
            </w:r>
          </w:p>
        </w:tc>
        <w:tc>
          <w:tcPr>
            <w:tcW w:w="1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0"/>
              </w:rPr>
              <w:t>Cost</w:t>
            </w: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Coupon</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83"/>
              </w:rPr>
              <w:t>Yield</w:t>
            </w:r>
          </w:p>
        </w:tc>
        <w:tc>
          <w:tcPr>
            <w:tcW w:w="0" w:type="dxa"/>
            <w:vAlign w:val="bottom"/>
          </w:tcPr>
          <w:p>
            <w:pPr>
              <w:spacing w:after="0"/>
              <w:rPr>
                <w:sz w:val="1"/>
                <w:szCs w:val="1"/>
                <w:color w:val="auto"/>
              </w:rPr>
            </w:pPr>
          </w:p>
        </w:tc>
      </w:tr>
      <w:tr>
        <w:trPr>
          <w:trHeight w:val="124"/>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 3 years</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516</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4.56%</w:t>
            </w: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4.37%</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1,677</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1,642</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3.64%</w:t>
            </w:r>
          </w:p>
        </w:tc>
        <w:tc>
          <w:tcPr>
            <w:tcW w:w="1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3.69%</w:t>
            </w:r>
          </w:p>
        </w:tc>
        <w:tc>
          <w:tcPr>
            <w:tcW w:w="0" w:type="dxa"/>
            <w:vAlign w:val="bottom"/>
          </w:tcPr>
          <w:p>
            <w:pPr>
              <w:spacing w:after="0"/>
              <w:rPr>
                <w:sz w:val="1"/>
                <w:szCs w:val="1"/>
                <w:color w:val="auto"/>
              </w:rPr>
            </w:pPr>
          </w:p>
        </w:tc>
      </w:tr>
      <w:tr>
        <w:trPr>
          <w:trHeight w:val="128"/>
        </w:trPr>
        <w:tc>
          <w:tcPr>
            <w:tcW w:w="2820" w:type="dxa"/>
            <w:vAlign w:val="bottom"/>
            <w:gridSpan w:val="2"/>
          </w:tcPr>
          <w:p>
            <w:pPr>
              <w:spacing w:after="0"/>
              <w:rPr>
                <w:sz w:val="20"/>
                <w:szCs w:val="20"/>
                <w:color w:val="auto"/>
              </w:rPr>
            </w:pPr>
            <w:r>
              <w:rPr>
                <w:rFonts w:ascii="Arial" w:cs="Arial" w:eastAsia="Arial" w:hAnsi="Arial"/>
                <w:sz w:val="10"/>
                <w:szCs w:val="10"/>
                <w:color w:val="auto"/>
              </w:rPr>
              <w:t>&gt; 3 years and ≤ 5 years</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2,641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2,838</w:t>
            </w:r>
          </w:p>
        </w:tc>
        <w:tc>
          <w:tcPr>
            <w:tcW w:w="1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color w:val="auto"/>
                <w:w w:val="84"/>
              </w:rPr>
              <w:t>4.18%</w:t>
            </w: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0"/>
                <w:szCs w:val="10"/>
                <w:color w:val="auto"/>
                <w:w w:val="91"/>
              </w:rPr>
              <w:t>3.80%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11,214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10,868</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4"/>
              </w:rPr>
              <w:t>3.97%</w:t>
            </w: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w w:val="84"/>
              </w:rPr>
              <w:t>2.74%</w:t>
            </w:r>
          </w:p>
        </w:tc>
        <w:tc>
          <w:tcPr>
            <w:tcW w:w="0" w:type="dxa"/>
            <w:vAlign w:val="bottom"/>
          </w:tcPr>
          <w:p>
            <w:pPr>
              <w:spacing w:after="0"/>
              <w:rPr>
                <w:sz w:val="1"/>
                <w:szCs w:val="1"/>
                <w:color w:val="auto"/>
              </w:rPr>
            </w:pPr>
          </w:p>
        </w:tc>
      </w:tr>
      <w:tr>
        <w:trPr>
          <w:trHeight w:val="142"/>
        </w:trPr>
        <w:tc>
          <w:tcPr>
            <w:tcW w:w="2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&gt; 5 years and ≤10 years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34,456</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3.71%</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3.07%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36,936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36,490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2.87%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2.32%</w:t>
            </w:r>
          </w:p>
        </w:tc>
        <w:tc>
          <w:tcPr>
            <w:tcW w:w="0" w:type="dxa"/>
            <w:vAlign w:val="bottom"/>
          </w:tcPr>
          <w:p>
            <w:pPr>
              <w:spacing w:after="0"/>
              <w:rPr>
                <w:sz w:val="1"/>
                <w:szCs w:val="1"/>
                <w:color w:val="auto"/>
              </w:rPr>
            </w:pPr>
          </w:p>
        </w:tc>
      </w:tr>
      <w:tr>
        <w:trPr>
          <w:trHeight w:val="128"/>
        </w:trPr>
        <w:tc>
          <w:tcPr>
            <w:tcW w:w="28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&gt; 10 years</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9,915</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11,331</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3.23%</w:t>
            </w: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3.14%</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4,594</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4,628</w:t>
            </w: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2.48%</w:t>
            </w: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2.09%</w:t>
            </w:r>
          </w:p>
        </w:tc>
        <w:tc>
          <w:tcPr>
            <w:tcW w:w="0" w:type="dxa"/>
            <w:vAlign w:val="bottom"/>
          </w:tcPr>
          <w:p>
            <w:pPr>
              <w:spacing w:after="0"/>
              <w:rPr>
                <w:sz w:val="1"/>
                <w:szCs w:val="1"/>
                <w:color w:val="auto"/>
              </w:rPr>
            </w:pPr>
          </w:p>
        </w:tc>
      </w:tr>
      <w:tr>
        <w:trPr>
          <w:trHeight w:val="147"/>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43,592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49,162</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3.63%</w:t>
            </w: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3.14%</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54,421</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53,628</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3.08%</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2.43%</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w:t>
      </w:r>
    </w:p>
    <w:p>
      <w:pPr>
        <w:spacing w:after="0" w:line="31"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0"/>
          <w:szCs w:val="10"/>
          <w:color w:val="auto"/>
        </w:rPr>
      </w:pPr>
      <w:r>
        <w:rPr>
          <w:rFonts w:ascii="Arial" w:cs="Arial" w:eastAsia="Arial" w:hAnsi="Arial"/>
          <w:sz w:val="10"/>
          <w:szCs w:val="10"/>
          <w:color w:val="auto"/>
        </w:rPr>
        <w:t>Table excludes mortgage credit investment fund limited partnership interest totaling approximately $27 million, as of September 30, 2022, reported in non-Agency securities on the accompanying consolidated balance sheets.</w:t>
      </w:r>
    </w:p>
    <w:p>
      <w:pPr>
        <w:spacing w:after="0" w:line="114" w:lineRule="exact"/>
        <w:rPr>
          <w:sz w:val="20"/>
          <w:szCs w:val="20"/>
          <w:color w:val="auto"/>
        </w:rPr>
      </w:pPr>
    </w:p>
    <w:p>
      <w:pPr>
        <w:ind w:right="100" w:firstLine="324"/>
        <w:spacing w:after="0" w:line="269" w:lineRule="auto"/>
        <w:rPr>
          <w:sz w:val="20"/>
          <w:szCs w:val="20"/>
          <w:color w:val="auto"/>
        </w:rPr>
      </w:pPr>
      <w:r>
        <w:rPr>
          <w:rFonts w:ascii="Arial" w:cs="Arial" w:eastAsia="Arial" w:hAnsi="Arial"/>
          <w:sz w:val="12"/>
          <w:szCs w:val="12"/>
          <w:color w:val="auto"/>
        </w:rPr>
        <w:t>The following table presents the gross unrealized loss and fair values of securities classified as available-for-sale by length of time that such securities have been in a continuous unrealized loss position as of September 30, 2022 and December 31, 2021 (in millions):</w:t>
      </w:r>
    </w:p>
    <w:tbl>
      <w:tblPr>
        <w:tblLayout w:type="fixed"/>
        <w:tblInd w:w="0" w:type="dxa"/>
        <w:tblCellMar>
          <w:top w:w="0" w:type="dxa"/>
          <w:left w:w="0" w:type="dxa"/>
          <w:bottom w:w="0" w:type="dxa"/>
          <w:right w:w="0" w:type="dxa"/>
        </w:tblCellMar>
      </w:tblPr>
      <w:tr>
        <w:trPr>
          <w:trHeight w:val="132"/>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0"/>
                <w:szCs w:val="10"/>
                <w:b w:val="1"/>
                <w:bCs w:val="1"/>
                <w:color w:val="auto"/>
              </w:rPr>
              <w:t>Unrealized Loss Position For</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0"/>
                <w:szCs w:val="10"/>
                <w:b w:val="1"/>
                <w:bCs w:val="1"/>
                <w:color w:val="auto"/>
                <w:w w:val="86"/>
              </w:rPr>
              <w:t>Less than 12 Months</w:t>
            </w: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0"/>
                <w:szCs w:val="10"/>
                <w:b w:val="1"/>
                <w:bCs w:val="1"/>
                <w:color w:val="auto"/>
              </w:rPr>
              <w:t>12 Months or More</w:t>
            </w: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Total</w:t>
            </w: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20" w:type="dxa"/>
            <w:vAlign w:val="bottom"/>
            <w:vMerge w:val="restart"/>
          </w:tcPr>
          <w:p>
            <w:pPr>
              <w:spacing w:after="0"/>
              <w:rPr>
                <w:sz w:val="20"/>
                <w:szCs w:val="20"/>
                <w:color w:val="auto"/>
              </w:rPr>
            </w:pPr>
            <w:r>
              <w:rPr>
                <w:rFonts w:ascii="Arial" w:cs="Arial" w:eastAsia="Arial" w:hAnsi="Arial"/>
                <w:sz w:val="10"/>
                <w:szCs w:val="10"/>
                <w:b w:val="1"/>
                <w:bCs w:val="1"/>
                <w:color w:val="auto"/>
              </w:rPr>
              <w:t>Securities Classified as Available-for-Sale</w:t>
            </w:r>
          </w:p>
        </w:tc>
        <w:tc>
          <w:tcPr>
            <w:tcW w:w="100" w:type="dxa"/>
            <w:vAlign w:val="bottom"/>
            <w:vMerge w:val="restart"/>
          </w:tcPr>
          <w:p>
            <w:pPr>
              <w:spacing w:after="0"/>
              <w:rPr>
                <w:sz w:val="7"/>
                <w:szCs w:val="7"/>
                <w:color w:val="auto"/>
              </w:rPr>
            </w:pPr>
          </w:p>
        </w:tc>
        <w:tc>
          <w:tcPr>
            <w:tcW w:w="700" w:type="dxa"/>
            <w:vAlign w:val="bottom"/>
          </w:tcPr>
          <w:p>
            <w:pPr>
              <w:jc w:val="right"/>
              <w:ind w:right="12"/>
              <w:spacing w:after="0" w:line="89" w:lineRule="exact"/>
              <w:rPr>
                <w:sz w:val="20"/>
                <w:szCs w:val="20"/>
                <w:color w:val="auto"/>
              </w:rPr>
            </w:pPr>
            <w:r>
              <w:rPr>
                <w:rFonts w:ascii="Arial" w:cs="Arial" w:eastAsia="Arial" w:hAnsi="Arial"/>
                <w:sz w:val="10"/>
                <w:szCs w:val="10"/>
                <w:b w:val="1"/>
                <w:bCs w:val="1"/>
                <w:color w:val="auto"/>
              </w:rPr>
              <w:t>Fair</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right"/>
              <w:ind w:right="12"/>
              <w:spacing w:after="0" w:line="89" w:lineRule="exact"/>
              <w:rPr>
                <w:sz w:val="20"/>
                <w:szCs w:val="20"/>
                <w:color w:val="auto"/>
              </w:rPr>
            </w:pPr>
            <w:r>
              <w:rPr>
                <w:rFonts w:ascii="Arial" w:cs="Arial" w:eastAsia="Arial" w:hAnsi="Arial"/>
                <w:sz w:val="10"/>
                <w:szCs w:val="10"/>
                <w:b w:val="1"/>
                <w:bCs w:val="1"/>
                <w:color w:val="auto"/>
              </w:rPr>
              <w:t>Unrealized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rPr>
              <w:t>Fair Value</w:t>
            </w:r>
          </w:p>
        </w:tc>
        <w:tc>
          <w:tcPr>
            <w:tcW w:w="80" w:type="dxa"/>
            <w:vAlign w:val="bottom"/>
            <w:vMerge w:val="restart"/>
          </w:tcPr>
          <w:p>
            <w:pPr>
              <w:spacing w:after="0"/>
              <w:rPr>
                <w:sz w:val="7"/>
                <w:szCs w:val="7"/>
                <w:color w:val="auto"/>
              </w:rPr>
            </w:pPr>
          </w:p>
        </w:tc>
        <w:tc>
          <w:tcPr>
            <w:tcW w:w="880" w:type="dxa"/>
            <w:vAlign w:val="bottom"/>
          </w:tcPr>
          <w:p>
            <w:pPr>
              <w:jc w:val="right"/>
              <w:ind w:right="52"/>
              <w:spacing w:after="0" w:line="89" w:lineRule="exact"/>
              <w:rPr>
                <w:sz w:val="20"/>
                <w:szCs w:val="20"/>
                <w:color w:val="auto"/>
              </w:rPr>
            </w:pPr>
            <w:r>
              <w:rPr>
                <w:rFonts w:ascii="Arial" w:cs="Arial" w:eastAsia="Arial" w:hAnsi="Arial"/>
                <w:sz w:val="10"/>
                <w:szCs w:val="10"/>
                <w:b w:val="1"/>
                <w:bCs w:val="1"/>
                <w:color w:val="auto"/>
              </w:rPr>
              <w:t>Unrealized</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tcPr>
          <w:p>
            <w:pPr>
              <w:ind w:left="220"/>
              <w:spacing w:after="0" w:line="89" w:lineRule="exact"/>
              <w:rPr>
                <w:sz w:val="20"/>
                <w:szCs w:val="20"/>
                <w:color w:val="auto"/>
              </w:rPr>
            </w:pPr>
            <w:r>
              <w:rPr>
                <w:rFonts w:ascii="Arial" w:cs="Arial" w:eastAsia="Arial" w:hAnsi="Arial"/>
                <w:sz w:val="10"/>
                <w:szCs w:val="10"/>
                <w:b w:val="1"/>
                <w:bCs w:val="1"/>
                <w:color w:val="auto"/>
              </w:rPr>
              <w:t>Fair</w:t>
            </w:r>
          </w:p>
        </w:tc>
        <w:tc>
          <w:tcPr>
            <w:tcW w:w="200" w:type="dxa"/>
            <w:vAlign w:val="bottom"/>
          </w:tcPr>
          <w:p>
            <w:pPr>
              <w:spacing w:after="0"/>
              <w:rPr>
                <w:sz w:val="7"/>
                <w:szCs w:val="7"/>
                <w:color w:val="auto"/>
              </w:rPr>
            </w:pPr>
          </w:p>
        </w:tc>
        <w:tc>
          <w:tcPr>
            <w:tcW w:w="920" w:type="dxa"/>
            <w:vAlign w:val="bottom"/>
          </w:tcPr>
          <w:p>
            <w:pPr>
              <w:jc w:val="center"/>
              <w:ind w:right="152"/>
              <w:spacing w:after="0" w:line="89" w:lineRule="exact"/>
              <w:rPr>
                <w:sz w:val="20"/>
                <w:szCs w:val="20"/>
                <w:color w:val="auto"/>
              </w:rPr>
            </w:pPr>
            <w:r>
              <w:rPr>
                <w:rFonts w:ascii="Arial" w:cs="Arial" w:eastAsia="Arial" w:hAnsi="Arial"/>
                <w:sz w:val="10"/>
                <w:szCs w:val="10"/>
                <w:b w:val="1"/>
                <w:bCs w:val="1"/>
                <w:color w:val="auto"/>
                <w:w w:val="86"/>
              </w:rPr>
              <w:t>Unrealized</w:t>
            </w:r>
          </w:p>
        </w:tc>
        <w:tc>
          <w:tcPr>
            <w:tcW w:w="0" w:type="dxa"/>
            <w:vAlign w:val="bottom"/>
          </w:tcPr>
          <w:p>
            <w:pPr>
              <w:spacing w:after="0"/>
              <w:rPr>
                <w:sz w:val="1"/>
                <w:szCs w:val="1"/>
                <w:color w:val="auto"/>
              </w:rPr>
            </w:pPr>
          </w:p>
        </w:tc>
      </w:tr>
      <w:tr>
        <w:trPr>
          <w:trHeight w:val="127"/>
        </w:trPr>
        <w:tc>
          <w:tcPr>
            <w:tcW w:w="40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Value</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Loss</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Loss</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Value</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b w:val="1"/>
                <w:bCs w:val="1"/>
                <w:color w:val="auto"/>
                <w:w w:val="85"/>
              </w:rPr>
              <w:t>Loss</w:t>
            </w:r>
          </w:p>
        </w:tc>
        <w:tc>
          <w:tcPr>
            <w:tcW w:w="0" w:type="dxa"/>
            <w:vAlign w:val="bottom"/>
          </w:tcPr>
          <w:p>
            <w:pPr>
              <w:spacing w:after="0"/>
              <w:rPr>
                <w:sz w:val="1"/>
                <w:szCs w:val="1"/>
                <w:color w:val="auto"/>
              </w:rPr>
            </w:pPr>
          </w:p>
        </w:tc>
      </w:tr>
      <w:tr>
        <w:trPr>
          <w:trHeight w:val="236"/>
        </w:trPr>
        <w:tc>
          <w:tcPr>
            <w:tcW w:w="4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September 30, 2022</w:t>
            </w: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6,175</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0"/>
                <w:szCs w:val="10"/>
                <w:color w:val="auto"/>
                <w:w w:val="81"/>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(808)</w:t>
            </w:r>
          </w:p>
        </w:tc>
        <w:tc>
          <w:tcPr>
            <w:tcW w:w="0" w:type="dxa"/>
            <w:vAlign w:val="bottom"/>
          </w:tcPr>
          <w:p>
            <w:pPr>
              <w:spacing w:after="0"/>
              <w:rPr>
                <w:sz w:val="1"/>
                <w:szCs w:val="1"/>
                <w:color w:val="auto"/>
              </w:rPr>
            </w:pPr>
          </w:p>
        </w:tc>
      </w:tr>
      <w:tr>
        <w:trPr>
          <w:trHeight w:val="226"/>
        </w:trPr>
        <w:tc>
          <w:tcPr>
            <w:tcW w:w="4120" w:type="dxa"/>
            <w:vAlign w:val="bottom"/>
            <w:gridSpan w:val="2"/>
          </w:tcPr>
          <w:p>
            <w:pPr>
              <w:spacing w:after="0"/>
              <w:rPr>
                <w:sz w:val="20"/>
                <w:szCs w:val="20"/>
                <w:color w:val="auto"/>
              </w:rPr>
            </w:pPr>
            <w:r>
              <w:rPr>
                <w:rFonts w:ascii="Arial" w:cs="Arial" w:eastAsia="Arial" w:hAnsi="Arial"/>
                <w:sz w:val="10"/>
                <w:szCs w:val="10"/>
                <w:color w:val="auto"/>
              </w:rPr>
              <w:t>December 31, 2021</w:t>
            </w: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Gains and Losses on Sale of Investment Securities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following table is a summary of our net gain (loss) from the sale of investment securities for the three and nine months ended September 30, 2022 and 2021 by investment classification of accounting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5"/>
          </w:tcPr>
          <w:p>
            <w:pPr>
              <w:ind w:left="60"/>
              <w:spacing w:after="0"/>
              <w:rPr>
                <w:sz w:val="20"/>
                <w:szCs w:val="20"/>
                <w:color w:val="auto"/>
              </w:rPr>
            </w:pPr>
            <w:r>
              <w:rPr>
                <w:rFonts w:ascii="Arial" w:cs="Arial" w:eastAsia="Arial" w:hAnsi="Arial"/>
                <w:sz w:val="10"/>
                <w:szCs w:val="10"/>
                <w:b w:val="1"/>
                <w:bCs w:val="1"/>
                <w:color w:val="auto"/>
                <w:w w:val="99"/>
              </w:rPr>
              <w:t>Three Months Ended September 30,</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3"/>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0"/>
                <w:szCs w:val="10"/>
                <w:b w:val="1"/>
                <w:bCs w:val="1"/>
                <w:color w:val="auto"/>
                <w:w w:val="89"/>
              </w:rPr>
              <w:t>2022</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0"/>
                <w:szCs w:val="10"/>
                <w:b w:val="1"/>
                <w:bCs w:val="1"/>
                <w:color w:val="auto"/>
                <w:w w:val="89"/>
              </w:rPr>
              <w:t>2021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78"/>
        </w:trPr>
        <w:tc>
          <w:tcPr>
            <w:tcW w:w="5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tcPr>
          <w:p>
            <w:pPr>
              <w:jc w:val="center"/>
              <w:ind w:right="140"/>
              <w:spacing w:after="0" w:line="79" w:lineRule="exact"/>
              <w:rPr>
                <w:sz w:val="20"/>
                <w:szCs w:val="20"/>
                <w:color w:val="auto"/>
              </w:rPr>
            </w:pPr>
            <w:r>
              <w:rPr>
                <w:rFonts w:ascii="Arial" w:cs="Arial" w:eastAsia="Arial" w:hAnsi="Arial"/>
                <w:sz w:val="8"/>
                <w:szCs w:val="8"/>
                <w:b w:val="1"/>
                <w:bCs w:val="1"/>
                <w:color w:val="auto"/>
                <w:w w:val="94"/>
              </w:rPr>
              <w:t>Available-for-Sale</w:t>
            </w:r>
          </w:p>
        </w:tc>
        <w:tc>
          <w:tcPr>
            <w:tcW w:w="80" w:type="dxa"/>
            <w:vAlign w:val="bottom"/>
          </w:tcPr>
          <w:p>
            <w:pPr>
              <w:spacing w:after="0"/>
              <w:rPr>
                <w:sz w:val="6"/>
                <w:szCs w:val="6"/>
                <w:color w:val="auto"/>
              </w:rPr>
            </w:pPr>
          </w:p>
        </w:tc>
        <w:tc>
          <w:tcPr>
            <w:tcW w:w="860" w:type="dxa"/>
            <w:vAlign w:val="bottom"/>
            <w:gridSpan w:val="2"/>
          </w:tcPr>
          <w:p>
            <w:pPr>
              <w:jc w:val="center"/>
              <w:ind w:right="140"/>
              <w:spacing w:after="0" w:line="79" w:lineRule="exact"/>
              <w:rPr>
                <w:sz w:val="20"/>
                <w:szCs w:val="20"/>
                <w:color w:val="auto"/>
              </w:rPr>
            </w:pPr>
            <w:r>
              <w:rPr>
                <w:rFonts w:ascii="Arial" w:cs="Arial" w:eastAsia="Arial" w:hAnsi="Arial"/>
                <w:sz w:val="8"/>
                <w:szCs w:val="8"/>
                <w:b w:val="1"/>
                <w:bCs w:val="1"/>
                <w:color w:val="auto"/>
                <w:w w:val="96"/>
              </w:rPr>
              <w:t>Fair Value Option</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97"/>
              </w:rPr>
              <w:t>Available-for-Sale</w:t>
            </w:r>
          </w:p>
        </w:tc>
        <w:tc>
          <w:tcPr>
            <w:tcW w:w="80" w:type="dxa"/>
            <w:vAlign w:val="bottom"/>
          </w:tcPr>
          <w:p>
            <w:pPr>
              <w:spacing w:after="0"/>
              <w:rPr>
                <w:sz w:val="6"/>
                <w:szCs w:val="6"/>
                <w:color w:val="auto"/>
              </w:rPr>
            </w:pPr>
          </w:p>
        </w:tc>
        <w:tc>
          <w:tcPr>
            <w:tcW w:w="86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99"/>
              </w:rPr>
              <w:t>Fair Value Option</w:t>
            </w: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26"/>
        </w:trPr>
        <w:tc>
          <w:tcPr>
            <w:tcW w:w="5700" w:type="dxa"/>
            <w:vAlign w:val="bottom"/>
            <w:gridSpan w:val="2"/>
          </w:tcPr>
          <w:p>
            <w:pPr>
              <w:spacing w:after="0"/>
              <w:rPr>
                <w:sz w:val="20"/>
                <w:szCs w:val="20"/>
                <w:color w:val="auto"/>
              </w:rPr>
            </w:pPr>
            <w:r>
              <w:rPr>
                <w:rFonts w:ascii="Arial" w:cs="Arial" w:eastAsia="Arial" w:hAnsi="Arial"/>
                <w:sz w:val="8"/>
                <w:szCs w:val="8"/>
                <w:b w:val="1"/>
                <w:bCs w:val="1"/>
                <w:color w:val="auto"/>
              </w:rPr>
              <w:t>Investment Securities</w:t>
            </w:r>
          </w:p>
        </w:tc>
        <w:tc>
          <w:tcPr>
            <w:tcW w:w="8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0"/>
              </w:rPr>
              <w:t xml:space="preserve">Securities </w:t>
            </w:r>
            <w:r>
              <w:rPr>
                <w:rFonts w:ascii="Arial" w:cs="Arial" w:eastAsia="Arial" w:hAnsi="Arial"/>
                <w:sz w:val="10"/>
                <w:szCs w:val="10"/>
                <w:b w:val="1"/>
                <w:bCs w:val="1"/>
                <w:color w:val="auto"/>
                <w:w w:val="90"/>
                <w:vertAlign w:val="superscript"/>
              </w:rPr>
              <w:t>2</w:t>
            </w:r>
          </w:p>
        </w:tc>
        <w:tc>
          <w:tcPr>
            <w:tcW w:w="8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4"/>
              </w:rPr>
              <w:t>Securities</w:t>
            </w:r>
          </w:p>
        </w:tc>
        <w:tc>
          <w:tcPr>
            <w:tcW w:w="120" w:type="dxa"/>
            <w:vAlign w:val="bottom"/>
          </w:tcPr>
          <w:p>
            <w:pPr>
              <w:spacing w:after="0"/>
              <w:rPr>
                <w:sz w:val="10"/>
                <w:szCs w:val="10"/>
                <w:color w:val="auto"/>
              </w:rPr>
            </w:pPr>
          </w:p>
        </w:tc>
        <w:tc>
          <w:tcPr>
            <w:tcW w:w="840" w:type="dxa"/>
            <w:vAlign w:val="bottom"/>
            <w:gridSpan w:val="2"/>
          </w:tcPr>
          <w:p>
            <w:pPr>
              <w:ind w:left="240"/>
              <w:spacing w:after="0"/>
              <w:rPr>
                <w:sz w:val="20"/>
                <w:szCs w:val="20"/>
                <w:color w:val="auto"/>
              </w:rPr>
            </w:pPr>
            <w:r>
              <w:rPr>
                <w:rFonts w:ascii="Arial" w:cs="Arial" w:eastAsia="Arial" w:hAnsi="Arial"/>
                <w:sz w:val="8"/>
                <w:szCs w:val="8"/>
                <w:b w:val="1"/>
                <w:bCs w:val="1"/>
                <w:color w:val="auto"/>
              </w:rPr>
              <w:t>Total</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5"/>
              </w:rPr>
              <w:t xml:space="preserve">Securities </w:t>
            </w:r>
            <w:r>
              <w:rPr>
                <w:rFonts w:ascii="Arial" w:cs="Arial" w:eastAsia="Arial" w:hAnsi="Arial"/>
                <w:sz w:val="10"/>
                <w:szCs w:val="10"/>
                <w:b w:val="1"/>
                <w:bCs w:val="1"/>
                <w:color w:val="auto"/>
                <w:w w:val="85"/>
                <w:vertAlign w:val="superscript"/>
              </w:rPr>
              <w:t>2</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8"/>
              </w:rPr>
              <w:t>Securities</w:t>
            </w:r>
          </w:p>
        </w:tc>
        <w:tc>
          <w:tcPr>
            <w:tcW w:w="200" w:type="dxa"/>
            <w:vAlign w:val="bottom"/>
          </w:tcPr>
          <w:p>
            <w:pPr>
              <w:spacing w:after="0"/>
              <w:rPr>
                <w:sz w:val="10"/>
                <w:szCs w:val="10"/>
                <w:color w:val="auto"/>
              </w:rPr>
            </w:pPr>
          </w:p>
        </w:tc>
        <w:tc>
          <w:tcPr>
            <w:tcW w:w="680" w:type="dxa"/>
            <w:vAlign w:val="bottom"/>
          </w:tcPr>
          <w:p>
            <w:pPr>
              <w:jc w:val="right"/>
              <w:ind w:right="294"/>
              <w:spacing w:after="0"/>
              <w:rPr>
                <w:sz w:val="20"/>
                <w:szCs w:val="20"/>
                <w:color w:val="auto"/>
              </w:rPr>
            </w:pPr>
            <w:r>
              <w:rPr>
                <w:rFonts w:ascii="Arial" w:cs="Arial" w:eastAsia="Arial" w:hAnsi="Arial"/>
                <w:sz w:val="8"/>
                <w:szCs w:val="8"/>
                <w:b w:val="1"/>
                <w:bCs w:val="1"/>
                <w:color w:val="auto"/>
              </w:rPr>
              <w:t>Total</w:t>
            </w:r>
          </w:p>
        </w:tc>
      </w:tr>
      <w:tr>
        <w:trPr>
          <w:trHeight w:val="117"/>
        </w:trPr>
        <w:tc>
          <w:tcPr>
            <w:tcW w:w="5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Investment securities sold, at cost</w:t>
            </w: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(5,901)</w:t>
            </w:r>
          </w:p>
        </w:tc>
        <w:tc>
          <w:tcPr>
            <w:tcW w:w="60" w:type="dxa"/>
            <w:vAlign w:val="bottom"/>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(5,898)</w:t>
            </w: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(309)</w:t>
            </w: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(9,285)</w:t>
            </w:r>
          </w:p>
        </w:tc>
        <w:tc>
          <w:tcPr>
            <w:tcW w:w="6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(9,594)</w:t>
            </w:r>
          </w:p>
        </w:tc>
      </w:tr>
      <w:tr>
        <w:trPr>
          <w:trHeight w:val="142"/>
        </w:trPr>
        <w:tc>
          <w:tcPr>
            <w:tcW w:w="57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Proceeds from investment securities sold </w:t>
            </w:r>
            <w:r>
              <w:rPr>
                <w:rFonts w:ascii="Arial" w:cs="Arial" w:eastAsia="Arial" w:hAnsi="Arial"/>
                <w:sz w:val="12"/>
                <w:szCs w:val="12"/>
                <w:color w:val="auto"/>
                <w:vertAlign w:val="superscript"/>
              </w:rPr>
              <w:t>1</w:t>
            </w: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5,341</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5,338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rPr>
              <w:t>9,276</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9,589</w:t>
            </w:r>
          </w:p>
        </w:tc>
      </w:tr>
      <w:tr>
        <w:trPr>
          <w:trHeight w:val="140"/>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Net gain (loss) on sale of investment securities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r>
      <w:tr>
        <w:trPr>
          <w:trHeight w:val="126"/>
        </w:trPr>
        <w:tc>
          <w:tcPr>
            <w:tcW w:w="5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11300"/>
          </w:cols>
          <w:pgMar w:left="300" w:top="665" w:right="299" w:bottom="1440" w:gutter="0" w:footer="0" w:header="0"/>
        </w:sectPr>
      </w:pPr>
    </w:p>
    <w:p>
      <w:pPr>
        <w:spacing w:after="0"/>
        <w:rPr>
          <w:sz w:val="20"/>
          <w:szCs w:val="20"/>
          <w:color w:val="auto"/>
        </w:rPr>
      </w:pPr>
      <w:r>
        <w:rPr>
          <w:rFonts w:ascii="Arial" w:cs="Arial" w:eastAsia="Arial" w:hAnsi="Arial"/>
          <w:sz w:val="8"/>
          <w:szCs w:val="8"/>
          <w:color w:val="auto"/>
        </w:rPr>
        <w:t>Gross gain on sale of investment securities</w:t>
      </w:r>
    </w:p>
    <w:p>
      <w:pPr>
        <w:spacing w:after="0" w:line="40" w:lineRule="exact"/>
        <w:rPr>
          <w:sz w:val="20"/>
          <w:szCs w:val="20"/>
          <w:color w:val="auto"/>
        </w:rPr>
      </w:pPr>
    </w:p>
    <w:p>
      <w:pPr>
        <w:spacing w:after="0"/>
        <w:rPr>
          <w:sz w:val="20"/>
          <w:szCs w:val="20"/>
          <w:color w:val="auto"/>
        </w:rPr>
      </w:pPr>
      <w:r>
        <w:rPr>
          <w:rFonts w:ascii="Arial" w:cs="Arial" w:eastAsia="Arial" w:hAnsi="Arial"/>
          <w:sz w:val="8"/>
          <w:szCs w:val="8"/>
          <w:color w:val="auto"/>
        </w:rPr>
        <w:t>Gross loss on sale of investment securities</w:t>
      </w:r>
    </w:p>
    <w:p>
      <w:pPr>
        <w:spacing w:after="0" w:line="70" w:lineRule="exact"/>
        <w:rPr>
          <w:sz w:val="20"/>
          <w:szCs w:val="20"/>
          <w:color w:val="auto"/>
        </w:rPr>
      </w:pPr>
    </w:p>
    <w:p>
      <w:pPr>
        <w:spacing w:after="0"/>
        <w:rPr>
          <w:sz w:val="20"/>
          <w:szCs w:val="20"/>
          <w:color w:val="auto"/>
        </w:rPr>
      </w:pPr>
      <w:r>
        <w:rPr>
          <w:rFonts w:ascii="Arial" w:cs="Arial" w:eastAsia="Arial" w:hAnsi="Arial"/>
          <w:sz w:val="8"/>
          <w:szCs w:val="8"/>
          <w:color w:val="auto"/>
        </w:rPr>
        <w:t>Net gain (loss) on sale of investment securities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Investment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ind w:left="340"/>
              <w:spacing w:after="0"/>
              <w:rPr>
                <w:sz w:val="20"/>
                <w:szCs w:val="20"/>
                <w:color w:val="auto"/>
              </w:rPr>
            </w:pPr>
            <w:r>
              <w:rPr>
                <w:rFonts w:ascii="Arial" w:cs="Arial" w:eastAsia="Arial" w:hAnsi="Arial"/>
                <w:sz w:val="10"/>
                <w:szCs w:val="10"/>
                <w:color w:val="auto"/>
              </w:rPr>
              <w:t>—   $</w:t>
            </w: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63</w:t>
            </w:r>
          </w:p>
        </w:tc>
        <w:tc>
          <w:tcPr>
            <w:tcW w:w="60" w:type="dxa"/>
            <w:vAlign w:val="bottom"/>
          </w:tcPr>
          <w:p>
            <w:pPr>
              <w:spacing w:after="0"/>
              <w:rPr>
                <w:sz w:val="10"/>
                <w:szCs w:val="10"/>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67</w:t>
            </w:r>
          </w:p>
        </w:tc>
      </w:tr>
      <w:tr>
        <w:trPr>
          <w:trHeight w:val="140"/>
        </w:trPr>
        <w:tc>
          <w:tcPr>
            <w:tcW w:w="400" w:type="dxa"/>
            <w:vAlign w:val="bottom"/>
          </w:tcPr>
          <w:p>
            <w:pPr>
              <w:spacing w:after="0"/>
              <w:rPr>
                <w:sz w:val="12"/>
                <w:szCs w:val="12"/>
                <w:color w:val="auto"/>
              </w:rPr>
            </w:pPr>
          </w:p>
        </w:tc>
        <w:tc>
          <w:tcPr>
            <w:tcW w:w="54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(564)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(564)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(72)</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(72)</w:t>
            </w:r>
          </w:p>
        </w:tc>
      </w:tr>
      <w:tr>
        <w:trPr>
          <w:trHeight w:val="126"/>
        </w:trPr>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(560)</w:t>
            </w:r>
          </w:p>
        </w:tc>
        <w:tc>
          <w:tcPr>
            <w:tcW w:w="6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(560)</w:t>
            </w:r>
          </w:p>
        </w:tc>
        <w:tc>
          <w:tcPr>
            <w:tcW w:w="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6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-199390</wp:posOffset>
            </wp:positionV>
            <wp:extent cx="717804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3"/>
          </w:tcPr>
          <w:p>
            <w:pPr>
              <w:ind w:left="180"/>
              <w:spacing w:after="0"/>
              <w:rPr>
                <w:sz w:val="20"/>
                <w:szCs w:val="20"/>
                <w:color w:val="auto"/>
              </w:rPr>
            </w:pPr>
            <w:r>
              <w:rPr>
                <w:rFonts w:ascii="Arial" w:cs="Arial" w:eastAsia="Arial" w:hAnsi="Arial"/>
                <w:sz w:val="10"/>
                <w:szCs w:val="10"/>
                <w:b w:val="1"/>
                <w:bCs w:val="1"/>
                <w:color w:val="auto"/>
                <w:w w:val="99"/>
              </w:rPr>
              <w:t>Nine Months Ended September 30,</w:t>
            </w: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3"/>
        </w:trPr>
        <w:tc>
          <w:tcPr>
            <w:tcW w:w="9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2022</w:t>
            </w: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89"/>
              </w:rPr>
              <w:t>2021</w:t>
            </w:r>
          </w:p>
        </w:tc>
        <w:tc>
          <w:tcPr>
            <w:tcW w:w="800" w:type="dxa"/>
            <w:vAlign w:val="bottom"/>
            <w:tcBorders>
              <w:bottom w:val="single" w:sz="8" w:color="auto"/>
            </w:tcBorders>
          </w:tcPr>
          <w:p>
            <w:pPr>
              <w:spacing w:after="0"/>
              <w:rPr>
                <w:sz w:val="12"/>
                <w:szCs w:val="12"/>
                <w:color w:val="auto"/>
              </w:rPr>
            </w:pPr>
          </w:p>
        </w:tc>
      </w:tr>
      <w:tr>
        <w:trPr>
          <w:trHeight w:val="78"/>
        </w:trPr>
        <w:tc>
          <w:tcPr>
            <w:tcW w:w="90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94"/>
              </w:rPr>
              <w:t>Available-for-Sale</w:t>
            </w:r>
          </w:p>
        </w:tc>
        <w:tc>
          <w:tcPr>
            <w:tcW w:w="100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96"/>
              </w:rPr>
              <w:t>Fair Value Option</w:t>
            </w: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97"/>
              </w:rPr>
              <w:t>Available-for-Sale</w:t>
            </w:r>
          </w:p>
        </w:tc>
        <w:tc>
          <w:tcPr>
            <w:tcW w:w="1060" w:type="dxa"/>
            <w:vAlign w:val="bottom"/>
          </w:tcPr>
          <w:p>
            <w:pPr>
              <w:jc w:val="center"/>
              <w:ind w:right="76"/>
              <w:spacing w:after="0" w:line="79" w:lineRule="exact"/>
              <w:rPr>
                <w:sz w:val="20"/>
                <w:szCs w:val="20"/>
                <w:color w:val="auto"/>
              </w:rPr>
            </w:pPr>
            <w:r>
              <w:rPr>
                <w:rFonts w:ascii="Arial" w:cs="Arial" w:eastAsia="Arial" w:hAnsi="Arial"/>
                <w:sz w:val="8"/>
                <w:szCs w:val="8"/>
                <w:b w:val="1"/>
                <w:bCs w:val="1"/>
                <w:color w:val="auto"/>
                <w:w w:val="99"/>
              </w:rPr>
              <w:t>Fair Value Option</w:t>
            </w:r>
          </w:p>
        </w:tc>
        <w:tc>
          <w:tcPr>
            <w:tcW w:w="800" w:type="dxa"/>
            <w:vAlign w:val="bottom"/>
          </w:tcPr>
          <w:p>
            <w:pPr>
              <w:spacing w:after="0"/>
              <w:rPr>
                <w:sz w:val="6"/>
                <w:szCs w:val="6"/>
                <w:color w:val="auto"/>
              </w:rPr>
            </w:pPr>
          </w:p>
        </w:tc>
      </w:tr>
      <w:tr>
        <w:trPr>
          <w:trHeight w:val="126"/>
        </w:trPr>
        <w:tc>
          <w:tcPr>
            <w:tcW w:w="900" w:type="dxa"/>
            <w:vAlign w:val="bottom"/>
          </w:tcPr>
          <w:p>
            <w:pPr>
              <w:jc w:val="center"/>
              <w:spacing w:after="0"/>
              <w:rPr>
                <w:sz w:val="20"/>
                <w:szCs w:val="20"/>
                <w:color w:val="auto"/>
              </w:rPr>
            </w:pPr>
            <w:r>
              <w:rPr>
                <w:rFonts w:ascii="Arial" w:cs="Arial" w:eastAsia="Arial" w:hAnsi="Arial"/>
                <w:sz w:val="8"/>
                <w:szCs w:val="8"/>
                <w:b w:val="1"/>
                <w:bCs w:val="1"/>
                <w:color w:val="auto"/>
                <w:w w:val="90"/>
              </w:rPr>
              <w:t xml:space="preserve">Securities </w:t>
            </w:r>
            <w:r>
              <w:rPr>
                <w:rFonts w:ascii="Arial" w:cs="Arial" w:eastAsia="Arial" w:hAnsi="Arial"/>
                <w:sz w:val="10"/>
                <w:szCs w:val="10"/>
                <w:b w:val="1"/>
                <w:bCs w:val="1"/>
                <w:color w:val="auto"/>
                <w:w w:val="90"/>
                <w:vertAlign w:val="superscript"/>
              </w:rPr>
              <w:t>2</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4"/>
              </w:rPr>
              <w:t>Securities</w:t>
            </w:r>
          </w:p>
        </w:tc>
        <w:tc>
          <w:tcPr>
            <w:tcW w:w="940" w:type="dxa"/>
            <w:vAlign w:val="bottom"/>
            <w:gridSpan w:val="2"/>
          </w:tcPr>
          <w:p>
            <w:pPr>
              <w:ind w:left="340"/>
              <w:spacing w:after="0"/>
              <w:rPr>
                <w:sz w:val="20"/>
                <w:szCs w:val="20"/>
                <w:color w:val="auto"/>
              </w:rPr>
            </w:pPr>
            <w:r>
              <w:rPr>
                <w:rFonts w:ascii="Arial" w:cs="Arial" w:eastAsia="Arial" w:hAnsi="Arial"/>
                <w:sz w:val="8"/>
                <w:szCs w:val="8"/>
                <w:b w:val="1"/>
                <w:bCs w:val="1"/>
                <w:color w:val="auto"/>
              </w:rPr>
              <w:t>Total</w:t>
            </w:r>
          </w:p>
        </w:tc>
        <w:tc>
          <w:tcPr>
            <w:tcW w:w="900" w:type="dxa"/>
            <w:vAlign w:val="bottom"/>
          </w:tcPr>
          <w:p>
            <w:pPr>
              <w:jc w:val="center"/>
              <w:spacing w:after="0"/>
              <w:rPr>
                <w:sz w:val="20"/>
                <w:szCs w:val="20"/>
                <w:color w:val="auto"/>
              </w:rPr>
            </w:pPr>
            <w:r>
              <w:rPr>
                <w:rFonts w:ascii="Arial" w:cs="Arial" w:eastAsia="Arial" w:hAnsi="Arial"/>
                <w:sz w:val="8"/>
                <w:szCs w:val="8"/>
                <w:b w:val="1"/>
                <w:bCs w:val="1"/>
                <w:color w:val="auto"/>
                <w:w w:val="85"/>
              </w:rPr>
              <w:t xml:space="preserve">Securities </w:t>
            </w:r>
            <w:r>
              <w:rPr>
                <w:rFonts w:ascii="Arial" w:cs="Arial" w:eastAsia="Arial" w:hAnsi="Arial"/>
                <w:sz w:val="10"/>
                <w:szCs w:val="10"/>
                <w:b w:val="1"/>
                <w:bCs w:val="1"/>
                <w:color w:val="auto"/>
                <w:w w:val="85"/>
                <w:vertAlign w:val="superscript"/>
              </w:rPr>
              <w:t>2</w:t>
            </w:r>
          </w:p>
        </w:tc>
        <w:tc>
          <w:tcPr>
            <w:tcW w:w="1060" w:type="dxa"/>
            <w:vAlign w:val="bottom"/>
          </w:tcPr>
          <w:p>
            <w:pPr>
              <w:jc w:val="center"/>
              <w:ind w:right="76"/>
              <w:spacing w:after="0"/>
              <w:rPr>
                <w:sz w:val="20"/>
                <w:szCs w:val="20"/>
                <w:color w:val="auto"/>
              </w:rPr>
            </w:pPr>
            <w:r>
              <w:rPr>
                <w:rFonts w:ascii="Arial" w:cs="Arial" w:eastAsia="Arial" w:hAnsi="Arial"/>
                <w:sz w:val="8"/>
                <w:szCs w:val="8"/>
                <w:b w:val="1"/>
                <w:bCs w:val="1"/>
                <w:color w:val="auto"/>
                <w:w w:val="88"/>
              </w:rPr>
              <w:t>Securities</w:t>
            </w:r>
          </w:p>
        </w:tc>
        <w:tc>
          <w:tcPr>
            <w:tcW w:w="800" w:type="dxa"/>
            <w:vAlign w:val="bottom"/>
          </w:tcPr>
          <w:p>
            <w:pPr>
              <w:ind w:left="260"/>
              <w:spacing w:after="0"/>
              <w:rPr>
                <w:sz w:val="20"/>
                <w:szCs w:val="20"/>
                <w:color w:val="auto"/>
              </w:rPr>
            </w:pPr>
            <w:r>
              <w:rPr>
                <w:rFonts w:ascii="Arial" w:cs="Arial" w:eastAsia="Arial" w:hAnsi="Arial"/>
                <w:sz w:val="8"/>
                <w:szCs w:val="8"/>
                <w:b w:val="1"/>
                <w:bCs w:val="1"/>
                <w:color w:val="auto"/>
              </w:rPr>
              <w:t>Total</w:t>
            </w:r>
          </w:p>
        </w:tc>
      </w:tr>
    </w:tbl>
    <w:p>
      <w:pPr>
        <w:spacing w:after="0" w:line="1" w:lineRule="exact"/>
        <w:rPr>
          <w:sz w:val="20"/>
          <w:szCs w:val="20"/>
          <w:color w:val="auto"/>
        </w:rPr>
      </w:pPr>
    </w:p>
    <w:p>
      <w:pPr>
        <w:sectPr>
          <w:pgSz w:w="11900" w:h="16838" w:orient="portrait"/>
          <w:cols w:equalWidth="0" w:num="2">
            <w:col w:w="4980" w:space="720"/>
            <w:col w:w="5600"/>
          </w:cols>
          <w:pgMar w:left="300" w:top="665" w:right="29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5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Investment securities sold, at cost</w:t>
            </w:r>
          </w:p>
        </w:tc>
        <w:tc>
          <w:tcPr>
            <w:tcW w:w="80" w:type="dxa"/>
            <w:vAlign w:val="bottom"/>
          </w:tcPr>
          <w:p>
            <w:pPr>
              <w:spacing w:after="0"/>
              <w:rPr>
                <w:sz w:val="10"/>
                <w:szCs w:val="10"/>
                <w:color w:val="auto"/>
              </w:rPr>
            </w:pPr>
          </w:p>
        </w:tc>
        <w:tc>
          <w:tcPr>
            <w:tcW w:w="360" w:type="dxa"/>
            <w:vAlign w:val="bottom"/>
            <w:tcBorders>
              <w:top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(600)</w:t>
            </w:r>
          </w:p>
        </w:tc>
        <w:tc>
          <w:tcPr>
            <w:tcW w:w="60" w:type="dxa"/>
            <w:vAlign w:val="bottom"/>
          </w:tcPr>
          <w:p>
            <w:pPr>
              <w:spacing w:after="0"/>
              <w:rPr>
                <w:sz w:val="10"/>
                <w:szCs w:val="10"/>
                <w:color w:val="auto"/>
              </w:rPr>
            </w:pPr>
          </w:p>
        </w:tc>
        <w:tc>
          <w:tcPr>
            <w:tcW w:w="30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(21,358)</w:t>
            </w:r>
          </w:p>
        </w:tc>
        <w:tc>
          <w:tcPr>
            <w:tcW w:w="60" w:type="dxa"/>
            <w:vAlign w:val="bottom"/>
          </w:tcPr>
          <w:p>
            <w:pPr>
              <w:spacing w:after="0"/>
              <w:rPr>
                <w:sz w:val="10"/>
                <w:szCs w:val="10"/>
                <w:color w:val="auto"/>
              </w:rPr>
            </w:pPr>
          </w:p>
        </w:tc>
        <w:tc>
          <w:tcPr>
            <w:tcW w:w="30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(21,958)</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(4,953)</w:t>
            </w:r>
          </w:p>
        </w:tc>
        <w:tc>
          <w:tcPr>
            <w:tcW w:w="80" w:type="dxa"/>
            <w:vAlign w:val="bottom"/>
          </w:tcPr>
          <w:p>
            <w:pPr>
              <w:spacing w:after="0"/>
              <w:rPr>
                <w:sz w:val="10"/>
                <w:szCs w:val="10"/>
                <w:color w:val="auto"/>
              </w:rPr>
            </w:pPr>
          </w:p>
        </w:tc>
        <w:tc>
          <w:tcPr>
            <w:tcW w:w="30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(23,808)</w:t>
            </w:r>
          </w:p>
        </w:tc>
        <w:tc>
          <w:tcPr>
            <w:tcW w:w="60" w:type="dxa"/>
            <w:vAlign w:val="bottom"/>
          </w:tcPr>
          <w:p>
            <w:pPr>
              <w:spacing w:after="0"/>
              <w:rPr>
                <w:sz w:val="10"/>
                <w:szCs w:val="10"/>
                <w:color w:val="auto"/>
              </w:rPr>
            </w:pPr>
          </w:p>
        </w:tc>
        <w:tc>
          <w:tcPr>
            <w:tcW w:w="30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(28,761)</w:t>
            </w:r>
          </w:p>
        </w:tc>
      </w:tr>
      <w:tr>
        <w:trPr>
          <w:trHeight w:val="136"/>
        </w:trPr>
        <w:tc>
          <w:tcPr>
            <w:tcW w:w="570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 xml:space="preserve">Proceeds from investment securities sold </w:t>
            </w:r>
            <w:r>
              <w:rPr>
                <w:rFonts w:ascii="Arial" w:cs="Arial" w:eastAsia="Arial" w:hAnsi="Arial"/>
                <w:sz w:val="12"/>
                <w:szCs w:val="12"/>
                <w:color w:val="auto"/>
                <w:vertAlign w:val="superscript"/>
              </w:rPr>
              <w:t>1</w:t>
            </w:r>
          </w:p>
        </w:tc>
        <w:tc>
          <w:tcPr>
            <w:tcW w:w="3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576</w:t>
            </w: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19,534</w:t>
            </w: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20,110</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4,989</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23,779</w:t>
            </w: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28,768</w:t>
            </w:r>
          </w:p>
        </w:tc>
      </w:tr>
      <w:tr>
        <w:trPr>
          <w:trHeight w:val="140"/>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Net gain (loss) on sale of investment securities</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(1,824)</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(1,848)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r>
      <w:tr>
        <w:trPr>
          <w:trHeight w:val="126"/>
        </w:trPr>
        <w:tc>
          <w:tcPr>
            <w:tcW w:w="5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8"/>
        </w:trPr>
        <w:tc>
          <w:tcPr>
            <w:tcW w:w="5700" w:type="dxa"/>
            <w:vAlign w:val="bottom"/>
            <w:gridSpan w:val="2"/>
          </w:tcPr>
          <w:p>
            <w:pPr>
              <w:spacing w:after="0"/>
              <w:rPr>
                <w:sz w:val="20"/>
                <w:szCs w:val="20"/>
                <w:color w:val="auto"/>
              </w:rPr>
            </w:pPr>
            <w:r>
              <w:rPr>
                <w:rFonts w:ascii="Arial" w:cs="Arial" w:eastAsia="Arial" w:hAnsi="Arial"/>
                <w:sz w:val="10"/>
                <w:szCs w:val="10"/>
                <w:color w:val="auto"/>
              </w:rPr>
              <w:t>Gross gain on sale of investment securities</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8</w:t>
            </w:r>
          </w:p>
        </w:tc>
        <w:tc>
          <w:tcPr>
            <w:tcW w:w="6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36</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160</w:t>
            </w:r>
          </w:p>
        </w:tc>
        <w:tc>
          <w:tcPr>
            <w:tcW w:w="6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196</w:t>
            </w:r>
          </w:p>
        </w:tc>
      </w:tr>
      <w:tr>
        <w:trPr>
          <w:trHeight w:val="135"/>
        </w:trPr>
        <w:tc>
          <w:tcPr>
            <w:tcW w:w="57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Gross loss on sale of investment securities</w:t>
            </w: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(1,832)</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w:t>
            </w:r>
          </w:p>
        </w:tc>
      </w:tr>
      <w:tr>
        <w:trPr>
          <w:trHeight w:val="131"/>
        </w:trPr>
        <w:tc>
          <w:tcPr>
            <w:tcW w:w="5700" w:type="dxa"/>
            <w:vAlign w:val="bottom"/>
            <w:gridSpan w:val="2"/>
          </w:tcPr>
          <w:p>
            <w:pPr>
              <w:spacing w:after="0"/>
              <w:rPr>
                <w:sz w:val="20"/>
                <w:szCs w:val="20"/>
                <w:color w:val="auto"/>
              </w:rPr>
            </w:pPr>
            <w:r>
              <w:rPr>
                <w:rFonts w:ascii="Arial" w:cs="Arial" w:eastAsia="Arial" w:hAnsi="Arial"/>
                <w:sz w:val="10"/>
                <w:szCs w:val="10"/>
                <w:color w:val="auto"/>
              </w:rPr>
              <w:t>Net gain (loss) on sale of investment securities</w:t>
            </w: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(1,824)</w:t>
            </w:r>
          </w:p>
        </w:tc>
        <w:tc>
          <w:tcPr>
            <w:tcW w:w="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(1,848)</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36</w:t>
            </w: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w:t>
            </w: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w:t>
      </w:r>
    </w:p>
    <w:p>
      <w:pPr>
        <w:spacing w:after="0" w:line="40"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Proceeds include cash received during the period, plus receivable for investment securities sold during the period as of period end.</w:t>
      </w:r>
    </w:p>
    <w:p>
      <w:pPr>
        <w:spacing w:after="0" w:line="38" w:lineRule="exact"/>
        <w:rPr>
          <w:rFonts w:ascii="Arial" w:cs="Arial" w:eastAsia="Arial" w:hAnsi="Arial"/>
          <w:sz w:val="10"/>
          <w:szCs w:val="10"/>
          <w:color w:val="auto"/>
        </w:rPr>
      </w:pPr>
    </w:p>
    <w:p>
      <w:pPr>
        <w:ind w:left="420" w:hanging="212"/>
        <w:spacing w:after="0"/>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See Note 10 for a summary of changes in accumulated OCI.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Note 4. Repurchase Agreements and Reverse Repurchase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Repurchase Agreements</w:t>
      </w:r>
    </w:p>
    <w:p>
      <w:pPr>
        <w:spacing w:after="0" w:line="114"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2022, we had met all margin call requirements. For additional information regarding our pledged assets, please refer to Note 7.</w:t>
      </w:r>
    </w:p>
    <w:p>
      <w:pPr>
        <w:spacing w:after="0" w:line="75" w:lineRule="exact"/>
        <w:rPr>
          <w:sz w:val="20"/>
          <w:szCs w:val="20"/>
          <w:color w:val="auto"/>
        </w:rPr>
      </w:pPr>
    </w:p>
    <w:p>
      <w:pPr>
        <w:jc w:val="both"/>
        <w:ind w:firstLine="297"/>
        <w:spacing w:after="0" w:line="340" w:lineRule="auto"/>
        <w:rPr>
          <w:sz w:val="20"/>
          <w:szCs w:val="20"/>
          <w:color w:val="auto"/>
        </w:rPr>
      </w:pPr>
      <w:r>
        <w:rPr>
          <w:rFonts w:ascii="Arial" w:cs="Arial" w:eastAsia="Arial" w:hAnsi="Arial"/>
          <w:sz w:val="10"/>
          <w:szCs w:val="10"/>
          <w:color w:val="auto"/>
        </w:rPr>
        <w:t>As of September 30, 2022 and December 31, 2021, we had $40.3 billion and $47.4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 fixed spread. The following table summarizes our borrowings under repurchase agreements by their remaining maturities as of September 30, 2022 and December 31, 2021 (dollars in millions):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2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5"/>
              </w:rPr>
              <w:t>September 30, 2022</w:t>
            </w:r>
          </w:p>
        </w:tc>
        <w:tc>
          <w:tcPr>
            <w:tcW w:w="11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6"/>
              </w:rPr>
              <w:t>December 31, 2021</w:t>
            </w: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tcPr>
          <w:p>
            <w:pPr>
              <w:jc w:val="center"/>
              <w:ind w:right="120"/>
              <w:spacing w:after="0" w:line="91" w:lineRule="exact"/>
              <w:rPr>
                <w:sz w:val="20"/>
                <w:szCs w:val="20"/>
                <w:color w:val="auto"/>
              </w:rPr>
            </w:pPr>
            <w:r>
              <w:rPr>
                <w:rFonts w:ascii="Arial" w:cs="Arial" w:eastAsia="Arial" w:hAnsi="Arial"/>
                <w:sz w:val="10"/>
                <w:szCs w:val="10"/>
                <w:b w:val="1"/>
                <w:bCs w:val="1"/>
                <w:color w:val="auto"/>
                <w:w w:val="88"/>
              </w:rPr>
              <w:t>Weighted</w:t>
            </w: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tcPr>
          <w:p>
            <w:pPr>
              <w:jc w:val="center"/>
              <w:ind w:right="120"/>
              <w:spacing w:after="0" w:line="91" w:lineRule="exact"/>
              <w:rPr>
                <w:sz w:val="20"/>
                <w:szCs w:val="20"/>
                <w:color w:val="auto"/>
              </w:rPr>
            </w:pPr>
            <w:r>
              <w:rPr>
                <w:rFonts w:ascii="Arial" w:cs="Arial" w:eastAsia="Arial" w:hAnsi="Arial"/>
                <w:sz w:val="10"/>
                <w:szCs w:val="10"/>
                <w:b w:val="1"/>
                <w:bCs w:val="1"/>
                <w:color w:val="auto"/>
                <w:w w:val="84"/>
              </w:rPr>
              <w:t>Weighted</w:t>
            </w: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86"/>
              </w:rPr>
              <w:t>Average</w:t>
            </w:r>
          </w:p>
        </w:tc>
        <w:tc>
          <w:tcPr>
            <w:tcW w:w="1620" w:type="dxa"/>
            <w:vAlign w:val="bottom"/>
            <w:gridSpan w:val="2"/>
          </w:tcPr>
          <w:p>
            <w:pPr>
              <w:jc w:val="center"/>
              <w:ind w:right="440"/>
              <w:spacing w:after="0" w:line="96" w:lineRule="exact"/>
              <w:rPr>
                <w:sz w:val="20"/>
                <w:szCs w:val="20"/>
                <w:color w:val="auto"/>
              </w:rPr>
            </w:pPr>
            <w:r>
              <w:rPr>
                <w:rFonts w:ascii="Arial" w:cs="Arial" w:eastAsia="Arial" w:hAnsi="Arial"/>
                <w:sz w:val="10"/>
                <w:szCs w:val="10"/>
                <w:b w:val="1"/>
                <w:bCs w:val="1"/>
                <w:color w:val="auto"/>
                <w:w w:val="84"/>
              </w:rPr>
              <w:t>Weighted</w:t>
            </w: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6"/>
              </w:rPr>
              <w:t>Average</w:t>
            </w:r>
          </w:p>
        </w:tc>
        <w:tc>
          <w:tcPr>
            <w:tcW w:w="11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8"/>
              </w:rPr>
              <w:t>Weighted</w:t>
            </w:r>
          </w:p>
        </w:tc>
        <w:tc>
          <w:tcPr>
            <w:tcW w:w="0" w:type="dxa"/>
            <w:vAlign w:val="bottom"/>
          </w:tcPr>
          <w:p>
            <w:pPr>
              <w:spacing w:after="0"/>
              <w:rPr>
                <w:sz w:val="1"/>
                <w:szCs w:val="1"/>
                <w:color w:val="auto"/>
              </w:rPr>
            </w:pPr>
          </w:p>
        </w:tc>
      </w:tr>
      <w:tr>
        <w:trPr>
          <w:trHeight w:val="99"/>
        </w:trPr>
        <w:tc>
          <w:tcPr>
            <w:tcW w:w="2580" w:type="dxa"/>
            <w:vAlign w:val="bottom"/>
            <w:vMerge w:val="restart"/>
          </w:tcPr>
          <w:p>
            <w:pPr>
              <w:spacing w:after="0"/>
              <w:rPr>
                <w:sz w:val="20"/>
                <w:szCs w:val="20"/>
                <w:color w:val="auto"/>
              </w:rPr>
            </w:pPr>
            <w:r>
              <w:rPr>
                <w:rFonts w:ascii="Arial" w:cs="Arial" w:eastAsia="Arial" w:hAnsi="Arial"/>
                <w:sz w:val="10"/>
                <w:szCs w:val="10"/>
                <w:b w:val="1"/>
                <w:bCs w:val="1"/>
                <w:color w:val="auto"/>
              </w:rPr>
              <w:t>Remaining Maturity</w:t>
            </w:r>
          </w:p>
        </w:tc>
        <w:tc>
          <w:tcPr>
            <w:tcW w:w="4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0"/>
                <w:szCs w:val="10"/>
                <w:b w:val="1"/>
                <w:bCs w:val="1"/>
                <w:color w:val="auto"/>
                <w:w w:val="83"/>
              </w:rPr>
              <w:t>Repurchase Agreements</w:t>
            </w:r>
          </w:p>
        </w:tc>
        <w:tc>
          <w:tcPr>
            <w:tcW w:w="120" w:type="dxa"/>
            <w:vAlign w:val="bottom"/>
            <w:vMerge w:val="restart"/>
          </w:tcPr>
          <w:p>
            <w:pPr>
              <w:spacing w:after="0"/>
              <w:rPr>
                <w:sz w:val="8"/>
                <w:szCs w:val="8"/>
                <w:color w:val="auto"/>
              </w:rPr>
            </w:pPr>
          </w:p>
        </w:tc>
        <w:tc>
          <w:tcPr>
            <w:tcW w:w="14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8"/>
              </w:rPr>
              <w:t>Interest</w:t>
            </w:r>
          </w:p>
        </w:tc>
        <w:tc>
          <w:tcPr>
            <w:tcW w:w="162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4"/>
              </w:rPr>
              <w:t>Average Days</w:t>
            </w:r>
          </w:p>
        </w:tc>
        <w:tc>
          <w:tcPr>
            <w:tcW w:w="60" w:type="dxa"/>
            <w:vAlign w:val="bottom"/>
          </w:tcPr>
          <w:p>
            <w:pPr>
              <w:spacing w:after="0"/>
              <w:rPr>
                <w:sz w:val="8"/>
                <w:szCs w:val="8"/>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0"/>
                <w:szCs w:val="10"/>
                <w:b w:val="1"/>
                <w:bCs w:val="1"/>
                <w:color w:val="auto"/>
                <w:w w:val="84"/>
              </w:rPr>
              <w:t>Repurchase Agreements</w:t>
            </w:r>
          </w:p>
        </w:tc>
        <w:tc>
          <w:tcPr>
            <w:tcW w:w="120" w:type="dxa"/>
            <w:vAlign w:val="bottom"/>
            <w:vMerge w:val="restart"/>
          </w:tcPr>
          <w:p>
            <w:pPr>
              <w:spacing w:after="0"/>
              <w:rPr>
                <w:sz w:val="8"/>
                <w:szCs w:val="8"/>
                <w:color w:val="auto"/>
              </w:rPr>
            </w:pPr>
          </w:p>
        </w:tc>
        <w:tc>
          <w:tcPr>
            <w:tcW w:w="14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8"/>
              </w:rPr>
              <w:t>Interest</w:t>
            </w:r>
          </w:p>
        </w:tc>
        <w:tc>
          <w:tcPr>
            <w:tcW w:w="11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Average Days</w:t>
            </w:r>
          </w:p>
        </w:tc>
        <w:tc>
          <w:tcPr>
            <w:tcW w:w="0" w:type="dxa"/>
            <w:vAlign w:val="bottom"/>
          </w:tcPr>
          <w:p>
            <w:pPr>
              <w:spacing w:after="0"/>
              <w:rPr>
                <w:sz w:val="1"/>
                <w:szCs w:val="1"/>
                <w:color w:val="auto"/>
              </w:rPr>
            </w:pPr>
          </w:p>
        </w:tc>
      </w:tr>
      <w:tr>
        <w:trPr>
          <w:trHeight w:val="129"/>
        </w:trPr>
        <w:tc>
          <w:tcPr>
            <w:tcW w:w="258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12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to Maturity</w:t>
            </w:r>
          </w:p>
        </w:tc>
        <w:tc>
          <w:tcPr>
            <w:tcW w:w="4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Rate</w:t>
            </w:r>
          </w:p>
        </w:tc>
        <w:tc>
          <w:tcPr>
            <w:tcW w:w="14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to Maturity</w:t>
            </w:r>
          </w:p>
        </w:tc>
        <w:tc>
          <w:tcPr>
            <w:tcW w:w="0" w:type="dxa"/>
            <w:vAlign w:val="bottom"/>
          </w:tcPr>
          <w:p>
            <w:pPr>
              <w:spacing w:after="0"/>
              <w:rPr>
                <w:sz w:val="1"/>
                <w:szCs w:val="1"/>
                <w:color w:val="auto"/>
              </w:rPr>
            </w:pPr>
          </w:p>
        </w:tc>
      </w:tr>
      <w:tr>
        <w:trPr>
          <w:trHeight w:val="139"/>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Agency repo:</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color w:val="auto"/>
              </w:rPr>
              <w:t>≤ 1 month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
              <w:spacing w:after="0"/>
              <w:rPr>
                <w:sz w:val="20"/>
                <w:szCs w:val="20"/>
                <w:color w:val="auto"/>
              </w:rPr>
            </w:pPr>
            <w:r>
              <w:rPr>
                <w:rFonts w:ascii="Arial" w:cs="Arial" w:eastAsia="Arial" w:hAnsi="Arial"/>
                <w:sz w:val="11"/>
                <w:szCs w:val="11"/>
                <w:color w:val="auto"/>
              </w:rPr>
              <w:t>21,182</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3.08 %</w:t>
            </w: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23,747</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0.14 %</w:t>
            </w:r>
          </w:p>
        </w:tc>
        <w:tc>
          <w:tcPr>
            <w:tcW w:w="140" w:type="dxa"/>
            <w:vAlign w:val="bottom"/>
          </w:tcPr>
          <w:p>
            <w:pPr>
              <w:spacing w:after="0"/>
              <w:rPr>
                <w:sz w:val="12"/>
                <w:szCs w:val="12"/>
                <w:color w:val="auto"/>
              </w:rPr>
            </w:pPr>
          </w:p>
        </w:tc>
        <w:tc>
          <w:tcPr>
            <w:tcW w:w="1180" w:type="dxa"/>
            <w:vAlign w:val="bottom"/>
          </w:tcPr>
          <w:p>
            <w:pPr>
              <w:jc w:val="right"/>
              <w:ind w:right="8"/>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6"/>
        </w:trPr>
        <w:tc>
          <w:tcPr>
            <w:tcW w:w="30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&gt; 1 to ≤ 3 months</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16,457</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2.67 %</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14,781</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0.15 %</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color w:val="auto"/>
              </w:rPr>
              <w:t>&gt; 3 to ≤ 6 months</w:t>
            </w:r>
          </w:p>
        </w:tc>
        <w:tc>
          <w:tcPr>
            <w:tcW w:w="8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620" w:type="dxa"/>
            <w:vAlign w:val="bottom"/>
            <w:gridSpan w:val="2"/>
          </w:tcPr>
          <w:p>
            <w:pPr>
              <w:jc w:val="right"/>
              <w:ind w:right="4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4,576</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0.19 %</w:t>
            </w:r>
          </w:p>
        </w:tc>
        <w:tc>
          <w:tcPr>
            <w:tcW w:w="140" w:type="dxa"/>
            <w:vAlign w:val="bottom"/>
          </w:tcPr>
          <w:p>
            <w:pPr>
              <w:spacing w:after="0"/>
              <w:rPr>
                <w:sz w:val="12"/>
                <w:szCs w:val="12"/>
                <w:color w:val="auto"/>
              </w:rPr>
            </w:pPr>
          </w:p>
        </w:tc>
        <w:tc>
          <w:tcPr>
            <w:tcW w:w="1180" w:type="dxa"/>
            <w:vAlign w:val="bottom"/>
          </w:tcPr>
          <w:p>
            <w:pPr>
              <w:jc w:val="right"/>
              <w:ind w:right="8"/>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46"/>
        </w:trPr>
        <w:tc>
          <w:tcPr>
            <w:tcW w:w="30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&gt; 6 to ≤ 9 months</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1,432</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1.42 %</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2,445</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0.21 %</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264</w:t>
            </w: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color w:val="auto"/>
              </w:rPr>
              <w:t>&gt; 9 to ≤ 12 months</w:t>
            </w:r>
          </w:p>
        </w:tc>
        <w:tc>
          <w:tcPr>
            <w:tcW w:w="8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620" w:type="dxa"/>
            <w:vAlign w:val="bottom"/>
            <w:gridSpan w:val="2"/>
          </w:tcPr>
          <w:p>
            <w:pPr>
              <w:jc w:val="right"/>
              <w:ind w:right="4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1,362</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0.23 %</w:t>
            </w:r>
          </w:p>
        </w:tc>
        <w:tc>
          <w:tcPr>
            <w:tcW w:w="140" w:type="dxa"/>
            <w:vAlign w:val="bottom"/>
          </w:tcPr>
          <w:p>
            <w:pPr>
              <w:spacing w:after="0"/>
              <w:rPr>
                <w:sz w:val="12"/>
                <w:szCs w:val="12"/>
                <w:color w:val="auto"/>
              </w:rPr>
            </w:pPr>
          </w:p>
        </w:tc>
        <w:tc>
          <w:tcPr>
            <w:tcW w:w="1180" w:type="dxa"/>
            <w:vAlign w:val="bottom"/>
          </w:tcPr>
          <w:p>
            <w:pPr>
              <w:jc w:val="right"/>
              <w:ind w:right="8"/>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35"/>
        </w:trPr>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Agency repo</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39,071</w:t>
            </w: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2.85 %</w:t>
            </w:r>
          </w:p>
        </w:tc>
        <w:tc>
          <w:tcPr>
            <w:tcW w:w="1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46,911</w:t>
            </w: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0.15 %</w:t>
            </w:r>
          </w:p>
        </w:tc>
        <w:tc>
          <w:tcPr>
            <w:tcW w:w="1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22"/>
        </w:trPr>
        <w:tc>
          <w:tcPr>
            <w:tcW w:w="3020" w:type="dxa"/>
            <w:vAlign w:val="bottom"/>
            <w:gridSpan w:val="2"/>
          </w:tcPr>
          <w:p>
            <w:pPr>
              <w:spacing w:after="0" w:line="120" w:lineRule="exact"/>
              <w:rPr>
                <w:sz w:val="20"/>
                <w:szCs w:val="20"/>
                <w:color w:val="auto"/>
              </w:rPr>
            </w:pPr>
            <w:r>
              <w:rPr>
                <w:rFonts w:ascii="Arial" w:cs="Arial" w:eastAsia="Arial" w:hAnsi="Arial"/>
                <w:sz w:val="11"/>
                <w:szCs w:val="11"/>
                <w:color w:val="auto"/>
              </w:rPr>
              <w:t>U.S. Treasury repo:</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 1 month</w:t>
            </w: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1,235</w:t>
            </w:r>
          </w:p>
        </w:tc>
        <w:tc>
          <w:tcPr>
            <w:tcW w:w="12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2.68 %</w:t>
            </w:r>
          </w:p>
        </w:tc>
        <w:tc>
          <w:tcPr>
            <w:tcW w:w="12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w:t>
            </w:r>
          </w:p>
        </w:tc>
        <w:tc>
          <w:tcPr>
            <w:tcW w:w="12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14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40,306</w:t>
            </w:r>
          </w:p>
        </w:tc>
        <w:tc>
          <w:tcPr>
            <w:tcW w:w="120" w:type="dxa"/>
            <w:vAlign w:val="bottom"/>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2.84 %</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4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47,381</w:t>
            </w:r>
          </w:p>
        </w:tc>
        <w:tc>
          <w:tcPr>
            <w:tcW w:w="120" w:type="dxa"/>
            <w:vAlign w:val="bottom"/>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0.15 %</w:t>
            </w:r>
          </w:p>
        </w:tc>
        <w:tc>
          <w:tcPr>
            <w:tcW w:w="140" w:type="dxa"/>
            <w:vAlign w:val="bottom"/>
          </w:tcPr>
          <w:p>
            <w:pPr>
              <w:spacing w:after="0"/>
              <w:rPr>
                <w:sz w:val="11"/>
                <w:szCs w:val="1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As of September 30, 2022 and December 31, 2021, $10.9 billion and $0.8 billion, respectively, of our Agency repurchase agreements had an overnight maturity of one business day and none of our repurchase agreements were due on demand. As of September 30, 2022, we had $2.8 billion of forward commitments to enter into repurchase agreements with a weighted average forward start date of 3 days and a weighted average interest rate of 3.10%. As of December 31, 2021, we had $9.8 billion of forward commitments to enter into repurchase agreements, with a weighted average forward start date of 3 days and a weighted average interest rate of 0.08%. As of September 30, 2022 and December 31, 2021, 50% and 43%,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48% and 42% of our repurchase agreement funding outstanding as of September 30, 2022 and December 31, 2021,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Reverse Repurchase Agreements</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of September 30, 2022 and December 31, 2021, we had $7.6 billion and $10.5 billion, respectively, of reverse repurchase agreements outstanding used primarily to borrow securities to cover short sales of U.S. Treasury securities, for which we had associated obligations to return borrowed securities at fair value of $7.4 billion and $9.7 billion, respectively. As of September 30, 2022 and December 31, 2021, $1.7 billion and $3.0 billion, respectively, of our reverse repurchase agreements were with the FICC sourced through BES.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Derivative and Other Hedging Instruments</w:t>
      </w:r>
    </w:p>
    <w:p>
      <w:pPr>
        <w:spacing w:after="0" w:line="118"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We hedge a portion of our interest rate risk primarily utilizing interest rate swaps, interest rate swaptions, U.S. Treasury securities and U.S. Treasury futures contracts. We utilize TBA securities primarily as a means of investing in the Agency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securities market. For additional information regarding our derivative instruments and our overall risk management strategy, please refer to the discussion of derivative and other hedging instruments in Note 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and Other Hedging Instrument Assets (Liabilities), at Fair Value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table below summarizes fair value information about our derivative and other hedging instrument assets/(liabilities) as of September 30, 2022 and December 31, 2021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vMerge w:val="restart"/>
          </w:tcPr>
          <w:p>
            <w:pPr>
              <w:spacing w:after="0"/>
              <w:rPr>
                <w:sz w:val="20"/>
                <w:szCs w:val="20"/>
                <w:color w:val="auto"/>
              </w:rPr>
            </w:pPr>
            <w:r>
              <w:rPr>
                <w:rFonts w:ascii="Arial" w:cs="Arial" w:eastAsia="Arial" w:hAnsi="Arial"/>
                <w:sz w:val="10"/>
                <w:szCs w:val="10"/>
                <w:b w:val="1"/>
                <w:bCs w:val="1"/>
                <w:color w:val="auto"/>
              </w:rPr>
              <w:t>Derivative and Other Hedging Instruments</w:t>
            </w:r>
          </w:p>
        </w:tc>
        <w:tc>
          <w:tcPr>
            <w:tcW w:w="100" w:type="dxa"/>
            <w:vAlign w:val="bottom"/>
            <w:vMerge w:val="restart"/>
          </w:tcPr>
          <w:p>
            <w:pPr>
              <w:spacing w:after="0"/>
              <w:rPr>
                <w:sz w:val="10"/>
                <w:szCs w:val="10"/>
                <w:color w:val="auto"/>
              </w:rPr>
            </w:pPr>
          </w:p>
        </w:tc>
        <w:tc>
          <w:tcPr>
            <w:tcW w:w="4240" w:type="dxa"/>
            <w:vAlign w:val="bottom"/>
            <w:vMerge w:val="restart"/>
          </w:tcPr>
          <w:p>
            <w:pPr>
              <w:ind w:left="1640"/>
              <w:spacing w:after="0"/>
              <w:rPr>
                <w:sz w:val="20"/>
                <w:szCs w:val="20"/>
                <w:color w:val="auto"/>
              </w:rPr>
            </w:pPr>
            <w:r>
              <w:rPr>
                <w:rFonts w:ascii="Arial" w:cs="Arial" w:eastAsia="Arial" w:hAnsi="Arial"/>
                <w:sz w:val="10"/>
                <w:szCs w:val="10"/>
                <w:b w:val="1"/>
                <w:bCs w:val="1"/>
                <w:color w:val="auto"/>
              </w:rPr>
              <w:t>Balance Sheet Location</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ind w:left="120"/>
              <w:spacing w:after="0"/>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10"/>
                <w:szCs w:val="10"/>
                <w:color w:val="auto"/>
              </w:rPr>
            </w:pPr>
          </w:p>
        </w:tc>
        <w:tc>
          <w:tcPr>
            <w:tcW w:w="1020" w:type="dxa"/>
            <w:vAlign w:val="bottom"/>
          </w:tcPr>
          <w:p>
            <w:pPr>
              <w:jc w:val="right"/>
              <w:ind w:right="267"/>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43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2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39"/>
        </w:trPr>
        <w:tc>
          <w:tcPr>
            <w:tcW w:w="4360" w:type="dxa"/>
            <w:vAlign w:val="bottom"/>
            <w:shd w:val="clear" w:color="auto" w:fill="CCEEFF"/>
          </w:tcPr>
          <w:p>
            <w:pPr>
              <w:spacing w:after="0" w:line="139" w:lineRule="exact"/>
              <w:rPr>
                <w:sz w:val="20"/>
                <w:szCs w:val="20"/>
                <w:color w:val="auto"/>
              </w:rPr>
            </w:pPr>
            <w:r>
              <w:rPr>
                <w:rFonts w:ascii="Arial" w:cs="Arial" w:eastAsia="Arial" w:hAnsi="Arial"/>
                <w:sz w:val="11"/>
                <w:szCs w:val="11"/>
                <w:color w:val="auto"/>
              </w:rPr>
              <w:t xml:space="preserve">Interest rate swaps </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2"/>
                <w:szCs w:val="12"/>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Derivative assets, at fair value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rPr>
                <w:sz w:val="20"/>
                <w:szCs w:val="20"/>
                <w:color w:val="auto"/>
              </w:rPr>
            </w:pPr>
            <w:r>
              <w:rPr>
                <w:rFonts w:ascii="Arial" w:cs="Arial" w:eastAsia="Arial" w:hAnsi="Arial"/>
                <w:sz w:val="11"/>
                <w:szCs w:val="11"/>
                <w:color w:val="auto"/>
              </w:rPr>
              <w:t>Swaptions</w:t>
            </w:r>
          </w:p>
        </w:tc>
        <w:tc>
          <w:tcPr>
            <w:tcW w:w="4340" w:type="dxa"/>
            <w:vAlign w:val="bottom"/>
            <w:gridSpan w:val="2"/>
          </w:tcPr>
          <w:p>
            <w:pPr>
              <w:spacing w:after="0"/>
              <w:rPr>
                <w:sz w:val="20"/>
                <w:szCs w:val="20"/>
                <w:color w:val="auto"/>
              </w:rPr>
            </w:pPr>
            <w:r>
              <w:rPr>
                <w:rFonts w:ascii="Arial" w:cs="Arial" w:eastAsia="Arial" w:hAnsi="Arial"/>
                <w:sz w:val="11"/>
                <w:szCs w:val="11"/>
                <w:color w:val="auto"/>
              </w:rPr>
              <w:t>Derivative assets, at fair value</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46"/>
        </w:trPr>
        <w:tc>
          <w:tcPr>
            <w:tcW w:w="4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TBA and forward settling non-Agency securities</w:t>
            </w:r>
          </w:p>
        </w:tc>
        <w:tc>
          <w:tcPr>
            <w:tcW w:w="4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Derivative assets, at fair value</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U.S. Treasury futures - short</w:t>
            </w: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Derivative assets, at fair value</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4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Total derivative assets, at fair value</w:t>
            </w:r>
          </w:p>
        </w:tc>
        <w:tc>
          <w:tcPr>
            <w:tcW w:w="4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TBA and forward settling non-Agency securities</w:t>
            </w:r>
          </w:p>
        </w:tc>
        <w:tc>
          <w:tcPr>
            <w:tcW w:w="4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Derivative liabilities, at fair value</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rPr>
                <w:sz w:val="20"/>
                <w:szCs w:val="20"/>
                <w:color w:val="auto"/>
              </w:rPr>
            </w:pPr>
            <w:r>
              <w:rPr>
                <w:rFonts w:ascii="Arial" w:cs="Arial" w:eastAsia="Arial" w:hAnsi="Arial"/>
                <w:sz w:val="11"/>
                <w:szCs w:val="11"/>
                <w:color w:val="auto"/>
              </w:rPr>
              <w:t>U.S. Treasury futures - short</w:t>
            </w:r>
          </w:p>
        </w:tc>
        <w:tc>
          <w:tcPr>
            <w:tcW w:w="4340" w:type="dxa"/>
            <w:vAlign w:val="bottom"/>
            <w:gridSpan w:val="2"/>
          </w:tcPr>
          <w:p>
            <w:pPr>
              <w:spacing w:after="0"/>
              <w:rPr>
                <w:sz w:val="20"/>
                <w:szCs w:val="20"/>
                <w:color w:val="auto"/>
              </w:rPr>
            </w:pPr>
            <w:r>
              <w:rPr>
                <w:rFonts w:ascii="Arial" w:cs="Arial" w:eastAsia="Arial" w:hAnsi="Arial"/>
                <w:sz w:val="11"/>
                <w:szCs w:val="11"/>
                <w:color w:val="auto"/>
              </w:rPr>
              <w:t>Derivative liabilities, at fair value</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6"/>
        </w:trPr>
        <w:tc>
          <w:tcPr>
            <w:tcW w:w="446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 xml:space="preserve">Credit default swaps </w:t>
            </w:r>
            <w:r>
              <w:rPr>
                <w:rFonts w:ascii="Arial" w:cs="Arial" w:eastAsia="Arial" w:hAnsi="Arial"/>
                <w:sz w:val="14"/>
                <w:szCs w:val="14"/>
                <w:color w:val="auto"/>
                <w:vertAlign w:val="superscript"/>
              </w:rPr>
              <w:t>1</w:t>
            </w:r>
          </w:p>
        </w:tc>
        <w:tc>
          <w:tcPr>
            <w:tcW w:w="4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Derivative liabilities, at fair value</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Total derivative liabilities, at fair value</w:t>
            </w:r>
          </w:p>
        </w:tc>
        <w:tc>
          <w:tcPr>
            <w:tcW w:w="4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53"/>
        </w:trPr>
        <w:tc>
          <w:tcPr>
            <w:tcW w:w="4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rPr>
                <w:sz w:val="20"/>
                <w:szCs w:val="20"/>
                <w:color w:val="auto"/>
              </w:rPr>
            </w:pPr>
            <w:r>
              <w:rPr>
                <w:rFonts w:ascii="Arial" w:cs="Arial" w:eastAsia="Arial" w:hAnsi="Arial"/>
                <w:sz w:val="11"/>
                <w:szCs w:val="11"/>
                <w:color w:val="auto"/>
              </w:rPr>
              <w:t>U.S. Treasury securities - long</w:t>
            </w:r>
          </w:p>
        </w:tc>
        <w:tc>
          <w:tcPr>
            <w:tcW w:w="4340" w:type="dxa"/>
            <w:vAlign w:val="bottom"/>
            <w:gridSpan w:val="2"/>
          </w:tcPr>
          <w:p>
            <w:pPr>
              <w:spacing w:after="0"/>
              <w:rPr>
                <w:sz w:val="20"/>
                <w:szCs w:val="20"/>
                <w:color w:val="auto"/>
              </w:rPr>
            </w:pPr>
            <w:r>
              <w:rPr>
                <w:rFonts w:ascii="Arial" w:cs="Arial" w:eastAsia="Arial" w:hAnsi="Arial"/>
                <w:sz w:val="11"/>
                <w:szCs w:val="11"/>
                <w:color w:val="auto"/>
              </w:rPr>
              <w:t>U.S. Treasury securities, at fair value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1,213</w:t>
            </w:r>
          </w:p>
        </w:tc>
        <w:tc>
          <w:tcPr>
            <w:tcW w:w="8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44"/>
        </w:trPr>
        <w:tc>
          <w:tcPr>
            <w:tcW w:w="4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 Treasury securities - short</w:t>
            </w:r>
          </w:p>
        </w:tc>
        <w:tc>
          <w:tcPr>
            <w:tcW w:w="434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Obligation to return securities borrowed under reverse repurchase agreements, at fair value</w:t>
            </w: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(7,469)</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(9,697)</w:t>
            </w:r>
          </w:p>
        </w:tc>
        <w:tc>
          <w:tcPr>
            <w:tcW w:w="0" w:type="dxa"/>
            <w:vAlign w:val="bottom"/>
          </w:tcPr>
          <w:p>
            <w:pPr>
              <w:spacing w:after="0"/>
              <w:rPr>
                <w:sz w:val="1"/>
                <w:szCs w:val="1"/>
                <w:color w:val="auto"/>
              </w:rPr>
            </w:pPr>
          </w:p>
        </w:tc>
      </w:tr>
      <w:tr>
        <w:trPr>
          <w:trHeight w:val="135"/>
        </w:trPr>
        <w:tc>
          <w:tcPr>
            <w:tcW w:w="4460" w:type="dxa"/>
            <w:vAlign w:val="bottom"/>
            <w:gridSpan w:val="2"/>
          </w:tcPr>
          <w:p>
            <w:pPr>
              <w:ind w:left="120"/>
              <w:spacing w:after="0"/>
              <w:rPr>
                <w:sz w:val="20"/>
                <w:szCs w:val="20"/>
                <w:color w:val="auto"/>
              </w:rPr>
            </w:pPr>
            <w:r>
              <w:rPr>
                <w:rFonts w:ascii="Arial" w:cs="Arial" w:eastAsia="Arial" w:hAnsi="Arial"/>
                <w:sz w:val="11"/>
                <w:szCs w:val="11"/>
                <w:color w:val="auto"/>
              </w:rPr>
              <w:t>Total U.S. Treasury securities, net at fair value</w:t>
            </w: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(6,256)</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(9,226)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3" w:lineRule="exact"/>
        <w:rPr>
          <w:sz w:val="20"/>
          <w:szCs w:val="20"/>
          <w:color w:val="auto"/>
        </w:rPr>
      </w:pPr>
    </w:p>
    <w:p>
      <w:pPr>
        <w:ind w:left="420" w:hanging="212"/>
        <w:spacing w:after="0" w:line="382" w:lineRule="auto"/>
        <w:tabs>
          <w:tab w:leader="none" w:pos="420" w:val="left"/>
        </w:tabs>
        <w:numPr>
          <w:ilvl w:val="0"/>
          <w:numId w:val="7"/>
        </w:numPr>
        <w:rPr>
          <w:rFonts w:ascii="Arial" w:cs="Arial" w:eastAsia="Arial" w:hAnsi="Arial"/>
          <w:sz w:val="8"/>
          <w:szCs w:val="8"/>
          <w:color w:val="auto"/>
        </w:rPr>
      </w:pPr>
      <w:r>
        <w:rPr>
          <w:rFonts w:ascii="Arial" w:cs="Arial" w:eastAsia="Arial" w:hAnsi="Arial"/>
          <w:sz w:val="8"/>
          <w:szCs w:val="8"/>
          <w:color w:val="auto"/>
        </w:rPr>
        <w:t>As of September 30, 2022 and December 31, 2021, the net fair value of our interest rate swaps excluding the recognition of variation margin settlements as a direct reduction of carrying value (see Note 2) was a net asset (liability) of $5.3 billion and $1.6 billion, respectively. As of September 30, 2022, the net fair value of our credit default swaps excluding the recognition of variation margin settlements was $1 million. We did not have credit default swaps outstanding as of December 31, 2021.</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summarize certain characteristics of our derivative and other hedging instruments outstanding as of September 30, 2022 and December 31, 2021 (dollars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ind w:left="640"/>
              <w:spacing w:after="0"/>
              <w:rPr>
                <w:sz w:val="20"/>
                <w:szCs w:val="20"/>
                <w:color w:val="auto"/>
              </w:rPr>
            </w:pPr>
            <w:r>
              <w:rPr>
                <w:rFonts w:ascii="Arial" w:cs="Arial" w:eastAsia="Arial" w:hAnsi="Arial"/>
                <w:sz w:val="10"/>
                <w:szCs w:val="10"/>
                <w:b w:val="1"/>
                <w:bCs w:val="1"/>
                <w:color w:val="auto"/>
              </w:rPr>
              <w:t>September 30, 2022</w:t>
            </w: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b w:val="1"/>
                <w:bCs w:val="1"/>
                <w:color w:val="auto"/>
                <w:w w:val="84"/>
              </w:rPr>
              <w:t>December 31, 2021</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tcPr>
          <w:p>
            <w:pPr>
              <w:jc w:val="center"/>
              <w:ind w:right="80"/>
              <w:spacing w:after="0" w:line="91" w:lineRule="exact"/>
              <w:rPr>
                <w:sz w:val="20"/>
                <w:szCs w:val="20"/>
                <w:color w:val="auto"/>
              </w:rPr>
            </w:pPr>
            <w:r>
              <w:rPr>
                <w:rFonts w:ascii="Arial" w:cs="Arial" w:eastAsia="Arial" w:hAnsi="Arial"/>
                <w:sz w:val="10"/>
                <w:szCs w:val="10"/>
                <w:b w:val="1"/>
                <w:bCs w:val="1"/>
                <w:color w:val="auto"/>
                <w:w w:val="80"/>
              </w:rPr>
              <w:t>Average</w:t>
            </w:r>
          </w:p>
        </w:tc>
        <w:tc>
          <w:tcPr>
            <w:tcW w:w="1080" w:type="dxa"/>
            <w:vAlign w:val="bottom"/>
            <w:gridSpan w:val="2"/>
          </w:tcPr>
          <w:p>
            <w:pPr>
              <w:jc w:val="center"/>
              <w:ind w:right="80"/>
              <w:spacing w:after="0" w:line="91" w:lineRule="exact"/>
              <w:rPr>
                <w:sz w:val="20"/>
                <w:szCs w:val="20"/>
                <w:color w:val="auto"/>
              </w:rPr>
            </w:pPr>
            <w:r>
              <w:rPr>
                <w:rFonts w:ascii="Arial" w:cs="Arial" w:eastAsia="Arial" w:hAnsi="Arial"/>
                <w:sz w:val="10"/>
                <w:szCs w:val="10"/>
                <w:b w:val="1"/>
                <w:bCs w:val="1"/>
                <w:color w:val="auto"/>
                <w:w w:val="80"/>
              </w:rPr>
              <w:t>Average</w:t>
            </w:r>
          </w:p>
        </w:tc>
        <w:tc>
          <w:tcPr>
            <w:tcW w:w="10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0"/>
              </w:rPr>
              <w:t>Average</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3"/>
          </w:tcPr>
          <w:p>
            <w:pPr>
              <w:jc w:val="center"/>
              <w:ind w:right="420"/>
              <w:spacing w:after="0" w:line="91" w:lineRule="exact"/>
              <w:rPr>
                <w:sz w:val="20"/>
                <w:szCs w:val="20"/>
                <w:color w:val="auto"/>
              </w:rPr>
            </w:pPr>
            <w:r>
              <w:rPr>
                <w:rFonts w:ascii="Arial" w:cs="Arial" w:eastAsia="Arial" w:hAnsi="Arial"/>
                <w:sz w:val="10"/>
                <w:szCs w:val="10"/>
                <w:b w:val="1"/>
                <w:bCs w:val="1"/>
                <w:color w:val="auto"/>
                <w:w w:val="86"/>
              </w:rPr>
              <w:t>Average</w:t>
            </w:r>
          </w:p>
        </w:tc>
        <w:tc>
          <w:tcPr>
            <w:tcW w:w="760" w:type="dxa"/>
            <w:vAlign w:val="bottom"/>
            <w:gridSpan w:val="2"/>
          </w:tcPr>
          <w:p>
            <w:pPr>
              <w:jc w:val="center"/>
              <w:ind w:right="420"/>
              <w:spacing w:after="0" w:line="91" w:lineRule="exact"/>
              <w:rPr>
                <w:sz w:val="20"/>
                <w:szCs w:val="20"/>
                <w:color w:val="auto"/>
              </w:rPr>
            </w:pPr>
            <w:r>
              <w:rPr>
                <w:rFonts w:ascii="Arial" w:cs="Arial" w:eastAsia="Arial" w:hAnsi="Arial"/>
                <w:sz w:val="10"/>
                <w:szCs w:val="10"/>
                <w:b w:val="1"/>
                <w:bCs w:val="1"/>
                <w:color w:val="auto"/>
                <w:w w:val="86"/>
              </w:rPr>
              <w:t>Average</w:t>
            </w:r>
          </w:p>
        </w:tc>
        <w:tc>
          <w:tcPr>
            <w:tcW w:w="9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9"/>
        </w:trPr>
        <w:tc>
          <w:tcPr>
            <w:tcW w:w="2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Pay Fixed / Receive Variable Interest Rate Swaps</w:t>
            </w:r>
          </w:p>
        </w:tc>
        <w:tc>
          <w:tcPr>
            <w:tcW w:w="1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Notional</w:t>
            </w:r>
          </w:p>
        </w:tc>
        <w:tc>
          <w:tcPr>
            <w:tcW w:w="10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Fixed Pay</w:t>
            </w:r>
          </w:p>
        </w:tc>
        <w:tc>
          <w:tcPr>
            <w:tcW w:w="108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Receive</w:t>
            </w:r>
          </w:p>
        </w:tc>
        <w:tc>
          <w:tcPr>
            <w:tcW w:w="11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2"/>
              </w:rPr>
              <w:t>Maturity</w:t>
            </w:r>
          </w:p>
        </w:tc>
        <w:tc>
          <w:tcPr>
            <w:tcW w:w="200" w:type="dxa"/>
            <w:vAlign w:val="bottom"/>
          </w:tcPr>
          <w:p>
            <w:pPr>
              <w:spacing w:after="0"/>
              <w:rPr>
                <w:sz w:val="8"/>
                <w:szCs w:val="8"/>
                <w:color w:val="auto"/>
              </w:rPr>
            </w:pPr>
          </w:p>
        </w:tc>
        <w:tc>
          <w:tcPr>
            <w:tcW w:w="940" w:type="dxa"/>
            <w:vAlign w:val="bottom"/>
            <w:gridSpan w:val="2"/>
          </w:tcPr>
          <w:p>
            <w:pPr>
              <w:ind w:left="140"/>
              <w:spacing w:after="0" w:line="99" w:lineRule="exact"/>
              <w:rPr>
                <w:sz w:val="20"/>
                <w:szCs w:val="20"/>
                <w:color w:val="auto"/>
              </w:rPr>
            </w:pPr>
            <w:r>
              <w:rPr>
                <w:rFonts w:ascii="Arial" w:cs="Arial" w:eastAsia="Arial" w:hAnsi="Arial"/>
                <w:sz w:val="10"/>
                <w:szCs w:val="10"/>
                <w:b w:val="1"/>
                <w:bCs w:val="1"/>
                <w:color w:val="auto"/>
              </w:rPr>
              <w:t>Notional</w:t>
            </w:r>
          </w:p>
        </w:tc>
        <w:tc>
          <w:tcPr>
            <w:tcW w:w="1400" w:type="dxa"/>
            <w:vAlign w:val="bottom"/>
            <w:gridSpan w:val="3"/>
          </w:tcPr>
          <w:p>
            <w:pPr>
              <w:jc w:val="center"/>
              <w:ind w:right="440"/>
              <w:spacing w:after="0" w:line="99" w:lineRule="exact"/>
              <w:rPr>
                <w:sz w:val="20"/>
                <w:szCs w:val="20"/>
                <w:color w:val="auto"/>
              </w:rPr>
            </w:pPr>
            <w:r>
              <w:rPr>
                <w:rFonts w:ascii="Arial" w:cs="Arial" w:eastAsia="Arial" w:hAnsi="Arial"/>
                <w:sz w:val="10"/>
                <w:szCs w:val="10"/>
                <w:b w:val="1"/>
                <w:bCs w:val="1"/>
                <w:color w:val="auto"/>
                <w:w w:val="85"/>
              </w:rPr>
              <w:t>Fixed Pay</w:t>
            </w:r>
          </w:p>
        </w:tc>
        <w:tc>
          <w:tcPr>
            <w:tcW w:w="7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79"/>
              </w:rPr>
              <w:t>Receive</w:t>
            </w:r>
          </w:p>
        </w:tc>
        <w:tc>
          <w:tcPr>
            <w:tcW w:w="9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7"/>
              </w:rPr>
              <w:t>Maturity</w:t>
            </w:r>
          </w:p>
        </w:tc>
        <w:tc>
          <w:tcPr>
            <w:tcW w:w="0" w:type="dxa"/>
            <w:vAlign w:val="bottom"/>
          </w:tcPr>
          <w:p>
            <w:pPr>
              <w:spacing w:after="0"/>
              <w:rPr>
                <w:sz w:val="1"/>
                <w:szCs w:val="1"/>
                <w:color w:val="auto"/>
              </w:rPr>
            </w:pPr>
          </w:p>
        </w:tc>
      </w:tr>
      <w:tr>
        <w:trPr>
          <w:trHeight w:val="127"/>
        </w:trPr>
        <w:tc>
          <w:tcPr>
            <w:tcW w:w="240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(Years)</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Rate</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268"/>
              <w:spacing w:after="0"/>
              <w:rPr>
                <w:sz w:val="20"/>
                <w:szCs w:val="20"/>
                <w:color w:val="auto"/>
              </w:rPr>
            </w:pPr>
            <w:r>
              <w:rPr>
                <w:rFonts w:ascii="Arial" w:cs="Arial" w:eastAsia="Arial" w:hAnsi="Arial"/>
                <w:sz w:val="10"/>
                <w:szCs w:val="10"/>
                <w:b w:val="1"/>
                <w:bCs w:val="1"/>
                <w:color w:val="auto"/>
                <w:w w:val="82"/>
              </w:rPr>
              <w:t>Rate</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(Years)</w:t>
            </w:r>
          </w:p>
        </w:tc>
        <w:tc>
          <w:tcPr>
            <w:tcW w:w="0" w:type="dxa"/>
            <w:vAlign w:val="bottom"/>
          </w:tcPr>
          <w:p>
            <w:pPr>
              <w:spacing w:after="0"/>
              <w:rPr>
                <w:sz w:val="1"/>
                <w:szCs w:val="1"/>
                <w:color w:val="auto"/>
              </w:rPr>
            </w:pPr>
          </w:p>
        </w:tc>
      </w:tr>
      <w:tr>
        <w:trPr>
          <w:trHeight w:val="13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3 years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26,750</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0.11%</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3.00%</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78"/>
              </w:rPr>
              <w:t>1.9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22,500</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0.10%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right="248"/>
              <w:spacing w:after="0"/>
              <w:rPr>
                <w:sz w:val="20"/>
                <w:szCs w:val="20"/>
                <w:color w:val="auto"/>
              </w:rPr>
            </w:pPr>
            <w:r>
              <w:rPr>
                <w:rFonts w:ascii="Arial" w:cs="Arial" w:eastAsia="Arial" w:hAnsi="Arial"/>
                <w:sz w:val="11"/>
                <w:szCs w:val="11"/>
                <w:color w:val="auto"/>
                <w:w w:val="89"/>
              </w:rPr>
              <w:t>0.05%</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2.0</w:t>
            </w:r>
          </w:p>
        </w:tc>
        <w:tc>
          <w:tcPr>
            <w:tcW w:w="0" w:type="dxa"/>
            <w:vAlign w:val="bottom"/>
          </w:tcPr>
          <w:p>
            <w:pPr>
              <w:spacing w:after="0"/>
              <w:rPr>
                <w:sz w:val="1"/>
                <w:szCs w:val="1"/>
                <w:color w:val="auto"/>
              </w:rPr>
            </w:pPr>
          </w:p>
        </w:tc>
      </w:tr>
      <w:tr>
        <w:trPr>
          <w:trHeight w:val="142"/>
        </w:trPr>
        <w:tc>
          <w:tcPr>
            <w:tcW w:w="2580" w:type="dxa"/>
            <w:vAlign w:val="bottom"/>
            <w:gridSpan w:val="2"/>
          </w:tcPr>
          <w:p>
            <w:pPr>
              <w:ind w:left="20"/>
              <w:spacing w:after="0"/>
              <w:rPr>
                <w:sz w:val="20"/>
                <w:szCs w:val="20"/>
                <w:color w:val="auto"/>
              </w:rPr>
            </w:pPr>
            <w:r>
              <w:rPr>
                <w:rFonts w:ascii="Arial" w:cs="Arial" w:eastAsia="Arial" w:hAnsi="Arial"/>
                <w:sz w:val="11"/>
                <w:szCs w:val="11"/>
                <w:color w:val="auto"/>
              </w:rPr>
              <w:t>&gt; 3 to ≤ 5 years</w:t>
            </w:r>
          </w:p>
        </w:tc>
        <w:tc>
          <w:tcPr>
            <w:tcW w:w="200" w:type="dxa"/>
            <w:vAlign w:val="bottom"/>
          </w:tcPr>
          <w:p>
            <w:pPr>
              <w:spacing w:after="0"/>
              <w:rPr>
                <w:sz w:val="12"/>
                <w:szCs w:val="12"/>
                <w:color w:val="auto"/>
              </w:rPr>
            </w:pPr>
          </w:p>
        </w:tc>
        <w:tc>
          <w:tcPr>
            <w:tcW w:w="800" w:type="dxa"/>
            <w:vAlign w:val="bottom"/>
          </w:tcPr>
          <w:p>
            <w:pPr>
              <w:jc w:val="right"/>
              <w:ind w:right="8"/>
              <w:spacing w:after="0"/>
              <w:rPr>
                <w:sz w:val="20"/>
                <w:szCs w:val="20"/>
                <w:color w:val="auto"/>
              </w:rPr>
            </w:pPr>
            <w:r>
              <w:rPr>
                <w:rFonts w:ascii="Arial" w:cs="Arial" w:eastAsia="Arial" w:hAnsi="Arial"/>
                <w:sz w:val="11"/>
                <w:szCs w:val="11"/>
                <w:color w:val="auto"/>
              </w:rPr>
              <w:t>11,300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0.22%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3.00%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78"/>
              </w:rPr>
              <w:t>4.0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16,800</w:t>
            </w: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right="248"/>
              <w:spacing w:after="0"/>
              <w:rPr>
                <w:sz w:val="20"/>
                <w:szCs w:val="20"/>
                <w:color w:val="auto"/>
              </w:rPr>
            </w:pPr>
            <w:r>
              <w:rPr>
                <w:rFonts w:ascii="Arial" w:cs="Arial" w:eastAsia="Arial" w:hAnsi="Arial"/>
                <w:sz w:val="11"/>
                <w:szCs w:val="11"/>
                <w:color w:val="auto"/>
                <w:w w:val="89"/>
              </w:rPr>
              <w:t>0.06%</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1"/>
              </w:rPr>
              <w:t>4.0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&gt; 5 to ≤ 7 years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4,950</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0.52%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2.98%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78"/>
              </w:rPr>
              <w:t>6.2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6,050</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0.29%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right="248"/>
              <w:spacing w:after="0"/>
              <w:rPr>
                <w:sz w:val="20"/>
                <w:szCs w:val="20"/>
                <w:color w:val="auto"/>
              </w:rPr>
            </w:pPr>
            <w:r>
              <w:rPr>
                <w:rFonts w:ascii="Arial" w:cs="Arial" w:eastAsia="Arial" w:hAnsi="Arial"/>
                <w:sz w:val="11"/>
                <w:szCs w:val="11"/>
                <w:color w:val="auto"/>
                <w:w w:val="89"/>
              </w:rPr>
              <w:t>0.05%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6.0</w:t>
            </w:r>
          </w:p>
        </w:tc>
        <w:tc>
          <w:tcPr>
            <w:tcW w:w="0" w:type="dxa"/>
            <w:vAlign w:val="bottom"/>
          </w:tcPr>
          <w:p>
            <w:pPr>
              <w:spacing w:after="0"/>
              <w:rPr>
                <w:sz w:val="1"/>
                <w:szCs w:val="1"/>
                <w:color w:val="auto"/>
              </w:rPr>
            </w:pPr>
          </w:p>
        </w:tc>
      </w:tr>
      <w:tr>
        <w:trPr>
          <w:trHeight w:val="142"/>
        </w:trPr>
        <w:tc>
          <w:tcPr>
            <w:tcW w:w="2580" w:type="dxa"/>
            <w:vAlign w:val="bottom"/>
            <w:gridSpan w:val="2"/>
          </w:tcPr>
          <w:p>
            <w:pPr>
              <w:ind w:left="20"/>
              <w:spacing w:after="0"/>
              <w:rPr>
                <w:sz w:val="20"/>
                <w:szCs w:val="20"/>
                <w:color w:val="auto"/>
              </w:rPr>
            </w:pPr>
            <w:r>
              <w:rPr>
                <w:rFonts w:ascii="Arial" w:cs="Arial" w:eastAsia="Arial" w:hAnsi="Arial"/>
                <w:sz w:val="11"/>
                <w:szCs w:val="11"/>
                <w:color w:val="auto"/>
              </w:rPr>
              <w:t>&gt; 7 to ≤ 10 years</w:t>
            </w:r>
          </w:p>
        </w:tc>
        <w:tc>
          <w:tcPr>
            <w:tcW w:w="200" w:type="dxa"/>
            <w:vAlign w:val="bottom"/>
          </w:tcPr>
          <w:p>
            <w:pPr>
              <w:spacing w:after="0"/>
              <w:rPr>
                <w:sz w:val="12"/>
                <w:szCs w:val="12"/>
                <w:color w:val="auto"/>
              </w:rPr>
            </w:pPr>
          </w:p>
        </w:tc>
        <w:tc>
          <w:tcPr>
            <w:tcW w:w="800" w:type="dxa"/>
            <w:vAlign w:val="bottom"/>
          </w:tcPr>
          <w:p>
            <w:pPr>
              <w:jc w:val="right"/>
              <w:ind w:right="8"/>
              <w:spacing w:after="0"/>
              <w:rPr>
                <w:sz w:val="20"/>
                <w:szCs w:val="20"/>
                <w:color w:val="auto"/>
              </w:rPr>
            </w:pPr>
            <w:r>
              <w:rPr>
                <w:rFonts w:ascii="Arial" w:cs="Arial" w:eastAsia="Arial" w:hAnsi="Arial"/>
                <w:sz w:val="11"/>
                <w:szCs w:val="11"/>
                <w:color w:val="auto"/>
              </w:rPr>
              <w:t>3,150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0.40%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3.00%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78"/>
              </w:rPr>
              <w:t>8.2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4,400</w:t>
            </w: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0.46%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right="248"/>
              <w:spacing w:after="0"/>
              <w:rPr>
                <w:sz w:val="20"/>
                <w:szCs w:val="20"/>
                <w:color w:val="auto"/>
              </w:rPr>
            </w:pPr>
            <w:r>
              <w:rPr>
                <w:rFonts w:ascii="Arial" w:cs="Arial" w:eastAsia="Arial" w:hAnsi="Arial"/>
                <w:sz w:val="11"/>
                <w:szCs w:val="11"/>
                <w:color w:val="auto"/>
                <w:w w:val="89"/>
              </w:rPr>
              <w:t>0.05%</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1"/>
              </w:rPr>
              <w:t>8.5</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&gt; 10 years</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975</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9"/>
              </w:rPr>
              <w:t>0.51%</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9"/>
              </w:rPr>
              <w:t>3.01%</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3"/>
              </w:rPr>
              <w:t>13.8</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1,475</w:t>
            </w:r>
          </w:p>
        </w:tc>
        <w:tc>
          <w:tcPr>
            <w:tcW w:w="12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9"/>
              </w:rPr>
              <w:t>0.47%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center"/>
              <w:ind w:right="248"/>
              <w:spacing w:after="0"/>
              <w:rPr>
                <w:sz w:val="20"/>
                <w:szCs w:val="20"/>
                <w:color w:val="auto"/>
              </w:rPr>
            </w:pPr>
            <w:r>
              <w:rPr>
                <w:rFonts w:ascii="Arial" w:cs="Arial" w:eastAsia="Arial" w:hAnsi="Arial"/>
                <w:sz w:val="11"/>
                <w:szCs w:val="11"/>
                <w:color w:val="auto"/>
                <w:w w:val="89"/>
              </w:rPr>
              <w:t>0.05%</w:t>
            </w:r>
          </w:p>
        </w:tc>
        <w:tc>
          <w:tcPr>
            <w:tcW w:w="1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3"/>
              </w:rPr>
              <w:t>13.2</w:t>
            </w:r>
          </w:p>
        </w:tc>
        <w:tc>
          <w:tcPr>
            <w:tcW w:w="0" w:type="dxa"/>
            <w:vAlign w:val="bottom"/>
          </w:tcPr>
          <w:p>
            <w:pPr>
              <w:spacing w:after="0"/>
              <w:rPr>
                <w:sz w:val="1"/>
                <w:szCs w:val="1"/>
                <w:color w:val="auto"/>
              </w:rPr>
            </w:pP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47,125</w:t>
            </w:r>
          </w:p>
        </w:tc>
        <w:tc>
          <w:tcPr>
            <w:tcW w:w="8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0.21%</w:t>
            </w:r>
          </w:p>
        </w:tc>
        <w:tc>
          <w:tcPr>
            <w:tcW w:w="8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3.00%</w:t>
            </w:r>
          </w:p>
        </w:tc>
        <w:tc>
          <w:tcPr>
            <w:tcW w:w="8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78"/>
              </w:rPr>
              <w:t>3.5</w:t>
            </w:r>
          </w:p>
        </w:tc>
        <w:tc>
          <w:tcPr>
            <w:tcW w:w="18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51,225</w:t>
            </w:r>
          </w:p>
        </w:tc>
        <w:tc>
          <w:tcPr>
            <w:tcW w:w="12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0.20%</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248"/>
              <w:spacing w:after="0"/>
              <w:rPr>
                <w:sz w:val="20"/>
                <w:szCs w:val="20"/>
                <w:color w:val="auto"/>
              </w:rPr>
            </w:pPr>
            <w:r>
              <w:rPr>
                <w:rFonts w:ascii="Arial" w:cs="Arial" w:eastAsia="Arial" w:hAnsi="Arial"/>
                <w:sz w:val="11"/>
                <w:szCs w:val="11"/>
                <w:color w:val="auto"/>
                <w:w w:val="89"/>
              </w:rPr>
              <w:t>0.05%</w:t>
            </w:r>
          </w:p>
        </w:tc>
        <w:tc>
          <w:tcPr>
            <w:tcW w:w="10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4.0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w w:val="99"/>
              </w:rPr>
              <w:t>Pay Fixed / Receive Variable Interest Rate Swaps by Receive Index (% of Notional</w:t>
            </w:r>
          </w:p>
        </w:tc>
        <w:tc>
          <w:tcPr>
            <w:tcW w:w="1780" w:type="dxa"/>
            <w:vAlign w:val="bottom"/>
            <w:gridSpan w:val="2"/>
          </w:tcPr>
          <w:p>
            <w:pPr>
              <w:ind w:left="500"/>
              <w:spacing w:after="0"/>
              <w:rPr>
                <w:sz w:val="20"/>
                <w:szCs w:val="20"/>
                <w:color w:val="auto"/>
              </w:rPr>
            </w:pPr>
            <w:r>
              <w:rPr>
                <w:rFonts w:ascii="Arial" w:cs="Arial" w:eastAsia="Arial" w:hAnsi="Arial"/>
                <w:sz w:val="10"/>
                <w:szCs w:val="10"/>
                <w:b w:val="1"/>
                <w:bCs w:val="1"/>
                <w:color w:val="auto"/>
              </w:rPr>
              <w:t>September 30,</w:t>
            </w:r>
          </w:p>
        </w:tc>
        <w:tc>
          <w:tcPr>
            <w:tcW w:w="1600" w:type="dxa"/>
            <w:vAlign w:val="bottom"/>
            <w:vMerge w:val="restart"/>
          </w:tcPr>
          <w:p>
            <w:pPr>
              <w:jc w:val="right"/>
              <w:ind w:right="368"/>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1"/>
                <w:szCs w:val="11"/>
                <w:color w:val="auto"/>
              </w:rPr>
            </w:pPr>
          </w:p>
        </w:tc>
        <w:tc>
          <w:tcPr>
            <w:tcW w:w="1580" w:type="dxa"/>
            <w:vAlign w:val="bottom"/>
            <w:tcBorders>
              <w:bottom w:val="single" w:sz="8" w:color="auto"/>
            </w:tcBorders>
          </w:tcPr>
          <w:p>
            <w:pPr>
              <w:jc w:val="right"/>
              <w:ind w:right="648"/>
              <w:spacing w:after="0"/>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SOFR</w:t>
            </w:r>
          </w:p>
        </w:tc>
        <w:tc>
          <w:tcPr>
            <w:tcW w:w="1580" w:type="dxa"/>
            <w:vAlign w:val="bottom"/>
          </w:tcPr>
          <w:p>
            <w:pPr>
              <w:jc w:val="right"/>
              <w:spacing w:after="0"/>
              <w:rPr>
                <w:sz w:val="20"/>
                <w:szCs w:val="20"/>
                <w:color w:val="auto"/>
              </w:rPr>
            </w:pPr>
            <w:r>
              <w:rPr>
                <w:rFonts w:ascii="Arial" w:cs="Arial" w:eastAsia="Arial" w:hAnsi="Arial"/>
                <w:sz w:val="11"/>
                <w:szCs w:val="11"/>
                <w:color w:val="auto"/>
              </w:rPr>
              <w:t>80 %</w:t>
            </w:r>
          </w:p>
        </w:tc>
        <w:tc>
          <w:tcPr>
            <w:tcW w:w="20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75 %</w:t>
            </w:r>
          </w:p>
        </w:tc>
        <w:tc>
          <w:tcPr>
            <w:tcW w:w="0" w:type="dxa"/>
            <w:vAlign w:val="bottom"/>
          </w:tcPr>
          <w:p>
            <w:pPr>
              <w:spacing w:after="0"/>
              <w:rPr>
                <w:sz w:val="1"/>
                <w:szCs w:val="1"/>
                <w:color w:val="auto"/>
              </w:rPr>
            </w:pPr>
          </w:p>
        </w:tc>
      </w:tr>
      <w:tr>
        <w:trPr>
          <w:trHeight w:val="144"/>
        </w:trPr>
        <w:tc>
          <w:tcPr>
            <w:tcW w:w="3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OIS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200" w:type="dxa"/>
            <w:vAlign w:val="bottom"/>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100 %</w:t>
            </w:r>
          </w:p>
        </w:tc>
        <w:tc>
          <w:tcPr>
            <w:tcW w:w="200" w:type="dxa"/>
            <w:vAlign w:val="bottom"/>
          </w:tcPr>
          <w:p>
            <w:pPr>
              <w:spacing w:after="0"/>
              <w:rPr>
                <w:sz w:val="11"/>
                <w:szCs w:val="1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2"/>
        </w:trPr>
        <w:tc>
          <w:tcPr>
            <w:tcW w:w="4200" w:type="dxa"/>
            <w:vAlign w:val="bottom"/>
            <w:gridSpan w:val="2"/>
          </w:tcPr>
          <w:p>
            <w:pPr>
              <w:spacing w:after="0"/>
              <w:rPr>
                <w:sz w:val="20"/>
                <w:szCs w:val="20"/>
                <w:color w:val="auto"/>
              </w:rPr>
            </w:pPr>
            <w:r>
              <w:rPr>
                <w:rFonts w:ascii="Arial" w:cs="Arial" w:eastAsia="Arial" w:hAnsi="Arial"/>
                <w:sz w:val="10"/>
                <w:szCs w:val="10"/>
                <w:b w:val="1"/>
                <w:bCs w:val="1"/>
                <w:color w:val="auto"/>
              </w:rPr>
              <w:t>Payer Swaptions</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6"/>
              </w:rPr>
              <w:t>Option</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Underlying Payer Swap</w:t>
            </w:r>
          </w:p>
        </w:tc>
        <w:tc>
          <w:tcPr>
            <w:tcW w:w="1120" w:type="dxa"/>
            <w:vAlign w:val="bottom"/>
          </w:tcPr>
          <w:p>
            <w:pPr>
              <w:spacing w:after="0"/>
              <w:rPr>
                <w:sz w:val="11"/>
                <w:szCs w:val="11"/>
                <w:color w:val="auto"/>
              </w:rPr>
            </w:pPr>
          </w:p>
        </w:tc>
      </w:tr>
      <w:tr>
        <w:trPr>
          <w:trHeight w:val="91"/>
        </w:trPr>
        <w:tc>
          <w:tcPr>
            <w:tcW w:w="41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6"/>
              </w:rPr>
              <w:t>Average</w:t>
            </w: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r>
      <w:tr>
        <w:trPr>
          <w:trHeight w:val="99"/>
        </w:trPr>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Months to Current</w:t>
            </w: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5"/>
        </w:trPr>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2"/>
              </w:rPr>
              <w:t>Option</w:t>
            </w:r>
          </w:p>
        </w:tc>
        <w:tc>
          <w:tcPr>
            <w:tcW w:w="220" w:type="dxa"/>
            <w:vAlign w:val="bottom"/>
          </w:tcPr>
          <w:p>
            <w:pPr>
              <w:spacing w:after="0"/>
              <w:rPr>
                <w:sz w:val="8"/>
                <w:szCs w:val="8"/>
                <w:color w:val="auto"/>
              </w:rPr>
            </w:pPr>
          </w:p>
        </w:tc>
        <w:tc>
          <w:tcPr>
            <w:tcW w:w="980" w:type="dxa"/>
            <w:vAlign w:val="bottom"/>
            <w:gridSpan w:val="2"/>
          </w:tcPr>
          <w:p>
            <w:pPr>
              <w:ind w:left="160"/>
              <w:spacing w:after="0" w:line="96" w:lineRule="exact"/>
              <w:rPr>
                <w:sz w:val="20"/>
                <w:szCs w:val="20"/>
                <w:color w:val="auto"/>
              </w:rPr>
            </w:pPr>
            <w:r>
              <w:rPr>
                <w:rFonts w:ascii="Arial" w:cs="Arial" w:eastAsia="Arial" w:hAnsi="Arial"/>
                <w:sz w:val="10"/>
                <w:szCs w:val="10"/>
                <w:b w:val="1"/>
                <w:bCs w:val="1"/>
                <w:color w:val="auto"/>
              </w:rPr>
              <w:t>Notional</w:t>
            </w:r>
          </w:p>
        </w:tc>
        <w:tc>
          <w:tcPr>
            <w:tcW w:w="11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5"/>
              </w:rPr>
              <w:t>Average Fixed Pay</w:t>
            </w:r>
          </w:p>
        </w:tc>
        <w:tc>
          <w:tcPr>
            <w:tcW w:w="11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Term</w:t>
            </w:r>
          </w:p>
        </w:tc>
      </w:tr>
      <w:tr>
        <w:trPr>
          <w:trHeight w:val="135"/>
        </w:trPr>
        <w:tc>
          <w:tcPr>
            <w:tcW w:w="4200" w:type="dxa"/>
            <w:vAlign w:val="bottom"/>
            <w:gridSpan w:val="2"/>
          </w:tcPr>
          <w:p>
            <w:pPr>
              <w:spacing w:after="0"/>
              <w:rPr>
                <w:sz w:val="20"/>
                <w:szCs w:val="20"/>
                <w:color w:val="auto"/>
              </w:rPr>
            </w:pPr>
            <w:r>
              <w:rPr>
                <w:rFonts w:ascii="Arial" w:cs="Arial" w:eastAsia="Arial" w:hAnsi="Arial"/>
                <w:sz w:val="10"/>
                <w:szCs w:val="10"/>
                <w:b w:val="1"/>
                <w:bCs w:val="1"/>
                <w:color w:val="auto"/>
              </w:rPr>
              <w:t>Current Option Expiration Date</w:t>
            </w:r>
          </w:p>
        </w:tc>
        <w:tc>
          <w:tcPr>
            <w:tcW w:w="20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Cost Basis</w:t>
            </w:r>
          </w:p>
        </w:tc>
        <w:tc>
          <w:tcPr>
            <w:tcW w:w="2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Fair Value</w:t>
            </w:r>
          </w:p>
        </w:tc>
        <w:tc>
          <w:tcPr>
            <w:tcW w:w="12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 xml:space="preserve">Expiration Date </w:t>
            </w:r>
            <w:r>
              <w:rPr>
                <w:rFonts w:ascii="Arial" w:cs="Arial" w:eastAsia="Arial" w:hAnsi="Arial"/>
                <w:sz w:val="6"/>
                <w:szCs w:val="6"/>
                <w:b w:val="1"/>
                <w:bCs w:val="1"/>
                <w:color w:val="auto"/>
                <w:w w:val="88"/>
              </w:rPr>
              <w:t>1</w:t>
            </w:r>
          </w:p>
        </w:tc>
        <w:tc>
          <w:tcPr>
            <w:tcW w:w="22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w:t>
            </w: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0"/>
                <w:szCs w:val="10"/>
                <w:b w:val="1"/>
                <w:bCs w:val="1"/>
                <w:color w:val="auto"/>
                <w:w w:val="82"/>
              </w:rPr>
              <w:t xml:space="preserve">Rate </w:t>
            </w:r>
            <w:r>
              <w:rPr>
                <w:rFonts w:ascii="Arial" w:cs="Arial" w:eastAsia="Arial" w:hAnsi="Arial"/>
                <w:sz w:val="12"/>
                <w:szCs w:val="12"/>
                <w:b w:val="1"/>
                <w:bCs w:val="1"/>
                <w:color w:val="auto"/>
                <w:w w:val="82"/>
                <w:vertAlign w:val="superscript"/>
              </w:rPr>
              <w:t>2</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82"/>
              </w:rPr>
              <w:t>(Years)</w:t>
            </w:r>
          </w:p>
        </w:tc>
      </w:tr>
      <w:tr>
        <w:trPr>
          <w:trHeight w:val="133"/>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September 30, 2022</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r>
      <w:tr>
        <w:trPr>
          <w:trHeight w:val="142"/>
        </w:trPr>
        <w:tc>
          <w:tcPr>
            <w:tcW w:w="4200" w:type="dxa"/>
            <w:vAlign w:val="bottom"/>
            <w:gridSpan w:val="2"/>
          </w:tcPr>
          <w:p>
            <w:pPr>
              <w:spacing w:after="0"/>
              <w:rPr>
                <w:sz w:val="20"/>
                <w:szCs w:val="20"/>
                <w:color w:val="auto"/>
              </w:rPr>
            </w:pPr>
            <w:r>
              <w:rPr>
                <w:rFonts w:ascii="Arial" w:cs="Arial" w:eastAsia="Arial" w:hAnsi="Arial"/>
                <w:sz w:val="11"/>
                <w:szCs w:val="11"/>
                <w:color w:val="auto"/>
              </w:rPr>
              <w:t>≤ 1 year</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97"/>
              </w:rPr>
              <w:t>6</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1,350</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2.02%</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91"/>
              </w:rPr>
              <w:t>9.5</w:t>
            </w:r>
          </w:p>
        </w:tc>
      </w:tr>
      <w:tr>
        <w:trPr>
          <w:trHeight w:val="144"/>
        </w:trPr>
        <w:tc>
          <w:tcPr>
            <w:tcW w:w="4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&gt; 1 year ≤ 2 years</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1"/>
              </w:rPr>
              <w:t>20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2,050</w:t>
            </w:r>
          </w:p>
        </w:tc>
        <w:tc>
          <w:tcPr>
            <w:tcW w:w="10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9"/>
              </w:rPr>
              <w:t>2.46%</w:t>
            </w:r>
          </w:p>
        </w:tc>
        <w:tc>
          <w:tcPr>
            <w:tcW w:w="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3"/>
              </w:rPr>
              <w:t>10.0</w:t>
            </w:r>
          </w:p>
        </w:tc>
      </w:tr>
      <w:tr>
        <w:trPr>
          <w:trHeight w:val="151"/>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14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3,400</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2.28%</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9.8</w:t>
            </w:r>
          </w:p>
        </w:tc>
      </w:tr>
      <w:tr>
        <w:trPr>
          <w:trHeight w:val="153"/>
        </w:trPr>
        <w:tc>
          <w:tcPr>
            <w:tcW w:w="4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42"/>
        </w:trPr>
        <w:tc>
          <w:tcPr>
            <w:tcW w:w="4200" w:type="dxa"/>
            <w:vAlign w:val="bottom"/>
            <w:gridSpan w:val="2"/>
          </w:tcPr>
          <w:p>
            <w:pPr>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4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1 year</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3,800</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1.81%</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8.5</w:t>
            </w:r>
          </w:p>
        </w:tc>
      </w:tr>
      <w:tr>
        <w:trPr>
          <w:trHeight w:val="142"/>
        </w:trPr>
        <w:tc>
          <w:tcPr>
            <w:tcW w:w="4200" w:type="dxa"/>
            <w:vAlign w:val="bottom"/>
            <w:gridSpan w:val="2"/>
          </w:tcPr>
          <w:p>
            <w:pPr>
              <w:spacing w:after="0"/>
              <w:rPr>
                <w:sz w:val="20"/>
                <w:szCs w:val="20"/>
                <w:color w:val="auto"/>
              </w:rPr>
            </w:pPr>
            <w:r>
              <w:rPr>
                <w:rFonts w:ascii="Arial" w:cs="Arial" w:eastAsia="Arial" w:hAnsi="Arial"/>
                <w:sz w:val="11"/>
                <w:szCs w:val="11"/>
                <w:color w:val="auto"/>
              </w:rPr>
              <w:t>&gt; 1 year ≤ 2 years</w:t>
            </w:r>
          </w:p>
        </w:tc>
        <w:tc>
          <w:tcPr>
            <w:tcW w:w="20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128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81"/>
              </w:rPr>
              <w:t>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5,150</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89"/>
              </w:rPr>
              <w:t>1.69%</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w w:val="93"/>
              </w:rPr>
              <w:t>10.0</w:t>
            </w:r>
          </w:p>
        </w:tc>
      </w:tr>
      <w:tr>
        <w:trPr>
          <w:trHeight w:val="144"/>
        </w:trPr>
        <w:tc>
          <w:tcPr>
            <w:tcW w:w="4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&gt; 2 year ≤ 3 years</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1"/>
              </w:rPr>
              <w:t>28</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4,050</w:t>
            </w:r>
          </w:p>
        </w:tc>
        <w:tc>
          <w:tcPr>
            <w:tcW w:w="10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9"/>
              </w:rPr>
              <w:t>2.35%</w:t>
            </w:r>
          </w:p>
        </w:tc>
        <w:tc>
          <w:tcPr>
            <w:tcW w:w="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3"/>
              </w:rPr>
              <w:t>10.0</w:t>
            </w:r>
          </w:p>
        </w:tc>
      </w:tr>
      <w:tr>
        <w:trPr>
          <w:trHeight w:val="135"/>
        </w:trPr>
        <w:tc>
          <w:tcPr>
            <w:tcW w:w="42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328</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w:t>
            </w:r>
          </w:p>
        </w:tc>
        <w:tc>
          <w:tcPr>
            <w:tcW w:w="10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18</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13,000</w:t>
            </w:r>
          </w:p>
        </w:tc>
        <w:tc>
          <w:tcPr>
            <w:tcW w:w="10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1.93%</w:t>
            </w:r>
          </w:p>
        </w:tc>
        <w:tc>
          <w:tcPr>
            <w:tcW w:w="8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9.6</w:t>
            </w: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right="20" w:hanging="212"/>
        <w:spacing w:after="0" w:line="243" w:lineRule="auto"/>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color w:val="auto"/>
        </w:rPr>
        <w:t>As of September 30, 2022 and December 31, 2021, ≤ 1 year notional amount includes $0 million and $700 million of Bermudan swaptions where the options may be exercised on predetermined dates up to their final exercise date, which is six months prior to the underlying swaps' maturity date.</w:t>
      </w:r>
    </w:p>
    <w:p>
      <w:pPr>
        <w:ind w:left="420" w:hanging="212"/>
        <w:spacing w:after="0"/>
        <w:tabs>
          <w:tab w:leader="none" w:pos="420" w:val="left"/>
        </w:tabs>
        <w:numPr>
          <w:ilvl w:val="0"/>
          <w:numId w:val="8"/>
        </w:numPr>
        <w:rPr>
          <w:rFonts w:ascii="Arial" w:cs="Arial" w:eastAsia="Arial" w:hAnsi="Arial"/>
          <w:sz w:val="8"/>
          <w:szCs w:val="8"/>
          <w:color w:val="auto"/>
        </w:rPr>
      </w:pPr>
      <w:r>
        <w:rPr>
          <w:rFonts w:ascii="Arial" w:cs="Arial" w:eastAsia="Arial" w:hAnsi="Arial"/>
          <w:sz w:val="8"/>
          <w:szCs w:val="8"/>
          <w:color w:val="auto"/>
        </w:rPr>
        <w:t>As of September 30, 2022, 100% and —% of the underlying swap receive rates were tied to SOFR and 3-Month LIBOR, respectively. As of December 31, December 31, 2021, 95% and 5% of the underlying swap receive rates were tied to SOFR and 3-Month LIBOR, respectively.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380" w:type="dxa"/>
            <w:vAlign w:val="bottom"/>
            <w:gridSpan w:val="2"/>
          </w:tcPr>
          <w:p>
            <w:pPr>
              <w:spacing w:after="0"/>
              <w:rPr>
                <w:sz w:val="20"/>
                <w:szCs w:val="20"/>
                <w:color w:val="auto"/>
              </w:rPr>
            </w:pPr>
            <w:r>
              <w:rPr>
                <w:rFonts w:ascii="Arial" w:cs="Arial" w:eastAsia="Arial" w:hAnsi="Arial"/>
                <w:sz w:val="10"/>
                <w:szCs w:val="10"/>
                <w:b w:val="1"/>
                <w:bCs w:val="1"/>
                <w:color w:val="auto"/>
              </w:rPr>
              <w:t>U.S. Treasury 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2022</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2021</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27"/>
        </w:trPr>
        <w:tc>
          <w:tcPr>
            <w:tcW w:w="3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rPr>
              <w:t>Maturity</w:t>
            </w:r>
          </w:p>
        </w:tc>
        <w:tc>
          <w:tcPr>
            <w:tcW w:w="80" w:type="dxa"/>
            <w:vAlign w:val="bottom"/>
            <w:tcBorders>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0"/>
              </w:rPr>
              <w:t>Face Amount Long/(Short)</w:t>
            </w: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 xml:space="preserve">Cost Basis </w:t>
            </w:r>
            <w:r>
              <w:rPr>
                <w:rFonts w:ascii="Arial" w:cs="Arial" w:eastAsia="Arial" w:hAnsi="Arial"/>
                <w:sz w:val="6"/>
                <w:szCs w:val="6"/>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7"/>
              </w:rPr>
              <w:t>Face Amount Long/(Short)</w:t>
            </w: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 xml:space="preserve">Cost Basis </w:t>
            </w:r>
            <w:r>
              <w:rPr>
                <w:rFonts w:ascii="Arial" w:cs="Arial" w:eastAsia="Arial" w:hAnsi="Arial"/>
                <w:sz w:val="6"/>
                <w:szCs w:val="6"/>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Fair Value</w:t>
            </w:r>
          </w:p>
        </w:tc>
      </w:tr>
      <w:tr>
        <w:trPr>
          <w:trHeight w:val="139"/>
        </w:trPr>
        <w:tc>
          <w:tcPr>
            <w:tcW w:w="3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 years</w:t>
            </w:r>
          </w:p>
        </w:tc>
        <w:tc>
          <w:tcPr>
            <w:tcW w:w="460" w:type="dxa"/>
            <w:vAlign w:val="bottom"/>
            <w:shd w:val="clear" w:color="auto" w:fill="CCEEFF"/>
          </w:tcPr>
          <w:p>
            <w:pPr>
              <w:jc w:val="right"/>
              <w:ind w:right="328"/>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w:t>
            </w:r>
          </w:p>
        </w:tc>
      </w:tr>
      <w:tr>
        <w:trPr>
          <w:trHeight w:val="142"/>
        </w:trPr>
        <w:tc>
          <w:tcPr>
            <w:tcW w:w="3380" w:type="dxa"/>
            <w:vAlign w:val="bottom"/>
            <w:gridSpan w:val="2"/>
          </w:tcPr>
          <w:p>
            <w:pPr>
              <w:spacing w:after="0"/>
              <w:rPr>
                <w:sz w:val="20"/>
                <w:szCs w:val="20"/>
                <w:color w:val="auto"/>
              </w:rPr>
            </w:pPr>
            <w:r>
              <w:rPr>
                <w:rFonts w:ascii="Arial" w:cs="Arial" w:eastAsia="Arial" w:hAnsi="Arial"/>
                <w:sz w:val="11"/>
                <w:szCs w:val="11"/>
                <w:color w:val="auto"/>
              </w:rPr>
              <w:t>7 years</w:t>
            </w: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(970)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(1,218)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(1,206)</w:t>
            </w:r>
          </w:p>
        </w:tc>
      </w:tr>
      <w:tr>
        <w:trPr>
          <w:trHeight w:val="146"/>
        </w:trPr>
        <w:tc>
          <w:tcPr>
            <w:tcW w:w="3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10 years</w:t>
            </w: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(7,727)</w:t>
            </w:r>
          </w:p>
        </w:tc>
      </w:tr>
      <w:tr>
        <w:trPr>
          <w:trHeight w:val="142"/>
        </w:trPr>
        <w:tc>
          <w:tcPr>
            <w:tcW w:w="3380" w:type="dxa"/>
            <w:vAlign w:val="bottom"/>
            <w:gridSpan w:val="2"/>
          </w:tcPr>
          <w:p>
            <w:pPr>
              <w:spacing w:after="0"/>
              <w:rPr>
                <w:sz w:val="20"/>
                <w:szCs w:val="20"/>
                <w:color w:val="auto"/>
              </w:rPr>
            </w:pPr>
            <w:r>
              <w:rPr>
                <w:rFonts w:ascii="Arial" w:cs="Arial" w:eastAsia="Arial" w:hAnsi="Arial"/>
                <w:sz w:val="11"/>
                <w:szCs w:val="11"/>
                <w:color w:val="auto"/>
              </w:rPr>
              <w:t>20 years</w:t>
            </w: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ind w:left="10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U.S. Treasury securities</w:t>
            </w:r>
          </w:p>
        </w:tc>
        <w:tc>
          <w:tcPr>
            <w:tcW w:w="46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(7,423)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(7,399)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(6,256)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(9,118)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(9,117)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(9,226)</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hanging="212"/>
        <w:spacing w:after="0" w:line="246"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As of September 30, 2022 and December 31, 2021, short U.S. Treasury securities totaling $(7.5) billion and $(9.7) billion, at fair value, respectively, had a weighted average yield of 1.82% and 1.56%, respectively. As of September 30, 2022 and December 31, 2021, long U.S. Treasury securities totaling $1.2 billion and $0.5 billion, at fair value, respectively, had a weighted average yield of 3.61% and 1.18%, respectively.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40" w:type="dxa"/>
            <w:vAlign w:val="bottom"/>
            <w:gridSpan w:val="2"/>
          </w:tcPr>
          <w:p>
            <w:pPr>
              <w:ind w:left="20"/>
              <w:spacing w:after="0"/>
              <w:rPr>
                <w:sz w:val="20"/>
                <w:szCs w:val="20"/>
                <w:color w:val="auto"/>
              </w:rPr>
            </w:pPr>
            <w:r>
              <w:rPr>
                <w:rFonts w:ascii="Arial" w:cs="Arial" w:eastAsia="Arial" w:hAnsi="Arial"/>
                <w:sz w:val="10"/>
                <w:szCs w:val="10"/>
                <w:b w:val="1"/>
                <w:bCs w:val="1"/>
                <w:color w:val="auto"/>
              </w:rPr>
              <w:t>U.S. Treasury Futures</w:t>
            </w: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September 30, 2022</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December 31, 2021</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jc w:val="center"/>
              <w:ind w:left="296"/>
              <w:spacing w:after="0" w:line="86" w:lineRule="exact"/>
              <w:rPr>
                <w:sz w:val="20"/>
                <w:szCs w:val="20"/>
                <w:color w:val="auto"/>
              </w:rPr>
            </w:pPr>
            <w:r>
              <w:rPr>
                <w:rFonts w:ascii="Arial" w:cs="Arial" w:eastAsia="Arial" w:hAnsi="Arial"/>
                <w:sz w:val="8"/>
                <w:szCs w:val="8"/>
                <w:b w:val="1"/>
                <w:bCs w:val="1"/>
                <w:color w:val="auto"/>
                <w:w w:val="99"/>
              </w:rPr>
              <w:t>Notional</w:t>
            </w: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8"/>
                <w:szCs w:val="8"/>
                <w:b w:val="1"/>
                <w:bCs w:val="1"/>
                <w:color w:val="auto"/>
              </w:rPr>
              <w:t>Cost</w:t>
            </w:r>
          </w:p>
        </w:tc>
        <w:tc>
          <w:tcPr>
            <w:tcW w:w="3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8"/>
                <w:szCs w:val="8"/>
                <w:b w:val="1"/>
                <w:bCs w:val="1"/>
                <w:color w:val="auto"/>
              </w:rPr>
              <w:t>Fair</w:t>
            </w: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jc w:val="center"/>
              <w:ind w:right="320"/>
              <w:spacing w:after="0" w:line="86" w:lineRule="exact"/>
              <w:rPr>
                <w:sz w:val="20"/>
                <w:szCs w:val="20"/>
                <w:color w:val="auto"/>
              </w:rPr>
            </w:pPr>
            <w:r>
              <w:rPr>
                <w:rFonts w:ascii="Arial" w:cs="Arial" w:eastAsia="Arial" w:hAnsi="Arial"/>
                <w:sz w:val="8"/>
                <w:szCs w:val="8"/>
                <w:b w:val="1"/>
                <w:bCs w:val="1"/>
                <w:color w:val="auto"/>
                <w:w w:val="93"/>
              </w:rPr>
              <w:t>Notional</w:t>
            </w: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8"/>
                <w:szCs w:val="8"/>
                <w:b w:val="1"/>
                <w:bCs w:val="1"/>
                <w:color w:val="auto"/>
              </w:rPr>
              <w:t>Cost</w:t>
            </w: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8"/>
                <w:szCs w:val="8"/>
                <w:b w:val="1"/>
                <w:bCs w:val="1"/>
                <w:color w:val="auto"/>
                <w:w w:val="95"/>
              </w:rPr>
              <w:t>Fair</w:t>
            </w: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Maturity</w:t>
            </w:r>
          </w:p>
        </w:tc>
        <w:tc>
          <w:tcPr>
            <w:tcW w:w="820" w:type="dxa"/>
            <w:vAlign w:val="bottom"/>
          </w:tcPr>
          <w:p>
            <w:pPr>
              <w:jc w:val="center"/>
              <w:ind w:left="316"/>
              <w:spacing w:after="0" w:line="83" w:lineRule="exact"/>
              <w:rPr>
                <w:sz w:val="20"/>
                <w:szCs w:val="20"/>
                <w:color w:val="auto"/>
              </w:rPr>
            </w:pPr>
            <w:r>
              <w:rPr>
                <w:rFonts w:ascii="Arial" w:cs="Arial" w:eastAsia="Arial" w:hAnsi="Arial"/>
                <w:sz w:val="8"/>
                <w:szCs w:val="8"/>
                <w:b w:val="1"/>
                <w:bCs w:val="1"/>
                <w:color w:val="auto"/>
                <w:w w:val="99"/>
              </w:rPr>
              <w:t>Amount</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 xml:space="preserve">Net Carrying Value </w:t>
            </w:r>
            <w:r>
              <w:rPr>
                <w:rFonts w:ascii="Arial" w:cs="Arial" w:eastAsia="Arial" w:hAnsi="Arial"/>
                <w:sz w:val="10"/>
                <w:szCs w:val="10"/>
                <w:b w:val="1"/>
                <w:bCs w:val="1"/>
                <w:color w:val="auto"/>
                <w:vertAlign w:val="superscript"/>
              </w:rPr>
              <w:t>1</w:t>
            </w:r>
          </w:p>
        </w:tc>
        <w:tc>
          <w:tcPr>
            <w:tcW w:w="200" w:type="dxa"/>
            <w:vAlign w:val="bottom"/>
          </w:tcPr>
          <w:p>
            <w:pPr>
              <w:spacing w:after="0"/>
              <w:rPr>
                <w:sz w:val="7"/>
                <w:szCs w:val="7"/>
                <w:color w:val="auto"/>
              </w:rPr>
            </w:pPr>
          </w:p>
        </w:tc>
        <w:tc>
          <w:tcPr>
            <w:tcW w:w="1060" w:type="dxa"/>
            <w:vAlign w:val="bottom"/>
            <w:gridSpan w:val="2"/>
          </w:tcPr>
          <w:p>
            <w:pPr>
              <w:jc w:val="center"/>
              <w:ind w:right="300"/>
              <w:spacing w:after="0" w:line="83" w:lineRule="exact"/>
              <w:rPr>
                <w:sz w:val="20"/>
                <w:szCs w:val="20"/>
                <w:color w:val="auto"/>
              </w:rPr>
            </w:pPr>
            <w:r>
              <w:rPr>
                <w:rFonts w:ascii="Arial" w:cs="Arial" w:eastAsia="Arial" w:hAnsi="Arial"/>
                <w:sz w:val="8"/>
                <w:szCs w:val="8"/>
                <w:b w:val="1"/>
                <w:bCs w:val="1"/>
                <w:color w:val="auto"/>
                <w:w w:val="92"/>
              </w:rPr>
              <w:t>Amount</w:t>
            </w: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ind w:left="20"/>
              <w:spacing w:after="0"/>
              <w:rPr>
                <w:sz w:val="20"/>
                <w:szCs w:val="20"/>
                <w:color w:val="auto"/>
              </w:rPr>
            </w:pPr>
            <w:r>
              <w:rPr>
                <w:rFonts w:ascii="Arial" w:cs="Arial" w:eastAsia="Arial" w:hAnsi="Arial"/>
                <w:sz w:val="8"/>
                <w:szCs w:val="8"/>
                <w:b w:val="1"/>
                <w:bCs w:val="1"/>
                <w:color w:val="auto"/>
              </w:rPr>
              <w:t xml:space="preserve">Net Carrying Value </w:t>
            </w:r>
            <w:r>
              <w:rPr>
                <w:rFonts w:ascii="Arial" w:cs="Arial" w:eastAsia="Arial" w:hAnsi="Arial"/>
                <w:sz w:val="10"/>
                <w:szCs w:val="10"/>
                <w:b w:val="1"/>
                <w:bCs w:val="1"/>
                <w:color w:val="auto"/>
                <w:vertAlign w:val="superscript"/>
              </w:rPr>
              <w:t>1</w:t>
            </w:r>
          </w:p>
        </w:tc>
        <w:tc>
          <w:tcPr>
            <w:tcW w:w="0" w:type="dxa"/>
            <w:vAlign w:val="bottom"/>
          </w:tcPr>
          <w:p>
            <w:pPr>
              <w:spacing w:after="0"/>
              <w:rPr>
                <w:sz w:val="1"/>
                <w:szCs w:val="1"/>
                <w:color w:val="auto"/>
              </w:rPr>
            </w:pPr>
          </w:p>
        </w:tc>
      </w:tr>
      <w:tr>
        <w:trPr>
          <w:trHeight w:val="117"/>
        </w:trPr>
        <w:tc>
          <w:tcPr>
            <w:tcW w:w="2640" w:type="dxa"/>
            <w:vAlign w:val="bottom"/>
            <w:gridSpan w:val="2"/>
            <w:vMerge w:val="continue"/>
          </w:tcPr>
          <w:p>
            <w:pPr>
              <w:spacing w:after="0"/>
              <w:rPr>
                <w:sz w:val="10"/>
                <w:szCs w:val="10"/>
                <w:color w:val="auto"/>
              </w:rPr>
            </w:pPr>
          </w:p>
        </w:tc>
        <w:tc>
          <w:tcPr>
            <w:tcW w:w="820" w:type="dxa"/>
            <w:vAlign w:val="bottom"/>
          </w:tcPr>
          <w:p>
            <w:pPr>
              <w:jc w:val="center"/>
              <w:ind w:left="316"/>
              <w:spacing w:after="0"/>
              <w:rPr>
                <w:sz w:val="20"/>
                <w:szCs w:val="20"/>
                <w:color w:val="auto"/>
              </w:rPr>
            </w:pPr>
            <w:r>
              <w:rPr>
                <w:rFonts w:ascii="Arial" w:cs="Arial" w:eastAsia="Arial" w:hAnsi="Arial"/>
                <w:sz w:val="8"/>
                <w:szCs w:val="8"/>
                <w:b w:val="1"/>
                <w:bCs w:val="1"/>
                <w:color w:val="auto"/>
                <w:w w:val="95"/>
              </w:rPr>
              <w:t>Long (Short)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ind w:left="160"/>
              <w:spacing w:after="0"/>
              <w:rPr>
                <w:sz w:val="20"/>
                <w:szCs w:val="20"/>
                <w:color w:val="auto"/>
              </w:rPr>
            </w:pPr>
            <w:r>
              <w:rPr>
                <w:rFonts w:ascii="Arial" w:cs="Arial" w:eastAsia="Arial" w:hAnsi="Arial"/>
                <w:sz w:val="8"/>
                <w:szCs w:val="8"/>
                <w:b w:val="1"/>
                <w:bCs w:val="1"/>
                <w:color w:val="auto"/>
              </w:rPr>
              <w:t>Basis</w:t>
            </w:r>
          </w:p>
        </w:tc>
        <w:tc>
          <w:tcPr>
            <w:tcW w:w="300" w:type="dxa"/>
            <w:vAlign w:val="bottom"/>
          </w:tcPr>
          <w:p>
            <w:pPr>
              <w:spacing w:after="0"/>
              <w:rPr>
                <w:sz w:val="10"/>
                <w:szCs w:val="10"/>
                <w:color w:val="auto"/>
              </w:rPr>
            </w:pPr>
          </w:p>
        </w:tc>
        <w:tc>
          <w:tcPr>
            <w:tcW w:w="70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w w:val="93"/>
              </w:rPr>
              <w:t>Value</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9"/>
              </w:rPr>
              <w:t>Long (Short)</w:t>
            </w:r>
          </w:p>
        </w:tc>
        <w:tc>
          <w:tcPr>
            <w:tcW w:w="22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Arial" w:cs="Arial" w:eastAsia="Arial" w:hAnsi="Arial"/>
                <w:sz w:val="8"/>
                <w:szCs w:val="8"/>
                <w:b w:val="1"/>
                <w:bCs w:val="1"/>
                <w:color w:val="auto"/>
              </w:rPr>
              <w:t>Basis</w:t>
            </w:r>
          </w:p>
        </w:tc>
        <w:tc>
          <w:tcPr>
            <w:tcW w:w="300" w:type="dxa"/>
            <w:vAlign w:val="bottom"/>
          </w:tcPr>
          <w:p>
            <w:pPr>
              <w:spacing w:after="0"/>
              <w:rPr>
                <w:sz w:val="10"/>
                <w:szCs w:val="10"/>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rPr>
              <w:t>Value</w:t>
            </w: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5 years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(1,082)</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(1,204)</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(1,163)</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10 years</w:t>
            </w: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(11,356)</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(10,983)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373</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left="614"/>
              <w:spacing w:after="0"/>
              <w:rPr>
                <w:sz w:val="20"/>
                <w:szCs w:val="20"/>
                <w:color w:val="auto"/>
              </w:rPr>
            </w:pPr>
            <w:r>
              <w:rPr>
                <w:rFonts w:ascii="Arial" w:cs="Arial" w:eastAsia="Arial" w:hAnsi="Arial"/>
                <w:sz w:val="10"/>
                <w:szCs w:val="10"/>
                <w:color w:val="auto"/>
                <w:w w:val="89"/>
              </w:rPr>
              <w:t>(15)</w:t>
            </w:r>
          </w:p>
        </w:tc>
        <w:tc>
          <w:tcPr>
            <w:tcW w:w="0" w:type="dxa"/>
            <w:vAlign w:val="bottom"/>
          </w:tcPr>
          <w:p>
            <w:pPr>
              <w:spacing w:after="0"/>
              <w:rPr>
                <w:sz w:val="1"/>
                <w:szCs w:val="1"/>
                <w:color w:val="auto"/>
              </w:rPr>
            </w:pPr>
          </w:p>
        </w:tc>
      </w:tr>
      <w:tr>
        <w:trPr>
          <w:trHeight w:val="147"/>
        </w:trPr>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U.S. Treasury futures</w:t>
            </w:r>
          </w:p>
        </w:tc>
        <w:tc>
          <w:tcPr>
            <w:tcW w:w="8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5"/>
              </w:rPr>
              <w:t>(10,883)</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(12,560)</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(12,146)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(1,500)</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(1,942)</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(1,957)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0"/>
                <w:szCs w:val="10"/>
                <w:color w:val="auto"/>
                <w:w w:val="89"/>
              </w:rPr>
              <w:t>(15)</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right="20" w:hanging="212"/>
        <w:spacing w:after="0" w:line="246" w:lineRule="auto"/>
        <w:tabs>
          <w:tab w:leader="none" w:pos="4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2"/>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September 30, 2022</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December 31, 2021</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jc w:val="center"/>
              <w:ind w:left="256"/>
              <w:spacing w:after="0" w:line="79" w:lineRule="exact"/>
              <w:rPr>
                <w:sz w:val="20"/>
                <w:szCs w:val="20"/>
                <w:color w:val="auto"/>
              </w:rPr>
            </w:pPr>
            <w:r>
              <w:rPr>
                <w:rFonts w:ascii="Arial" w:cs="Arial" w:eastAsia="Arial" w:hAnsi="Arial"/>
                <w:sz w:val="8"/>
                <w:szCs w:val="8"/>
                <w:b w:val="1"/>
                <w:bCs w:val="1"/>
                <w:color w:val="auto"/>
                <w:w w:val="93"/>
              </w:rPr>
              <w:t>Notional</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8"/>
                <w:szCs w:val="8"/>
                <w:b w:val="1"/>
                <w:bCs w:val="1"/>
                <w:color w:val="auto"/>
              </w:rPr>
              <w:t>Cost</w:t>
            </w:r>
          </w:p>
        </w:tc>
        <w:tc>
          <w:tcPr>
            <w:tcW w:w="300" w:type="dxa"/>
            <w:vAlign w:val="bottom"/>
          </w:tcPr>
          <w:p>
            <w:pPr>
              <w:spacing w:after="0"/>
              <w:rPr>
                <w:sz w:val="6"/>
                <w:szCs w:val="6"/>
                <w:color w:val="auto"/>
              </w:rPr>
            </w:pPr>
          </w:p>
        </w:tc>
        <w:tc>
          <w:tcPr>
            <w:tcW w:w="720" w:type="dxa"/>
            <w:vAlign w:val="bottom"/>
            <w:gridSpan w:val="2"/>
            <w:vMerge w:val="restart"/>
          </w:tcPr>
          <w:p>
            <w:pPr>
              <w:jc w:val="center"/>
              <w:ind w:right="400"/>
              <w:spacing w:after="0"/>
              <w:rPr>
                <w:sz w:val="20"/>
                <w:szCs w:val="20"/>
                <w:color w:val="auto"/>
              </w:rPr>
            </w:pPr>
            <w:r>
              <w:rPr>
                <w:rFonts w:ascii="Arial" w:cs="Arial" w:eastAsia="Arial" w:hAnsi="Arial"/>
                <w:sz w:val="8"/>
                <w:szCs w:val="8"/>
                <w:b w:val="1"/>
                <w:bCs w:val="1"/>
                <w:color w:val="auto"/>
              </w:rPr>
              <w:t>Fair</w:t>
            </w: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2"/>
          </w:tcPr>
          <w:p>
            <w:pPr>
              <w:jc w:val="center"/>
              <w:ind w:right="320"/>
              <w:spacing w:after="0" w:line="79" w:lineRule="exact"/>
              <w:rPr>
                <w:sz w:val="20"/>
                <w:szCs w:val="20"/>
                <w:color w:val="auto"/>
              </w:rPr>
            </w:pPr>
            <w:r>
              <w:rPr>
                <w:rFonts w:ascii="Arial" w:cs="Arial" w:eastAsia="Arial" w:hAnsi="Arial"/>
                <w:sz w:val="8"/>
                <w:szCs w:val="8"/>
                <w:b w:val="1"/>
                <w:bCs w:val="1"/>
                <w:color w:val="auto"/>
                <w:w w:val="93"/>
              </w:rPr>
              <w:t>Notional</w:t>
            </w:r>
          </w:p>
        </w:tc>
        <w:tc>
          <w:tcPr>
            <w:tcW w:w="220" w:type="dxa"/>
            <w:vAlign w:val="bottom"/>
          </w:tcPr>
          <w:p>
            <w:pPr>
              <w:spacing w:after="0"/>
              <w:rPr>
                <w:sz w:val="6"/>
                <w:szCs w:val="6"/>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8"/>
                <w:szCs w:val="8"/>
                <w:b w:val="1"/>
                <w:bCs w:val="1"/>
                <w:color w:val="auto"/>
              </w:rPr>
              <w:t>Cost</w:t>
            </w:r>
          </w:p>
        </w:tc>
        <w:tc>
          <w:tcPr>
            <w:tcW w:w="300" w:type="dxa"/>
            <w:vAlign w:val="bottom"/>
          </w:tcPr>
          <w:p>
            <w:pPr>
              <w:spacing w:after="0"/>
              <w:rPr>
                <w:sz w:val="6"/>
                <w:szCs w:val="6"/>
                <w:color w:val="auto"/>
              </w:rPr>
            </w:pPr>
          </w:p>
        </w:tc>
        <w:tc>
          <w:tcPr>
            <w:tcW w:w="720" w:type="dxa"/>
            <w:vAlign w:val="bottom"/>
            <w:gridSpan w:val="2"/>
            <w:vMerge w:val="restart"/>
          </w:tcPr>
          <w:p>
            <w:pPr>
              <w:jc w:val="center"/>
              <w:ind w:right="380"/>
              <w:spacing w:after="0"/>
              <w:rPr>
                <w:sz w:val="20"/>
                <w:szCs w:val="20"/>
                <w:color w:val="auto"/>
              </w:rPr>
            </w:pPr>
            <w:r>
              <w:rPr>
                <w:rFonts w:ascii="Arial" w:cs="Arial" w:eastAsia="Arial" w:hAnsi="Arial"/>
                <w:sz w:val="8"/>
                <w:szCs w:val="8"/>
                <w:b w:val="1"/>
                <w:bCs w:val="1"/>
                <w:color w:val="auto"/>
                <w:w w:val="95"/>
              </w:rPr>
              <w:t>Fair</w:t>
            </w: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ind w:left="296"/>
              <w:spacing w:after="0" w:line="81" w:lineRule="exact"/>
              <w:rPr>
                <w:sz w:val="20"/>
                <w:szCs w:val="20"/>
                <w:color w:val="auto"/>
              </w:rPr>
            </w:pPr>
            <w:r>
              <w:rPr>
                <w:rFonts w:ascii="Arial" w:cs="Arial" w:eastAsia="Arial" w:hAnsi="Arial"/>
                <w:sz w:val="8"/>
                <w:szCs w:val="8"/>
                <w:b w:val="1"/>
                <w:bCs w:val="1"/>
                <w:color w:val="auto"/>
                <w:w w:val="99"/>
              </w:rPr>
              <w:t>Amount</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tcPr>
          <w:p>
            <w:pPr>
              <w:jc w:val="center"/>
              <w:ind w:right="300"/>
              <w:spacing w:after="0" w:line="81" w:lineRule="exact"/>
              <w:rPr>
                <w:sz w:val="20"/>
                <w:szCs w:val="20"/>
                <w:color w:val="auto"/>
              </w:rPr>
            </w:pPr>
            <w:r>
              <w:rPr>
                <w:rFonts w:ascii="Arial" w:cs="Arial" w:eastAsia="Arial" w:hAnsi="Arial"/>
                <w:sz w:val="8"/>
                <w:szCs w:val="8"/>
                <w:b w:val="1"/>
                <w:bCs w:val="1"/>
                <w:color w:val="auto"/>
                <w:w w:val="92"/>
              </w:rPr>
              <w:t>Amount</w:t>
            </w: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rPr>
                <w:sz w:val="20"/>
                <w:szCs w:val="20"/>
                <w:color w:val="auto"/>
              </w:rPr>
            </w:pPr>
            <w:r>
              <w:rPr>
                <w:rFonts w:ascii="Arial" w:cs="Arial" w:eastAsia="Arial" w:hAnsi="Arial"/>
                <w:sz w:val="8"/>
                <w:szCs w:val="8"/>
                <w:b w:val="1"/>
                <w:bCs w:val="1"/>
                <w:color w:val="auto"/>
              </w:rPr>
              <w:t xml:space="preserve">TBA Securities by Coupon </w:t>
            </w:r>
            <w:r>
              <w:rPr>
                <w:rFonts w:ascii="Arial" w:cs="Arial" w:eastAsia="Arial" w:hAnsi="Arial"/>
                <w:sz w:val="10"/>
                <w:szCs w:val="10"/>
                <w:b w:val="1"/>
                <w:bCs w:val="1"/>
                <w:color w:val="auto"/>
                <w:vertAlign w:val="superscript"/>
              </w:rPr>
              <w:t>2</w:t>
            </w:r>
          </w:p>
        </w:tc>
        <w:tc>
          <w:tcPr>
            <w:tcW w:w="840" w:type="dxa"/>
            <w:vAlign w:val="bottom"/>
          </w:tcPr>
          <w:p>
            <w:pPr>
              <w:jc w:val="center"/>
              <w:ind w:left="296"/>
              <w:spacing w:after="0"/>
              <w:rPr>
                <w:sz w:val="20"/>
                <w:szCs w:val="20"/>
                <w:color w:val="auto"/>
              </w:rPr>
            </w:pPr>
            <w:r>
              <w:rPr>
                <w:rFonts w:ascii="Arial" w:cs="Arial" w:eastAsia="Arial" w:hAnsi="Arial"/>
                <w:sz w:val="8"/>
                <w:szCs w:val="8"/>
                <w:b w:val="1"/>
                <w:bCs w:val="1"/>
                <w:color w:val="auto"/>
                <w:w w:val="95"/>
              </w:rPr>
              <w:t>Long (Short)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Arial" w:cs="Arial" w:eastAsia="Arial" w:hAnsi="Arial"/>
                <w:sz w:val="8"/>
                <w:szCs w:val="8"/>
                <w:b w:val="1"/>
                <w:bCs w:val="1"/>
                <w:color w:val="auto"/>
              </w:rPr>
              <w:t>Basis</w:t>
            </w:r>
          </w:p>
        </w:tc>
        <w:tc>
          <w:tcPr>
            <w:tcW w:w="300" w:type="dxa"/>
            <w:vAlign w:val="bottom"/>
          </w:tcPr>
          <w:p>
            <w:pPr>
              <w:spacing w:after="0"/>
              <w:rPr>
                <w:sz w:val="10"/>
                <w:szCs w:val="10"/>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8"/>
                <w:szCs w:val="8"/>
                <w:b w:val="1"/>
                <w:bCs w:val="1"/>
                <w:color w:val="auto"/>
                <w:w w:val="93"/>
              </w:rPr>
              <w:t>Value</w:t>
            </w:r>
          </w:p>
        </w:tc>
        <w:tc>
          <w:tcPr>
            <w:tcW w:w="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8"/>
                <w:szCs w:val="8"/>
                <w:b w:val="1"/>
                <w:bCs w:val="1"/>
                <w:color w:val="auto"/>
              </w:rPr>
              <w:t xml:space="preserve">Net Carrying Value </w:t>
            </w:r>
            <w:r>
              <w:rPr>
                <w:rFonts w:ascii="Arial" w:cs="Arial" w:eastAsia="Arial" w:hAnsi="Arial"/>
                <w:sz w:val="10"/>
                <w:szCs w:val="10"/>
                <w:b w:val="1"/>
                <w:bCs w:val="1"/>
                <w:color w:val="auto"/>
                <w:vertAlign w:val="superscript"/>
              </w:rPr>
              <w:t>1</w:t>
            </w:r>
          </w:p>
        </w:tc>
        <w:tc>
          <w:tcPr>
            <w:tcW w:w="20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9"/>
              </w:rPr>
              <w:t>Long (Short)</w:t>
            </w:r>
          </w:p>
        </w:tc>
        <w:tc>
          <w:tcPr>
            <w:tcW w:w="22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Arial" w:cs="Arial" w:eastAsia="Arial" w:hAnsi="Arial"/>
                <w:sz w:val="8"/>
                <w:szCs w:val="8"/>
                <w:b w:val="1"/>
                <w:bCs w:val="1"/>
                <w:color w:val="auto"/>
              </w:rPr>
              <w:t>Basis</w:t>
            </w:r>
          </w:p>
        </w:tc>
        <w:tc>
          <w:tcPr>
            <w:tcW w:w="300" w:type="dxa"/>
            <w:vAlign w:val="bottom"/>
          </w:tcPr>
          <w:p>
            <w:pPr>
              <w:spacing w:after="0"/>
              <w:rPr>
                <w:sz w:val="10"/>
                <w:szCs w:val="10"/>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rPr>
              <w:t>Value</w:t>
            </w:r>
          </w:p>
        </w:tc>
        <w:tc>
          <w:tcPr>
            <w:tcW w:w="80" w:type="dxa"/>
            <w:vAlign w:val="bottom"/>
          </w:tcPr>
          <w:p>
            <w:pPr>
              <w:spacing w:after="0"/>
              <w:rPr>
                <w:sz w:val="10"/>
                <w:szCs w:val="10"/>
                <w:color w:val="auto"/>
              </w:rPr>
            </w:pPr>
          </w:p>
        </w:tc>
        <w:tc>
          <w:tcPr>
            <w:tcW w:w="860" w:type="dxa"/>
            <w:vAlign w:val="bottom"/>
          </w:tcPr>
          <w:p>
            <w:pPr>
              <w:jc w:val="right"/>
              <w:ind w:right="33"/>
              <w:spacing w:after="0"/>
              <w:rPr>
                <w:sz w:val="20"/>
                <w:szCs w:val="20"/>
                <w:color w:val="auto"/>
              </w:rPr>
            </w:pPr>
            <w:r>
              <w:rPr>
                <w:rFonts w:ascii="Arial" w:cs="Arial" w:eastAsia="Arial" w:hAnsi="Arial"/>
                <w:sz w:val="8"/>
                <w:szCs w:val="8"/>
                <w:b w:val="1"/>
                <w:bCs w:val="1"/>
                <w:color w:val="auto"/>
                <w:w w:val="97"/>
              </w:rPr>
              <w:t xml:space="preserve">Net Carrying Value </w:t>
            </w:r>
            <w:r>
              <w:rPr>
                <w:rFonts w:ascii="Arial" w:cs="Arial" w:eastAsia="Arial" w:hAnsi="Arial"/>
                <w:sz w:val="10"/>
                <w:szCs w:val="10"/>
                <w:b w:val="1"/>
                <w:bCs w:val="1"/>
                <w:color w:val="auto"/>
                <w:w w:val="97"/>
                <w:vertAlign w:val="superscript"/>
              </w:rPr>
              <w:t>1</w:t>
            </w:r>
          </w:p>
        </w:tc>
        <w:tc>
          <w:tcPr>
            <w:tcW w:w="0" w:type="dxa"/>
            <w:vAlign w:val="bottom"/>
          </w:tcPr>
          <w:p>
            <w:pPr>
              <w:spacing w:after="0"/>
              <w:rPr>
                <w:sz w:val="1"/>
                <w:szCs w:val="1"/>
                <w:color w:val="auto"/>
              </w:rPr>
            </w:pPr>
          </w:p>
        </w:tc>
      </w:tr>
      <w:tr>
        <w:trPr>
          <w:trHeight w:val="124"/>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15-Year TBA securities:</w:t>
            </w: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80" w:type="dxa"/>
            <w:vAlign w:val="bottom"/>
            <w:gridSpan w:val="2"/>
          </w:tcPr>
          <w:p>
            <w:pPr>
              <w:ind w:left="120"/>
              <w:spacing w:after="0"/>
              <w:rPr>
                <w:sz w:val="20"/>
                <w:szCs w:val="20"/>
                <w:color w:val="auto"/>
              </w:rPr>
            </w:pPr>
            <w:r>
              <w:rPr>
                <w:rFonts w:ascii="Arial" w:cs="Arial" w:eastAsia="Arial" w:hAnsi="Arial"/>
                <w:sz w:val="10"/>
                <w:szCs w:val="10"/>
                <w:color w:val="auto"/>
              </w:rPr>
              <w:t>≤ 2.5%</w:t>
            </w:r>
          </w:p>
        </w:tc>
        <w:tc>
          <w:tcPr>
            <w:tcW w:w="840" w:type="dxa"/>
            <w:vAlign w:val="bottom"/>
          </w:tcPr>
          <w:p>
            <w:pPr>
              <w:jc w:val="right"/>
              <w:ind w:right="736"/>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2,039</w:t>
            </w:r>
          </w:p>
        </w:tc>
        <w:tc>
          <w:tcPr>
            <w:tcW w:w="10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2,056</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2,059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31"/>
        </w:trPr>
        <w:tc>
          <w:tcPr>
            <w:tcW w:w="258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0"/>
                <w:szCs w:val="10"/>
                <w:color w:val="auto"/>
              </w:rPr>
              <w:t>Total 15-Year TBA securities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2,039</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2,056</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line="102" w:lineRule="exact"/>
              <w:rPr>
                <w:sz w:val="20"/>
                <w:szCs w:val="20"/>
                <w:color w:val="auto"/>
              </w:rPr>
            </w:pPr>
            <w:r>
              <w:rPr>
                <w:rFonts w:ascii="Arial" w:cs="Arial" w:eastAsia="Arial" w:hAnsi="Arial"/>
                <w:sz w:val="10"/>
                <w:szCs w:val="10"/>
                <w:color w:val="auto"/>
              </w:rPr>
              <w:t>30-Year TBA securities:</w:t>
            </w: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 2.5%</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20,494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20,825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28"/>
        </w:trPr>
        <w:tc>
          <w:tcPr>
            <w:tcW w:w="2500" w:type="dxa"/>
            <w:vAlign w:val="bottom"/>
          </w:tcPr>
          <w:p>
            <w:pPr>
              <w:ind w:left="120"/>
              <w:spacing w:after="0"/>
              <w:rPr>
                <w:sz w:val="20"/>
                <w:szCs w:val="20"/>
                <w:color w:val="auto"/>
              </w:rPr>
            </w:pPr>
            <w:r>
              <w:rPr>
                <w:rFonts w:ascii="Arial" w:cs="Arial" w:eastAsia="Arial" w:hAnsi="Arial"/>
                <w:sz w:val="10"/>
                <w:szCs w:val="10"/>
                <w:color w:val="auto"/>
              </w:rPr>
              <w:t>3.0% - 4.0%</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6,026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10"/>
                <w:szCs w:val="10"/>
                <w:color w:val="auto"/>
              </w:rPr>
              <w:t>6,059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(521)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4,140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4,303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4,293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2"/>
        </w:trPr>
        <w:tc>
          <w:tcPr>
            <w:tcW w:w="25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 4.5%</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4"/>
              </w:rPr>
              <w:t>12,907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12,986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58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0"/>
                <w:szCs w:val="10"/>
                <w:color w:val="auto"/>
              </w:rPr>
              <w:t>Total 30-Year TBA securities, net</w:t>
            </w:r>
          </w:p>
        </w:tc>
        <w:tc>
          <w:tcPr>
            <w:tcW w:w="84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84"/>
              </w:rPr>
              <w:t>18,919</w:t>
            </w:r>
          </w:p>
        </w:tc>
        <w:tc>
          <w:tcPr>
            <w:tcW w:w="10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rPr>
              <w:t>19,116</w:t>
            </w:r>
          </w:p>
        </w:tc>
        <w:tc>
          <w:tcPr>
            <w:tcW w:w="80" w:type="dxa"/>
            <w:vAlign w:val="bottom"/>
            <w:tcBorders>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17,902</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(1,214)</w:t>
            </w:r>
          </w:p>
        </w:tc>
        <w:tc>
          <w:tcPr>
            <w:tcW w:w="16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24,634</w:t>
            </w:r>
          </w:p>
        </w:tc>
        <w:tc>
          <w:tcPr>
            <w:tcW w:w="10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25,128</w:t>
            </w:r>
          </w:p>
        </w:tc>
        <w:tc>
          <w:tcPr>
            <w:tcW w:w="80" w:type="dxa"/>
            <w:vAlign w:val="bottom"/>
            <w:tcBorders>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25,081</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47"/>
        </w:trPr>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TBA securities, net</w:t>
            </w:r>
          </w:p>
        </w:tc>
        <w:tc>
          <w:tcPr>
            <w:tcW w:w="8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4"/>
              </w:rPr>
              <w:t>18,919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19,116</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17,902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(1,214)</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26,673</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27,184</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27,140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right="20" w:hanging="212"/>
        <w:spacing w:after="0" w:line="233" w:lineRule="auto"/>
        <w:tabs>
          <w:tab w:leader="none" w:pos="4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ind w:left="420" w:hanging="212"/>
        <w:spacing w:after="0"/>
        <w:tabs>
          <w:tab w:leader="none" w:pos="4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Table excludes forward settling non-Agency securities totaling $0.4 billion fair value and $0.2 million net carrying value as of December 31, 2021.</w:t>
      </w:r>
    </w:p>
    <w:p>
      <w:pPr>
        <w:spacing w:after="0" w:line="154" w:lineRule="exact"/>
        <w:rPr>
          <w:sz w:val="20"/>
          <w:szCs w:val="20"/>
          <w:color w:val="auto"/>
        </w:rPr>
      </w:pPr>
    </w:p>
    <w:p>
      <w:pPr>
        <w:jc w:val="both"/>
        <w:ind w:firstLine="297"/>
        <w:spacing w:after="0" w:line="281" w:lineRule="auto"/>
        <w:rPr>
          <w:sz w:val="20"/>
          <w:szCs w:val="20"/>
          <w:color w:val="auto"/>
        </w:rPr>
      </w:pPr>
      <w:r>
        <w:rPr>
          <w:rFonts w:ascii="Arial" w:cs="Arial" w:eastAsia="Arial" w:hAnsi="Arial"/>
          <w:sz w:val="11"/>
          <w:szCs w:val="11"/>
          <w:color w:val="auto"/>
        </w:rPr>
        <w:t>As of September 30, 2022, we had $290 million notional value of centrally cleared credit default swaps ("CDS") outstanding that reference the Markit CDX Investment Grade Index, maturing in June 2027. Under the terms of our CDS, we pay fixed periodic payments equal to 1% of the notional value and we are entitled to receive payments for qualified credit events. As of September 30, 2022, the CDS had a market value of $1 million, and a carrying value of zero dollars net of variation margin settlements posted to us. Pursuant to rules governing central clearing activities, we recognize variation margin settlements as a direct reduction of the carrying value of the CDS asset or liability.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(Loss) From Derivative Instruments and Other Securities, Net</w:t>
      </w:r>
    </w:p>
    <w:p>
      <w:pPr>
        <w:spacing w:after="0" w:line="114" w:lineRule="exact"/>
        <w:rPr>
          <w:sz w:val="20"/>
          <w:szCs w:val="20"/>
          <w:color w:val="auto"/>
        </w:rPr>
      </w:pPr>
    </w:p>
    <w:p>
      <w:pPr>
        <w:jc w:val="both"/>
        <w:ind w:right="20" w:firstLine="270"/>
        <w:spacing w:after="0" w:line="269" w:lineRule="auto"/>
        <w:rPr>
          <w:sz w:val="20"/>
          <w:szCs w:val="20"/>
          <w:color w:val="auto"/>
        </w:rPr>
      </w:pPr>
      <w:r>
        <w:rPr>
          <w:rFonts w:ascii="Arial" w:cs="Arial" w:eastAsia="Arial" w:hAnsi="Arial"/>
          <w:sz w:val="12"/>
          <w:szCs w:val="12"/>
          <w:color w:val="auto"/>
        </w:rPr>
        <w:t>The following table summarizes changes in our derivative and other hedge portfolio and their effect on our consolidated statements of comprehensive income for the three and nine months ended September 30, 2022 and 2021 (in millions):</w:t>
      </w:r>
    </w:p>
    <w:tbl>
      <w:tblPr>
        <w:tblLayout w:type="fixed"/>
        <w:tblInd w:w="0" w:type="dxa"/>
        <w:tblCellMar>
          <w:top w:w="0" w:type="dxa"/>
          <w:left w:w="0" w:type="dxa"/>
          <w:bottom w:w="0" w:type="dxa"/>
          <w:right w:w="0" w:type="dxa"/>
        </w:tblCellMar>
      </w:tblPr>
      <w:tr>
        <w:trPr>
          <w:trHeight w:val="96"/>
        </w:trPr>
        <w:tc>
          <w:tcPr>
            <w:tcW w:w="34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Pr>
          <w:p>
            <w:pPr>
              <w:jc w:val="center"/>
              <w:ind w:right="8"/>
              <w:spacing w:after="0" w:line="96" w:lineRule="exact"/>
              <w:rPr>
                <w:sz w:val="20"/>
                <w:szCs w:val="20"/>
                <w:color w:val="auto"/>
              </w:rPr>
            </w:pPr>
            <w:r>
              <w:rPr>
                <w:rFonts w:ascii="Arial" w:cs="Arial" w:eastAsia="Arial" w:hAnsi="Arial"/>
                <w:sz w:val="10"/>
                <w:szCs w:val="10"/>
                <w:b w:val="1"/>
                <w:bCs w:val="1"/>
                <w:color w:val="auto"/>
                <w:w w:val="87"/>
              </w:rPr>
              <w:t>Settlement, Termination,</w:t>
            </w: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jc w:val="center"/>
              <w:ind w:right="67"/>
              <w:spacing w:after="0" w:line="96" w:lineRule="exact"/>
              <w:rPr>
                <w:sz w:val="20"/>
                <w:szCs w:val="20"/>
                <w:color w:val="auto"/>
              </w:rPr>
            </w:pPr>
            <w:r>
              <w:rPr>
                <w:rFonts w:ascii="Arial" w:cs="Arial" w:eastAsia="Arial" w:hAnsi="Arial"/>
                <w:sz w:val="10"/>
                <w:szCs w:val="10"/>
                <w:b w:val="1"/>
                <w:bCs w:val="1"/>
                <w:color w:val="auto"/>
                <w:w w:val="87"/>
              </w:rPr>
              <w:t>Gain/(Loss)</w:t>
            </w:r>
          </w:p>
        </w:tc>
        <w:tc>
          <w:tcPr>
            <w:tcW w:w="0" w:type="dxa"/>
            <w:vAlign w:val="bottom"/>
          </w:tcPr>
          <w:p>
            <w:pPr>
              <w:spacing w:after="0"/>
              <w:rPr>
                <w:sz w:val="1"/>
                <w:szCs w:val="1"/>
                <w:color w:val="auto"/>
              </w:rPr>
            </w:pPr>
          </w:p>
        </w:tc>
      </w:tr>
      <w:tr>
        <w:trPr>
          <w:trHeight w:val="99"/>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Derivative and Other Hedging Instruments</w:t>
            </w:r>
          </w:p>
        </w:tc>
        <w:tc>
          <w:tcPr>
            <w:tcW w:w="1480" w:type="dxa"/>
            <w:vAlign w:val="bottom"/>
          </w:tcPr>
          <w:p>
            <w:pPr>
              <w:spacing w:after="0"/>
              <w:rPr>
                <w:sz w:val="8"/>
                <w:szCs w:val="8"/>
                <w:color w:val="auto"/>
              </w:rPr>
            </w:pPr>
          </w:p>
        </w:tc>
        <w:tc>
          <w:tcPr>
            <w:tcW w:w="1260" w:type="dxa"/>
            <w:vAlign w:val="bottom"/>
          </w:tcPr>
          <w:p>
            <w:pPr>
              <w:jc w:val="right"/>
              <w:ind w:right="567"/>
              <w:spacing w:after="0" w:line="99" w:lineRule="exact"/>
              <w:rPr>
                <w:sz w:val="20"/>
                <w:szCs w:val="20"/>
                <w:color w:val="auto"/>
              </w:rPr>
            </w:pPr>
            <w:r>
              <w:rPr>
                <w:rFonts w:ascii="Arial" w:cs="Arial" w:eastAsia="Arial" w:hAnsi="Arial"/>
                <w:sz w:val="10"/>
                <w:szCs w:val="10"/>
                <w:b w:val="1"/>
                <w:bCs w:val="1"/>
                <w:color w:val="auto"/>
              </w:rPr>
              <w:t>Beginning</w:t>
            </w:r>
          </w:p>
        </w:tc>
        <w:tc>
          <w:tcPr>
            <w:tcW w:w="1140" w:type="dxa"/>
            <w:vAlign w:val="bottom"/>
            <w:vMerge w:val="restart"/>
          </w:tcPr>
          <w:p>
            <w:pPr>
              <w:jc w:val="right"/>
              <w:ind w:right="427"/>
              <w:spacing w:after="0"/>
              <w:rPr>
                <w:sz w:val="20"/>
                <w:szCs w:val="20"/>
                <w:color w:val="auto"/>
              </w:rPr>
            </w:pPr>
            <w:r>
              <w:rPr>
                <w:rFonts w:ascii="Arial" w:cs="Arial" w:eastAsia="Arial" w:hAnsi="Arial"/>
                <w:sz w:val="10"/>
                <w:szCs w:val="10"/>
                <w:b w:val="1"/>
                <w:bCs w:val="1"/>
                <w:color w:val="auto"/>
              </w:rPr>
              <w:t>Additions</w:t>
            </w:r>
          </w:p>
        </w:tc>
        <w:tc>
          <w:tcPr>
            <w:tcW w:w="12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0"/>
              </w:rPr>
              <w:t>Expiration or</w:t>
            </w:r>
          </w:p>
        </w:tc>
        <w:tc>
          <w:tcPr>
            <w:tcW w:w="200" w:type="dxa"/>
            <w:vAlign w:val="bottom"/>
          </w:tcPr>
          <w:p>
            <w:pPr>
              <w:spacing w:after="0"/>
              <w:rPr>
                <w:sz w:val="8"/>
                <w:szCs w:val="8"/>
                <w:color w:val="auto"/>
              </w:rPr>
            </w:pPr>
          </w:p>
        </w:tc>
        <w:tc>
          <w:tcPr>
            <w:tcW w:w="120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8"/>
              </w:rPr>
              <w:t>Ending</w:t>
            </w:r>
          </w:p>
        </w:tc>
        <w:tc>
          <w:tcPr>
            <w:tcW w:w="134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7"/>
              </w:rPr>
              <w:t>on Derivative Instruments and</w:t>
            </w: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Pr>
          <w:p>
            <w:pPr>
              <w:jc w:val="right"/>
              <w:ind w:right="407"/>
              <w:spacing w:after="0"/>
              <w:rPr>
                <w:sz w:val="20"/>
                <w:szCs w:val="20"/>
                <w:color w:val="auto"/>
              </w:rPr>
            </w:pPr>
            <w:r>
              <w:rPr>
                <w:rFonts w:ascii="Arial" w:cs="Arial" w:eastAsia="Arial" w:hAnsi="Arial"/>
                <w:sz w:val="10"/>
                <w:szCs w:val="10"/>
                <w:b w:val="1"/>
                <w:bCs w:val="1"/>
                <w:color w:val="auto"/>
                <w:w w:val="96"/>
              </w:rPr>
              <w:t>Notional Amount</w:t>
            </w:r>
          </w:p>
        </w:tc>
        <w:tc>
          <w:tcPr>
            <w:tcW w:w="1140" w:type="dxa"/>
            <w:vAlign w:val="bottom"/>
            <w:vMerge w:val="continue"/>
          </w:tcPr>
          <w:p>
            <w:pPr>
              <w:spacing w:after="0"/>
              <w:rPr>
                <w:sz w:val="11"/>
                <w:szCs w:val="11"/>
                <w:color w:val="auto"/>
              </w:rPr>
            </w:pPr>
          </w:p>
        </w:tc>
        <w:tc>
          <w:tcPr>
            <w:tcW w:w="1240" w:type="dxa"/>
            <w:vAlign w:val="bottom"/>
          </w:tcPr>
          <w:p>
            <w:pPr>
              <w:jc w:val="center"/>
              <w:ind w:right="8"/>
              <w:spacing w:after="0"/>
              <w:rPr>
                <w:sz w:val="20"/>
                <w:szCs w:val="20"/>
                <w:color w:val="auto"/>
              </w:rPr>
            </w:pPr>
            <w:r>
              <w:rPr>
                <w:rFonts w:ascii="Arial" w:cs="Arial" w:eastAsia="Arial" w:hAnsi="Arial"/>
                <w:sz w:val="10"/>
                <w:szCs w:val="10"/>
                <w:b w:val="1"/>
                <w:bCs w:val="1"/>
                <w:color w:val="auto"/>
                <w:w w:val="82"/>
              </w:rPr>
              <w:t>Exercise</w:t>
            </w:r>
          </w:p>
        </w:tc>
        <w:tc>
          <w:tcPr>
            <w:tcW w:w="20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6"/>
              </w:rPr>
              <w:t>Notional Amount</w:t>
            </w:r>
          </w:p>
        </w:tc>
        <w:tc>
          <w:tcPr>
            <w:tcW w:w="140" w:type="dxa"/>
            <w:vAlign w:val="bottom"/>
          </w:tcPr>
          <w:p>
            <w:pPr>
              <w:spacing w:after="0"/>
              <w:rPr>
                <w:sz w:val="11"/>
                <w:szCs w:val="11"/>
                <w:color w:val="auto"/>
              </w:rPr>
            </w:pPr>
          </w:p>
        </w:tc>
        <w:tc>
          <w:tcPr>
            <w:tcW w:w="1200" w:type="dxa"/>
            <w:vAlign w:val="bottom"/>
          </w:tcPr>
          <w:p>
            <w:pPr>
              <w:jc w:val="center"/>
              <w:ind w:right="67"/>
              <w:spacing w:after="0" w:line="135" w:lineRule="exact"/>
              <w:rPr>
                <w:sz w:val="20"/>
                <w:szCs w:val="20"/>
                <w:color w:val="auto"/>
              </w:rPr>
            </w:pPr>
            <w:r>
              <w:rPr>
                <w:rFonts w:ascii="Arial" w:cs="Arial" w:eastAsia="Arial" w:hAnsi="Arial"/>
                <w:sz w:val="10"/>
                <w:szCs w:val="10"/>
                <w:b w:val="1"/>
                <w:bCs w:val="1"/>
                <w:color w:val="auto"/>
                <w:w w:val="86"/>
              </w:rPr>
              <w:t xml:space="preserve">Other Securities, Net </w:t>
            </w:r>
            <w:r>
              <w:rPr>
                <w:rFonts w:ascii="Arial" w:cs="Arial" w:eastAsia="Arial" w:hAnsi="Arial"/>
                <w:sz w:val="12"/>
                <w:szCs w:val="12"/>
                <w:b w:val="1"/>
                <w:bCs w:val="1"/>
                <w:color w:val="auto"/>
                <w:w w:val="86"/>
                <w:vertAlign w:val="superscript"/>
              </w:rPr>
              <w:t>1</w:t>
            </w:r>
          </w:p>
        </w:tc>
        <w:tc>
          <w:tcPr>
            <w:tcW w:w="0" w:type="dxa"/>
            <w:vAlign w:val="bottom"/>
          </w:tcPr>
          <w:p>
            <w:pPr>
              <w:spacing w:after="0"/>
              <w:rPr>
                <w:sz w:val="1"/>
                <w:szCs w:val="1"/>
                <w:color w:val="auto"/>
              </w:rPr>
            </w:pPr>
          </w:p>
        </w:tc>
      </w:tr>
      <w:tr>
        <w:trPr>
          <w:trHeight w:val="144"/>
        </w:trPr>
        <w:tc>
          <w:tcPr>
            <w:tcW w:w="3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Three months ended September 30, 2022:</w:t>
            </w:r>
          </w:p>
        </w:tc>
        <w:tc>
          <w:tcPr>
            <w:tcW w:w="14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TBA securities, net</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7"/>
              <w:spacing w:after="0"/>
              <w:rPr>
                <w:sz w:val="20"/>
                <w:szCs w:val="20"/>
                <w:color w:val="auto"/>
              </w:rPr>
            </w:pPr>
            <w:r>
              <w:rPr>
                <w:rFonts w:ascii="Arial" w:cs="Arial" w:eastAsia="Arial" w:hAnsi="Arial"/>
                <w:sz w:val="11"/>
                <w:szCs w:val="11"/>
                <w:color w:val="auto"/>
              </w:rPr>
              <w:t>15,927</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78,067</w:t>
            </w:r>
          </w:p>
        </w:tc>
        <w:tc>
          <w:tcPr>
            <w:tcW w:w="1240" w:type="dxa"/>
            <w:vAlign w:val="bottom"/>
          </w:tcPr>
          <w:p>
            <w:pPr>
              <w:jc w:val="right"/>
              <w:ind w:right="8"/>
              <w:spacing w:after="0"/>
              <w:rPr>
                <w:sz w:val="20"/>
                <w:szCs w:val="20"/>
                <w:color w:val="auto"/>
              </w:rPr>
            </w:pPr>
            <w:r>
              <w:rPr>
                <w:rFonts w:ascii="Arial" w:cs="Arial" w:eastAsia="Arial" w:hAnsi="Arial"/>
                <w:sz w:val="11"/>
                <w:szCs w:val="11"/>
                <w:color w:val="auto"/>
              </w:rPr>
              <w:t>(75,075)</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right"/>
              <w:ind w:right="107"/>
              <w:spacing w:after="0"/>
              <w:rPr>
                <w:sz w:val="20"/>
                <w:szCs w:val="20"/>
                <w:color w:val="auto"/>
              </w:rPr>
            </w:pPr>
            <w:r>
              <w:rPr>
                <w:rFonts w:ascii="Arial" w:cs="Arial" w:eastAsia="Arial" w:hAnsi="Arial"/>
                <w:sz w:val="11"/>
                <w:szCs w:val="11"/>
                <w:color w:val="auto"/>
              </w:rPr>
              <w:t>18,919</w:t>
            </w:r>
          </w:p>
        </w:tc>
        <w:tc>
          <w:tcPr>
            <w:tcW w:w="60" w:type="dxa"/>
            <w:vAlign w:val="bottom"/>
          </w:tcPr>
          <w:p>
            <w:pPr>
              <w:spacing w:after="0"/>
              <w:rPr>
                <w:sz w:val="12"/>
                <w:szCs w:val="12"/>
                <w:color w:val="auto"/>
              </w:rPr>
            </w:pPr>
          </w:p>
        </w:tc>
        <w:tc>
          <w:tcPr>
            <w:tcW w:w="140" w:type="dxa"/>
            <w:vAlign w:val="bottom"/>
          </w:tcPr>
          <w:p>
            <w:pPr>
              <w:jc w:val="right"/>
              <w:ind w:right="8"/>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(1,192)</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 - payer</w:t>
            </w:r>
          </w:p>
        </w:tc>
        <w:tc>
          <w:tcPr>
            <w:tcW w:w="14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227"/>
              <w:spacing w:after="0"/>
              <w:rPr>
                <w:sz w:val="20"/>
                <w:szCs w:val="20"/>
                <w:color w:val="auto"/>
              </w:rPr>
            </w:pPr>
            <w:r>
              <w:rPr>
                <w:rFonts w:ascii="Arial" w:cs="Arial" w:eastAsia="Arial" w:hAnsi="Arial"/>
                <w:sz w:val="11"/>
                <w:szCs w:val="11"/>
                <w:color w:val="auto"/>
              </w:rPr>
              <w:t>49,935</w:t>
            </w:r>
          </w:p>
        </w:tc>
        <w:tc>
          <w:tcPr>
            <w:tcW w:w="11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(2,810)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47,125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Credit default swaps - CDX IG - buy protection</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187"/>
              <w:spacing w:after="0"/>
              <w:rPr>
                <w:sz w:val="20"/>
                <w:szCs w:val="20"/>
                <w:color w:val="auto"/>
              </w:rPr>
            </w:pPr>
            <w:r>
              <w:rPr>
                <w:rFonts w:ascii="Arial" w:cs="Arial" w:eastAsia="Arial" w:hAnsi="Arial"/>
                <w:sz w:val="11"/>
                <w:szCs w:val="11"/>
                <w:color w:val="auto"/>
              </w:rPr>
              <w:t>(215)</w:t>
            </w:r>
          </w:p>
        </w:tc>
        <w:tc>
          <w:tcPr>
            <w:tcW w:w="1140" w:type="dxa"/>
            <w:vAlign w:val="bottom"/>
          </w:tcPr>
          <w:p>
            <w:pPr>
              <w:jc w:val="right"/>
              <w:ind w:right="47"/>
              <w:spacing w:after="0"/>
              <w:rPr>
                <w:sz w:val="20"/>
                <w:szCs w:val="20"/>
                <w:color w:val="auto"/>
              </w:rPr>
            </w:pPr>
            <w:r>
              <w:rPr>
                <w:rFonts w:ascii="Arial" w:cs="Arial" w:eastAsia="Arial" w:hAnsi="Arial"/>
                <w:sz w:val="11"/>
                <w:szCs w:val="11"/>
                <w:color w:val="auto"/>
              </w:rPr>
              <w:t>(365)</w:t>
            </w:r>
          </w:p>
        </w:tc>
        <w:tc>
          <w:tcPr>
            <w:tcW w:w="1240" w:type="dxa"/>
            <w:vAlign w:val="bottom"/>
          </w:tcPr>
          <w:p>
            <w:pPr>
              <w:jc w:val="right"/>
              <w:ind w:right="48"/>
              <w:spacing w:after="0"/>
              <w:rPr>
                <w:sz w:val="20"/>
                <w:szCs w:val="20"/>
                <w:color w:val="auto"/>
              </w:rPr>
            </w:pPr>
            <w:r>
              <w:rPr>
                <w:rFonts w:ascii="Arial" w:cs="Arial" w:eastAsia="Arial" w:hAnsi="Arial"/>
                <w:sz w:val="11"/>
                <w:szCs w:val="11"/>
                <w:color w:val="auto"/>
              </w:rPr>
              <w:t>290</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right"/>
              <w:ind w:right="67"/>
              <w:spacing w:after="0"/>
              <w:rPr>
                <w:sz w:val="20"/>
                <w:szCs w:val="20"/>
                <w:color w:val="auto"/>
              </w:rPr>
            </w:pPr>
            <w:r>
              <w:rPr>
                <w:rFonts w:ascii="Arial" w:cs="Arial" w:eastAsia="Arial" w:hAnsi="Arial"/>
                <w:sz w:val="11"/>
                <w:szCs w:val="11"/>
                <w:color w:val="auto"/>
              </w:rPr>
              <w:t>(290)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Payer swaptions</w:t>
            </w:r>
          </w:p>
        </w:tc>
        <w:tc>
          <w:tcPr>
            <w:tcW w:w="14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227"/>
              <w:spacing w:after="0"/>
              <w:rPr>
                <w:sz w:val="20"/>
                <w:szCs w:val="20"/>
                <w:color w:val="auto"/>
              </w:rPr>
            </w:pPr>
            <w:r>
              <w:rPr>
                <w:rFonts w:ascii="Arial" w:cs="Arial" w:eastAsia="Arial" w:hAnsi="Arial"/>
                <w:sz w:val="11"/>
                <w:szCs w:val="11"/>
                <w:color w:val="auto"/>
              </w:rPr>
              <w:t>6,800</w:t>
            </w:r>
          </w:p>
        </w:tc>
        <w:tc>
          <w:tcPr>
            <w:tcW w:w="11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(3,400)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3,400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Receiver swaptions</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187"/>
              <w:spacing w:after="0"/>
              <w:rPr>
                <w:sz w:val="20"/>
                <w:szCs w:val="20"/>
                <w:color w:val="auto"/>
              </w:rPr>
            </w:pPr>
            <w:r>
              <w:rPr>
                <w:rFonts w:ascii="Arial" w:cs="Arial" w:eastAsia="Arial" w:hAnsi="Arial"/>
                <w:sz w:val="11"/>
                <w:szCs w:val="11"/>
                <w:color w:val="auto"/>
              </w:rPr>
              <w:t>(150)</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48"/>
              <w:spacing w:after="0"/>
              <w:rPr>
                <w:sz w:val="20"/>
                <w:szCs w:val="20"/>
                <w:color w:val="auto"/>
              </w:rPr>
            </w:pPr>
            <w:r>
              <w:rPr>
                <w:rFonts w:ascii="Arial" w:cs="Arial" w:eastAsia="Arial" w:hAnsi="Arial"/>
                <w:sz w:val="11"/>
                <w:szCs w:val="11"/>
                <w:color w:val="auto"/>
              </w:rPr>
              <w:t>150</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right"/>
              <w:ind w:right="10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securities - short position</w:t>
            </w:r>
          </w:p>
        </w:tc>
        <w:tc>
          <w:tcPr>
            <w:tcW w:w="14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(9,243)</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(2,696)</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3,192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(8,747)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U.S. Treasury securities - long position</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27"/>
              <w:spacing w:after="0"/>
              <w:rPr>
                <w:sz w:val="20"/>
                <w:szCs w:val="20"/>
                <w:color w:val="auto"/>
              </w:rPr>
            </w:pPr>
            <w:r>
              <w:rPr>
                <w:rFonts w:ascii="Arial" w:cs="Arial" w:eastAsia="Arial" w:hAnsi="Arial"/>
                <w:sz w:val="11"/>
                <w:szCs w:val="11"/>
                <w:color w:val="auto"/>
              </w:rPr>
              <w:t>1,902</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2,149</w:t>
            </w:r>
          </w:p>
        </w:tc>
        <w:tc>
          <w:tcPr>
            <w:tcW w:w="1240" w:type="dxa"/>
            <w:vAlign w:val="bottom"/>
          </w:tcPr>
          <w:p>
            <w:pPr>
              <w:jc w:val="right"/>
              <w:ind w:right="8"/>
              <w:spacing w:after="0"/>
              <w:rPr>
                <w:sz w:val="20"/>
                <w:szCs w:val="20"/>
                <w:color w:val="auto"/>
              </w:rPr>
            </w:pPr>
            <w:r>
              <w:rPr>
                <w:rFonts w:ascii="Arial" w:cs="Arial" w:eastAsia="Arial" w:hAnsi="Arial"/>
                <w:sz w:val="11"/>
                <w:szCs w:val="11"/>
                <w:color w:val="auto"/>
              </w:rPr>
              <w:t>(2,727)</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right"/>
              <w:ind w:right="107"/>
              <w:spacing w:after="0"/>
              <w:rPr>
                <w:sz w:val="20"/>
                <w:szCs w:val="20"/>
                <w:color w:val="auto"/>
              </w:rPr>
            </w:pPr>
            <w:r>
              <w:rPr>
                <w:rFonts w:ascii="Arial" w:cs="Arial" w:eastAsia="Arial" w:hAnsi="Arial"/>
                <w:sz w:val="11"/>
                <w:szCs w:val="11"/>
                <w:color w:val="auto"/>
              </w:rPr>
              <w:t>1,324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4"/>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futures contracts - short position</w:t>
            </w:r>
          </w:p>
        </w:tc>
        <w:tc>
          <w:tcPr>
            <w:tcW w:w="14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(8,105)</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(11,241)</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8,463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(10,883)</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1,478</w:t>
            </w:r>
          </w:p>
        </w:tc>
        <w:tc>
          <w:tcPr>
            <w:tcW w:w="0" w:type="dxa"/>
            <w:vAlign w:val="bottom"/>
          </w:tcPr>
          <w:p>
            <w:pPr>
              <w:spacing w:after="0"/>
              <w:rPr>
                <w:sz w:val="1"/>
                <w:szCs w:val="1"/>
                <w:color w:val="auto"/>
              </w:rPr>
            </w:pPr>
          </w:p>
        </w:tc>
      </w:tr>
      <w:tr>
        <w:trPr>
          <w:trHeight w:val="146"/>
        </w:trPr>
        <w:tc>
          <w:tcPr>
            <w:tcW w:w="34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2"/>
        </w:trPr>
        <w:tc>
          <w:tcPr>
            <w:tcW w:w="3400" w:type="dxa"/>
            <w:vAlign w:val="bottom"/>
          </w:tcPr>
          <w:p>
            <w:pPr>
              <w:spacing w:after="0"/>
              <w:rPr>
                <w:sz w:val="20"/>
                <w:szCs w:val="20"/>
                <w:color w:val="auto"/>
              </w:rPr>
            </w:pPr>
            <w:r>
              <w:rPr>
                <w:rFonts w:ascii="Arial" w:cs="Arial" w:eastAsia="Arial" w:hAnsi="Arial"/>
                <w:sz w:val="11"/>
                <w:szCs w:val="11"/>
                <w:b w:val="1"/>
                <w:bCs w:val="1"/>
                <w:color w:val="auto"/>
              </w:rPr>
              <w:t>Three months ended September 30, 2021:</w:t>
            </w: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TBA securities, net</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26,567</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86,363</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(85,301)</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27,629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Forward settling non-Agency securities</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300</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750</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(600)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450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 - payer</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49,725</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500</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49,725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Payer swaptions</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11,450</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3,000</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(1,500)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12,950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securities - short position</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(10,893)</w:t>
            </w:r>
          </w:p>
        </w:tc>
        <w:tc>
          <w:tcPr>
            <w:tcW w:w="126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(1,443)</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3,498</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(8,838)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U.S. Treasury securities - long position</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397</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4,098</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(3,846)</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649</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44"/>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futures contracts - short position</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(1,500)</w:t>
            </w:r>
          </w:p>
        </w:tc>
        <w:tc>
          <w:tcPr>
            <w:tcW w:w="126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(1,500)</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1,500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(1,500)</w:t>
            </w:r>
          </w:p>
        </w:tc>
        <w:tc>
          <w:tcPr>
            <w:tcW w:w="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33"/>
        </w:trPr>
        <w:tc>
          <w:tcPr>
            <w:tcW w:w="340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406"/>
              <w:spacing w:after="0" w:line="117" w:lineRule="exact"/>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104</w:t>
            </w:r>
          </w:p>
        </w:tc>
      </w:tr>
      <w:tr>
        <w:trPr>
          <w:trHeight w:val="126"/>
        </w:trPr>
        <w:tc>
          <w:tcPr>
            <w:tcW w:w="34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Nine months ended September 30, 2022:</w:t>
            </w:r>
          </w:p>
        </w:tc>
        <w:tc>
          <w:tcPr>
            <w:tcW w:w="17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TBA securities, net</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26,673</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228,904</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(236,658)</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18,919</w:t>
            </w:r>
          </w:p>
        </w:tc>
        <w:tc>
          <w:tcPr>
            <w:tcW w:w="60" w:type="dxa"/>
            <w:vAlign w:val="bottom"/>
          </w:tcPr>
          <w:p>
            <w:pPr>
              <w:spacing w:after="0"/>
              <w:rPr>
                <w:sz w:val="12"/>
                <w:szCs w:val="12"/>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(3,030)</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Forward settling non-Agency securities</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450</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Interest rate swaps - payer</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51,225</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2,970</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(7,070)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47,125</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4,235</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Credit default swaps - CDX IG - buy protection</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(5,835)</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5,545</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Payer swaptions</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13,000</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1,750</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(11,350)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3,400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866</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Receiver swaptions</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(150)</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U.S. Treasury securities - short position</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86"/>
              <w:spacing w:after="0"/>
              <w:rPr>
                <w:sz w:val="20"/>
                <w:szCs w:val="20"/>
                <w:color w:val="auto"/>
              </w:rPr>
            </w:pPr>
            <w:r>
              <w:rPr>
                <w:rFonts w:ascii="Arial" w:cs="Arial" w:eastAsia="Arial" w:hAnsi="Arial"/>
                <w:sz w:val="11"/>
                <w:szCs w:val="11"/>
                <w:color w:val="auto"/>
              </w:rPr>
              <w:t>(9,590)</w:t>
            </w:r>
          </w:p>
        </w:tc>
        <w:tc>
          <w:tcPr>
            <w:tcW w:w="1260" w:type="dxa"/>
            <w:vAlign w:val="bottom"/>
          </w:tcPr>
          <w:p>
            <w:pPr>
              <w:jc w:val="right"/>
              <w:ind w:right="366"/>
              <w:spacing w:after="0"/>
              <w:rPr>
                <w:sz w:val="20"/>
                <w:szCs w:val="20"/>
                <w:color w:val="auto"/>
              </w:rPr>
            </w:pPr>
            <w:r>
              <w:rPr>
                <w:rFonts w:ascii="Arial" w:cs="Arial" w:eastAsia="Arial" w:hAnsi="Arial"/>
                <w:sz w:val="11"/>
                <w:szCs w:val="11"/>
                <w:color w:val="auto"/>
              </w:rPr>
              <w:t>(9,604)</w:t>
            </w: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10,447</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(8,747)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1,620</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securities - long position</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472</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7,725</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(6,873)</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1,324</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r>
      <w:tr>
        <w:trPr>
          <w:trHeight w:val="142"/>
        </w:trPr>
        <w:tc>
          <w:tcPr>
            <w:tcW w:w="34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U.S. Treasury futures contracts - short position</w:t>
            </w:r>
          </w:p>
        </w:tc>
        <w:tc>
          <w:tcPr>
            <w:tcW w:w="1760" w:type="dxa"/>
            <w:vAlign w:val="bottom"/>
            <w:tcBorders>
              <w:bottom w:val="single" w:sz="8" w:color="CCEEFF"/>
            </w:tcBorders>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tcPr>
          <w:p>
            <w:pPr>
              <w:jc w:val="right"/>
              <w:ind w:right="386"/>
              <w:spacing w:after="0"/>
              <w:rPr>
                <w:sz w:val="20"/>
                <w:szCs w:val="20"/>
                <w:color w:val="auto"/>
              </w:rPr>
            </w:pPr>
            <w:r>
              <w:rPr>
                <w:rFonts w:ascii="Arial" w:cs="Arial" w:eastAsia="Arial" w:hAnsi="Arial"/>
                <w:sz w:val="11"/>
                <w:szCs w:val="11"/>
                <w:color w:val="auto"/>
              </w:rPr>
              <w:t>(1,500)</w:t>
            </w:r>
          </w:p>
        </w:tc>
        <w:tc>
          <w:tcPr>
            <w:tcW w:w="1260" w:type="dxa"/>
            <w:vAlign w:val="bottom"/>
            <w:tcBorders>
              <w:bottom w:val="single" w:sz="8" w:color="CCEEFF"/>
            </w:tcBorders>
          </w:tcPr>
          <w:p>
            <w:pPr>
              <w:jc w:val="right"/>
              <w:ind w:right="366"/>
              <w:spacing w:after="0"/>
              <w:rPr>
                <w:sz w:val="20"/>
                <w:szCs w:val="20"/>
                <w:color w:val="auto"/>
              </w:rPr>
            </w:pPr>
            <w:r>
              <w:rPr>
                <w:rFonts w:ascii="Arial" w:cs="Arial" w:eastAsia="Arial" w:hAnsi="Arial"/>
                <w:sz w:val="11"/>
                <w:szCs w:val="11"/>
                <w:color w:val="auto"/>
              </w:rPr>
              <w:t>(26,466)</w:t>
            </w:r>
          </w:p>
        </w:tc>
        <w:tc>
          <w:tcPr>
            <w:tcW w:w="920" w:type="dxa"/>
            <w:vAlign w:val="bottom"/>
            <w:tcBorders>
              <w:bottom w:val="single" w:sz="8" w:color="CCEEFF"/>
            </w:tcBorders>
          </w:tcPr>
          <w:p>
            <w:pPr>
              <w:jc w:val="right"/>
              <w:ind w:right="46"/>
              <w:spacing w:after="0"/>
              <w:rPr>
                <w:sz w:val="20"/>
                <w:szCs w:val="20"/>
                <w:color w:val="auto"/>
              </w:rPr>
            </w:pPr>
            <w:r>
              <w:rPr>
                <w:rFonts w:ascii="Arial" w:cs="Arial" w:eastAsia="Arial" w:hAnsi="Arial"/>
                <w:sz w:val="11"/>
                <w:szCs w:val="11"/>
                <w:color w:val="auto"/>
              </w:rPr>
              <w:t>17,083</w:t>
            </w:r>
          </w:p>
        </w:tc>
        <w:tc>
          <w:tcPr>
            <w:tcW w:w="480" w:type="dxa"/>
            <w:vAlign w:val="bottom"/>
            <w:tcBorders>
              <w:bottom w:val="single" w:sz="8" w:color="CCEEFF"/>
            </w:tcBorders>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right w:val="single" w:sz="8" w:color="auto"/>
            </w:tcBorders>
          </w:tcPr>
          <w:p>
            <w:pPr>
              <w:jc w:val="right"/>
              <w:ind w:right="66"/>
              <w:spacing w:after="0"/>
              <w:rPr>
                <w:sz w:val="20"/>
                <w:szCs w:val="20"/>
                <w:color w:val="auto"/>
              </w:rPr>
            </w:pPr>
            <w:r>
              <w:rPr>
                <w:rFonts w:ascii="Arial" w:cs="Arial" w:eastAsia="Arial" w:hAnsi="Arial"/>
                <w:sz w:val="11"/>
                <w:szCs w:val="11"/>
                <w:color w:val="auto"/>
              </w:rPr>
              <w:t>(10,883)</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818</w:t>
            </w:r>
          </w:p>
        </w:tc>
      </w:tr>
      <w:tr>
        <w:trPr>
          <w:trHeight w:val="153"/>
        </w:trPr>
        <w:tc>
          <w:tcPr>
            <w:tcW w:w="34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4,498</w:t>
            </w:r>
          </w:p>
        </w:tc>
      </w:tr>
      <w:tr>
        <w:trPr>
          <w:trHeight w:val="122"/>
        </w:trPr>
        <w:tc>
          <w:tcPr>
            <w:tcW w:w="3400" w:type="dxa"/>
            <w:vAlign w:val="bottom"/>
          </w:tcPr>
          <w:p>
            <w:pPr>
              <w:spacing w:after="0" w:line="121" w:lineRule="exact"/>
              <w:rPr>
                <w:sz w:val="20"/>
                <w:szCs w:val="20"/>
                <w:color w:val="auto"/>
              </w:rPr>
            </w:pPr>
            <w:r>
              <w:rPr>
                <w:rFonts w:ascii="Arial" w:cs="Arial" w:eastAsia="Arial" w:hAnsi="Arial"/>
                <w:sz w:val="11"/>
                <w:szCs w:val="11"/>
                <w:b w:val="1"/>
                <w:bCs w:val="1"/>
                <w:color w:val="auto"/>
              </w:rPr>
              <w:t>Nine months ended September 30, 2021:</w:t>
            </w:r>
          </w:p>
        </w:tc>
        <w:tc>
          <w:tcPr>
            <w:tcW w:w="1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TBA securities, net</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30,364</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273,947</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(276,682)</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27,629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Forward settling non-Agency securities</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1,050</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(600)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450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 - payer</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43,225</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7,500</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49,725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781</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Payer swaptions</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10,400</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7,250</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(4,700)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12,950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102</w:t>
            </w:r>
          </w:p>
        </w:tc>
      </w:tr>
      <w:tr>
        <w:trPr>
          <w:trHeight w:val="146"/>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securities - short position</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(11,287)</w:t>
            </w:r>
          </w:p>
        </w:tc>
        <w:tc>
          <w:tcPr>
            <w:tcW w:w="126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(9,289)</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11,738</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(8,838)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w:t>
            </w:r>
          </w:p>
        </w:tc>
      </w:tr>
      <w:tr>
        <w:trPr>
          <w:trHeight w:val="142"/>
        </w:trPr>
        <w:tc>
          <w:tcPr>
            <w:tcW w:w="3400" w:type="dxa"/>
            <w:vAlign w:val="bottom"/>
          </w:tcPr>
          <w:p>
            <w:pPr>
              <w:spacing w:after="0"/>
              <w:rPr>
                <w:sz w:val="20"/>
                <w:szCs w:val="20"/>
                <w:color w:val="auto"/>
              </w:rPr>
            </w:pPr>
            <w:r>
              <w:rPr>
                <w:rFonts w:ascii="Arial" w:cs="Arial" w:eastAsia="Arial" w:hAnsi="Arial"/>
                <w:sz w:val="11"/>
                <w:szCs w:val="11"/>
                <w:color w:val="auto"/>
              </w:rPr>
              <w:t>U.S. Treasury securities - long position</w:t>
            </w:r>
          </w:p>
        </w:tc>
        <w:tc>
          <w:tcPr>
            <w:tcW w:w="17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406"/>
              <w:spacing w:after="0"/>
              <w:rPr>
                <w:sz w:val="20"/>
                <w:szCs w:val="20"/>
                <w:color w:val="auto"/>
              </w:rPr>
            </w:pPr>
            <w:r>
              <w:rPr>
                <w:rFonts w:ascii="Arial" w:cs="Arial" w:eastAsia="Arial" w:hAnsi="Arial"/>
                <w:sz w:val="11"/>
                <w:szCs w:val="11"/>
                <w:color w:val="auto"/>
              </w:rPr>
              <w:t>6,749</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(6,100)</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649</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44"/>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U.S. Treasury futures contracts - short position</w:t>
            </w:r>
          </w:p>
        </w:tc>
        <w:tc>
          <w:tcPr>
            <w:tcW w:w="17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(1,000)</w:t>
            </w:r>
          </w:p>
        </w:tc>
        <w:tc>
          <w:tcPr>
            <w:tcW w:w="126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(4,500)</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4,000</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(1,500)</w:t>
            </w:r>
          </w:p>
        </w:tc>
        <w:tc>
          <w:tcPr>
            <w:tcW w:w="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r>
      <w:tr>
        <w:trPr>
          <w:trHeight w:val="151"/>
        </w:trPr>
        <w:tc>
          <w:tcPr>
            <w:tcW w:w="3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867</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Amounts exclude other miscellaneous gains and losses recognized in gain (loss) on derivative instruments and other securities, net in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70" w:right="33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Note 6. Other Assets and Other Liabilities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summarize other assets and other liabilities as of September 30, 2022 and December 31, 2021 (in millions):</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132"/>
        </w:trPr>
        <w:tc>
          <w:tcPr>
            <w:tcW w:w="5520" w:type="dxa"/>
            <w:vAlign w:val="bottom"/>
            <w:gridSpan w:val="2"/>
          </w:tcPr>
          <w:p>
            <w:pPr>
              <w:spacing w:after="0"/>
              <w:rPr>
                <w:sz w:val="20"/>
                <w:szCs w:val="20"/>
                <w:color w:val="auto"/>
              </w:rPr>
            </w:pPr>
            <w:r>
              <w:rPr>
                <w:rFonts w:ascii="Arial" w:cs="Arial" w:eastAsia="Arial" w:hAnsi="Arial"/>
                <w:sz w:val="10"/>
                <w:szCs w:val="10"/>
                <w:b w:val="1"/>
                <w:bCs w:val="1"/>
                <w:color w:val="auto"/>
              </w:rPr>
              <w:t>Other Assets</w:t>
            </w:r>
          </w:p>
        </w:tc>
        <w:tc>
          <w:tcPr>
            <w:tcW w:w="14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2022</w:t>
            </w:r>
          </w:p>
        </w:tc>
        <w:tc>
          <w:tcPr>
            <w:tcW w:w="140" w:type="dxa"/>
            <w:vAlign w:val="bottom"/>
          </w:tcPr>
          <w:p>
            <w:pPr>
              <w:spacing w:after="0"/>
              <w:rPr>
                <w:sz w:val="11"/>
                <w:szCs w:val="11"/>
                <w:color w:val="auto"/>
              </w:rPr>
            </w:pPr>
          </w:p>
        </w:tc>
        <w:tc>
          <w:tcPr>
            <w:tcW w:w="1120" w:type="dxa"/>
            <w:vAlign w:val="bottom"/>
          </w:tcPr>
          <w:p>
            <w:pPr>
              <w:jc w:val="right"/>
              <w:ind w:right="192"/>
              <w:spacing w:after="0"/>
              <w:rPr>
                <w:sz w:val="20"/>
                <w:szCs w:val="20"/>
                <w:color w:val="auto"/>
              </w:rPr>
            </w:pPr>
            <w:r>
              <w:rPr>
                <w:rFonts w:ascii="Arial" w:cs="Arial" w:eastAsia="Arial" w:hAnsi="Arial"/>
                <w:sz w:val="10"/>
                <w:szCs w:val="10"/>
                <w:b w:val="1"/>
                <w:bCs w:val="1"/>
                <w:color w:val="auto"/>
                <w:w w:val="95"/>
              </w:rPr>
              <w:t>December 31, 2021</w:t>
            </w:r>
          </w:p>
        </w:tc>
      </w:tr>
      <w:tr>
        <w:trPr>
          <w:trHeight w:val="133"/>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Interest receivable</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130</w:t>
            </w:r>
          </w:p>
        </w:tc>
      </w:tr>
      <w:tr>
        <w:trPr>
          <w:trHeight w:val="128"/>
        </w:trPr>
        <w:tc>
          <w:tcPr>
            <w:tcW w:w="5520" w:type="dxa"/>
            <w:vAlign w:val="bottom"/>
            <w:gridSpan w:val="2"/>
          </w:tcPr>
          <w:p>
            <w:pPr>
              <w:spacing w:after="0"/>
              <w:rPr>
                <w:sz w:val="20"/>
                <w:szCs w:val="20"/>
                <w:color w:val="auto"/>
              </w:rPr>
            </w:pPr>
            <w:r>
              <w:rPr>
                <w:rFonts w:ascii="Arial" w:cs="Arial" w:eastAsia="Arial" w:hAnsi="Arial"/>
                <w:sz w:val="10"/>
                <w:szCs w:val="10"/>
                <w:color w:val="auto"/>
              </w:rPr>
              <w:t>Receivable for unsettled transactions</w:t>
            </w:r>
          </w:p>
        </w:tc>
        <w:tc>
          <w:tcPr>
            <w:tcW w:w="14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184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180</w:t>
            </w:r>
          </w:p>
        </w:tc>
      </w:tr>
      <w:tr>
        <w:trPr>
          <w:trHeight w:val="142"/>
        </w:trPr>
        <w:tc>
          <w:tcPr>
            <w:tcW w:w="55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Venture capital investments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w:t>
            </w:r>
          </w:p>
        </w:tc>
      </w:tr>
      <w:tr>
        <w:trPr>
          <w:trHeight w:val="128"/>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Other</w:t>
            </w: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25</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w:t>
            </w:r>
          </w:p>
        </w:tc>
      </w:tr>
      <w:tr>
        <w:trPr>
          <w:trHeight w:val="147"/>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other assets</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408</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414</w:t>
            </w:r>
          </w:p>
        </w:tc>
      </w:tr>
    </w:tbl>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132"/>
        </w:trPr>
        <w:tc>
          <w:tcPr>
            <w:tcW w:w="5520" w:type="dxa"/>
            <w:vAlign w:val="bottom"/>
            <w:gridSpan w:val="2"/>
          </w:tcPr>
          <w:p>
            <w:pPr>
              <w:spacing w:after="0"/>
              <w:rPr>
                <w:sz w:val="20"/>
                <w:szCs w:val="20"/>
                <w:color w:val="auto"/>
              </w:rPr>
            </w:pPr>
            <w:r>
              <w:rPr>
                <w:rFonts w:ascii="Arial" w:cs="Arial" w:eastAsia="Arial" w:hAnsi="Arial"/>
                <w:sz w:val="10"/>
                <w:szCs w:val="10"/>
                <w:b w:val="1"/>
                <w:bCs w:val="1"/>
                <w:color w:val="auto"/>
              </w:rPr>
              <w:t>Other Liabilities</w:t>
            </w:r>
          </w:p>
        </w:tc>
        <w:tc>
          <w:tcPr>
            <w:tcW w:w="14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2022</w:t>
            </w:r>
          </w:p>
        </w:tc>
        <w:tc>
          <w:tcPr>
            <w:tcW w:w="140" w:type="dxa"/>
            <w:vAlign w:val="bottom"/>
          </w:tcPr>
          <w:p>
            <w:pPr>
              <w:spacing w:after="0"/>
              <w:rPr>
                <w:sz w:val="11"/>
                <w:szCs w:val="11"/>
                <w:color w:val="auto"/>
              </w:rPr>
            </w:pPr>
          </w:p>
        </w:tc>
        <w:tc>
          <w:tcPr>
            <w:tcW w:w="1120" w:type="dxa"/>
            <w:vAlign w:val="bottom"/>
          </w:tcPr>
          <w:p>
            <w:pPr>
              <w:jc w:val="right"/>
              <w:ind w:right="192"/>
              <w:spacing w:after="0"/>
              <w:rPr>
                <w:sz w:val="20"/>
                <w:szCs w:val="20"/>
                <w:color w:val="auto"/>
              </w:rPr>
            </w:pPr>
            <w:r>
              <w:rPr>
                <w:rFonts w:ascii="Arial" w:cs="Arial" w:eastAsia="Arial" w:hAnsi="Arial"/>
                <w:sz w:val="10"/>
                <w:szCs w:val="10"/>
                <w:b w:val="1"/>
                <w:bCs w:val="1"/>
                <w:color w:val="auto"/>
                <w:w w:val="95"/>
              </w:rPr>
              <w:t>December 31, 2021</w:t>
            </w:r>
          </w:p>
        </w:tc>
      </w:tr>
      <w:tr>
        <w:trPr>
          <w:trHeight w:val="132"/>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Interest payable</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w:t>
            </w:r>
          </w:p>
        </w:tc>
      </w:tr>
      <w:tr>
        <w:trPr>
          <w:trHeight w:val="128"/>
        </w:trPr>
        <w:tc>
          <w:tcPr>
            <w:tcW w:w="5520" w:type="dxa"/>
            <w:vAlign w:val="bottom"/>
            <w:gridSpan w:val="2"/>
          </w:tcPr>
          <w:p>
            <w:pPr>
              <w:spacing w:after="0"/>
              <w:rPr>
                <w:sz w:val="20"/>
                <w:szCs w:val="20"/>
                <w:color w:val="auto"/>
              </w:rPr>
            </w:pPr>
            <w:r>
              <w:rPr>
                <w:rFonts w:ascii="Arial" w:cs="Arial" w:eastAsia="Arial" w:hAnsi="Arial"/>
                <w:sz w:val="10"/>
                <w:szCs w:val="10"/>
                <w:color w:val="auto"/>
              </w:rPr>
              <w:t>Cash pledged from counterparties</w:t>
            </w:r>
          </w:p>
        </w:tc>
        <w:tc>
          <w:tcPr>
            <w:tcW w:w="14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634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336</w:t>
            </w:r>
          </w:p>
        </w:tc>
      </w:tr>
      <w:tr>
        <w:trPr>
          <w:trHeight w:val="142"/>
        </w:trPr>
        <w:tc>
          <w:tcPr>
            <w:tcW w:w="55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Payable for unsettled transactions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Other</w:t>
            </w: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65</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r>
      <w:tr>
        <w:trPr>
          <w:trHeight w:val="147"/>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other liabilities</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837</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Pledged Assets</w:t>
      </w:r>
    </w:p>
    <w:p>
      <w:pPr>
        <w:spacing w:after="0" w:line="118"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77" w:lineRule="exact"/>
        <w:rPr>
          <w:sz w:val="20"/>
          <w:szCs w:val="20"/>
          <w:color w:val="auto"/>
        </w:rPr>
      </w:pPr>
    </w:p>
    <w:p>
      <w:pPr>
        <w:jc w:val="both"/>
        <w:ind w:firstLine="270"/>
        <w:spacing w:after="0" w:line="281" w:lineRule="auto"/>
        <w:rPr>
          <w:sz w:val="20"/>
          <w:szCs w:val="20"/>
          <w:color w:val="auto"/>
        </w:rPr>
      </w:pPr>
      <w:r>
        <w:rPr>
          <w:rFonts w:ascii="Arial" w:cs="Arial" w:eastAsia="Arial" w:hAnsi="Arial"/>
          <w:sz w:val="11"/>
          <w:szCs w:val="11"/>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7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of September 30, 2022, our maximum amount at risk with any counterparty related to our repurchase agreements, excluding the Fixed Income Clearing Corporation, was less than 3% of our tangible stockholders' equity (or the excess/shortfall of the value of collateral pledged/received over our repurchase agreement liabilities/reverse repurchase agreement receivables). As of September 30, 2022, approximately 7% of our tangible stockholder's equity was at risk with the Fixed Income Clearing Corporation.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i w:val="1"/>
          <w:iCs w:val="1"/>
          <w:color w:val="auto"/>
        </w:rPr>
        <w:t>Assets Pledged to Counterparties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tables summarize our assets pledged as collateral under our funding, derivative and brokerage and clearing agreements by type, including securities pledged related to securities sold but not yet settled, as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2022 and December 31, 2021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0"/>
                <w:szCs w:val="10"/>
                <w:b w:val="1"/>
                <w:bCs w:val="1"/>
                <w:color w:val="auto"/>
                <w:w w:val="85"/>
              </w:rPr>
              <w:t>September 30, 2022</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0" w:type="dxa"/>
            <w:vAlign w:val="bottom"/>
            <w:gridSpan w:val="2"/>
          </w:tcPr>
          <w:p>
            <w:pPr>
              <w:jc w:val="center"/>
              <w:ind w:right="420"/>
              <w:spacing w:after="0" w:line="91" w:lineRule="exact"/>
              <w:rPr>
                <w:sz w:val="20"/>
                <w:szCs w:val="20"/>
                <w:color w:val="auto"/>
              </w:rPr>
            </w:pPr>
            <w:r>
              <w:rPr>
                <w:rFonts w:ascii="Arial" w:cs="Arial" w:eastAsia="Arial" w:hAnsi="Arial"/>
                <w:sz w:val="10"/>
                <w:szCs w:val="10"/>
                <w:b w:val="1"/>
                <w:bCs w:val="1"/>
                <w:color w:val="auto"/>
                <w:w w:val="86"/>
              </w:rPr>
              <w:t>Debt of</w:t>
            </w: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Assets Pledged to Counterparties </w:t>
            </w:r>
            <w:r>
              <w:rPr>
                <w:rFonts w:ascii="Arial" w:cs="Arial" w:eastAsia="Arial" w:hAnsi="Arial"/>
                <w:sz w:val="12"/>
                <w:szCs w:val="12"/>
                <w:b w:val="1"/>
                <w:bCs w:val="1"/>
                <w:color w:val="auto"/>
                <w:vertAlign w:val="superscript"/>
              </w:rPr>
              <w:t>1</w:t>
            </w:r>
          </w:p>
        </w:tc>
        <w:tc>
          <w:tcPr>
            <w:tcW w:w="160" w:type="dxa"/>
            <w:vAlign w:val="bottom"/>
          </w:tcPr>
          <w:p>
            <w:pPr>
              <w:spacing w:after="0"/>
              <w:rPr>
                <w:sz w:val="8"/>
                <w:szCs w:val="8"/>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 xml:space="preserve">Repurchase Agreements </w:t>
            </w:r>
            <w:r>
              <w:rPr>
                <w:rFonts w:ascii="Arial" w:cs="Arial" w:eastAsia="Arial" w:hAnsi="Arial"/>
                <w:sz w:val="12"/>
                <w:szCs w:val="12"/>
                <w:b w:val="1"/>
                <w:bCs w:val="1"/>
                <w:color w:val="auto"/>
                <w:vertAlign w:val="superscript"/>
              </w:rPr>
              <w:t>2</w:t>
            </w:r>
          </w:p>
        </w:tc>
        <w:tc>
          <w:tcPr>
            <w:tcW w:w="300" w:type="dxa"/>
            <w:vAlign w:val="bottom"/>
          </w:tcPr>
          <w:p>
            <w:pPr>
              <w:spacing w:after="0"/>
              <w:rPr>
                <w:sz w:val="8"/>
                <w:szCs w:val="8"/>
                <w:color w:val="auto"/>
              </w:rPr>
            </w:pPr>
          </w:p>
        </w:tc>
        <w:tc>
          <w:tcPr>
            <w:tcW w:w="1400" w:type="dxa"/>
            <w:vAlign w:val="bottom"/>
            <w:gridSpan w:val="2"/>
          </w:tcPr>
          <w:p>
            <w:pPr>
              <w:jc w:val="center"/>
              <w:ind w:right="420"/>
              <w:spacing w:after="0" w:line="96" w:lineRule="exact"/>
              <w:rPr>
                <w:sz w:val="20"/>
                <w:szCs w:val="20"/>
                <w:color w:val="auto"/>
              </w:rPr>
            </w:pPr>
            <w:r>
              <w:rPr>
                <w:rFonts w:ascii="Arial" w:cs="Arial" w:eastAsia="Arial" w:hAnsi="Arial"/>
                <w:sz w:val="10"/>
                <w:szCs w:val="10"/>
                <w:b w:val="1"/>
                <w:bCs w:val="1"/>
                <w:color w:val="auto"/>
                <w:w w:val="85"/>
              </w:rPr>
              <w:t>Consolidated</w:t>
            </w:r>
          </w:p>
        </w:tc>
        <w:tc>
          <w:tcPr>
            <w:tcW w:w="80" w:type="dxa"/>
            <w:vAlign w:val="bottom"/>
          </w:tcPr>
          <w:p>
            <w:pPr>
              <w:spacing w:after="0"/>
              <w:rPr>
                <w:sz w:val="8"/>
                <w:szCs w:val="8"/>
                <w:color w:val="auto"/>
              </w:rPr>
            </w:pPr>
          </w:p>
        </w:tc>
        <w:tc>
          <w:tcPr>
            <w:tcW w:w="16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6"/>
              </w:rPr>
              <w:t xml:space="preserve">Derivative Agreements and Other </w:t>
            </w:r>
            <w:r>
              <w:rPr>
                <w:rFonts w:ascii="Arial" w:cs="Arial" w:eastAsia="Arial" w:hAnsi="Arial"/>
                <w:sz w:val="12"/>
                <w:szCs w:val="12"/>
                <w:b w:val="1"/>
                <w:bCs w:val="1"/>
                <w:color w:val="auto"/>
                <w:w w:val="96"/>
                <w:vertAlign w:val="superscript"/>
              </w:rPr>
              <w:t>3</w:t>
            </w:r>
          </w:p>
        </w:tc>
        <w:tc>
          <w:tcPr>
            <w:tcW w:w="380" w:type="dxa"/>
            <w:vAlign w:val="bottom"/>
          </w:tcPr>
          <w:p>
            <w:pPr>
              <w:spacing w:after="0"/>
              <w:rPr>
                <w:sz w:val="8"/>
                <w:szCs w:val="8"/>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4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VIEs</w:t>
            </w: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Agency RMBS - fair value</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38,527</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39,208</w:t>
            </w:r>
          </w:p>
        </w:tc>
        <w:tc>
          <w:tcPr>
            <w:tcW w:w="0" w:type="dxa"/>
            <w:vAlign w:val="bottom"/>
          </w:tcPr>
          <w:p>
            <w:pPr>
              <w:spacing w:after="0"/>
              <w:rPr>
                <w:sz w:val="1"/>
                <w:szCs w:val="1"/>
                <w:color w:val="auto"/>
              </w:rPr>
            </w:pPr>
          </w:p>
        </w:tc>
      </w:tr>
      <w:tr>
        <w:trPr>
          <w:trHeight w:val="128"/>
        </w:trPr>
        <w:tc>
          <w:tcPr>
            <w:tcW w:w="4620" w:type="dxa"/>
            <w:vAlign w:val="bottom"/>
            <w:gridSpan w:val="2"/>
          </w:tcPr>
          <w:p>
            <w:pPr>
              <w:spacing w:after="0"/>
              <w:rPr>
                <w:sz w:val="20"/>
                <w:szCs w:val="20"/>
                <w:color w:val="auto"/>
              </w:rPr>
            </w:pPr>
            <w:r>
              <w:rPr>
                <w:rFonts w:ascii="Arial" w:cs="Arial" w:eastAsia="Arial" w:hAnsi="Arial"/>
                <w:sz w:val="10"/>
                <w:szCs w:val="10"/>
                <w:color w:val="auto"/>
              </w:rPr>
              <w:t>CRT - fair value</w:t>
            </w:r>
          </w:p>
        </w:tc>
        <w:tc>
          <w:tcPr>
            <w:tcW w:w="1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834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834</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Non-Agency - fair value</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w:t>
            </w:r>
          </w:p>
        </w:tc>
        <w:tc>
          <w:tcPr>
            <w:tcW w:w="0" w:type="dxa"/>
            <w:vAlign w:val="bottom"/>
          </w:tcPr>
          <w:p>
            <w:pPr>
              <w:spacing w:after="0"/>
              <w:rPr>
                <w:sz w:val="1"/>
                <w:szCs w:val="1"/>
                <w:color w:val="auto"/>
              </w:rPr>
            </w:pPr>
          </w:p>
        </w:tc>
      </w:tr>
      <w:tr>
        <w:trPr>
          <w:trHeight w:val="128"/>
        </w:trPr>
        <w:tc>
          <w:tcPr>
            <w:tcW w:w="4620" w:type="dxa"/>
            <w:vAlign w:val="bottom"/>
            <w:gridSpan w:val="2"/>
          </w:tcPr>
          <w:p>
            <w:pPr>
              <w:spacing w:after="0"/>
              <w:rPr>
                <w:sz w:val="20"/>
                <w:szCs w:val="20"/>
                <w:color w:val="auto"/>
              </w:rPr>
            </w:pPr>
            <w:r>
              <w:rPr>
                <w:rFonts w:ascii="Arial" w:cs="Arial" w:eastAsia="Arial" w:hAnsi="Arial"/>
                <w:sz w:val="10"/>
                <w:szCs w:val="10"/>
                <w:color w:val="auto"/>
              </w:rPr>
              <w:t>U.S. Treasury securities - fair value</w:t>
            </w:r>
          </w:p>
        </w:tc>
        <w:tc>
          <w:tcPr>
            <w:tcW w:w="1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1,213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1,213</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Accrued interest on pledged securities</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0" w:type="dxa"/>
            <w:vAlign w:val="bottom"/>
          </w:tcPr>
          <w:p>
            <w:pPr>
              <w:spacing w:after="0"/>
              <w:rPr>
                <w:sz w:val="1"/>
                <w:szCs w:val="1"/>
                <w:color w:val="auto"/>
              </w:rPr>
            </w:pPr>
          </w:p>
        </w:tc>
      </w:tr>
      <w:tr>
        <w:trPr>
          <w:trHeight w:val="128"/>
        </w:trPr>
        <w:tc>
          <w:tcPr>
            <w:tcW w:w="4620" w:type="dxa"/>
            <w:vAlign w:val="bottom"/>
            <w:gridSpan w:val="2"/>
          </w:tcPr>
          <w:p>
            <w:pPr>
              <w:spacing w:after="0"/>
              <w:rPr>
                <w:sz w:val="20"/>
                <w:szCs w:val="20"/>
                <w:color w:val="auto"/>
              </w:rPr>
            </w:pPr>
            <w:r>
              <w:rPr>
                <w:rFonts w:ascii="Arial" w:cs="Arial" w:eastAsia="Arial" w:hAnsi="Arial"/>
                <w:sz w:val="10"/>
                <w:szCs w:val="10"/>
                <w:color w:val="auto"/>
              </w:rPr>
              <w:t>Restricted cash</w:t>
            </w:r>
          </w:p>
        </w:tc>
        <w:tc>
          <w:tcPr>
            <w:tcW w:w="1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257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1,929</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2,186</w:t>
            </w:r>
          </w:p>
        </w:tc>
        <w:tc>
          <w:tcPr>
            <w:tcW w:w="0" w:type="dxa"/>
            <w:vAlign w:val="bottom"/>
          </w:tcPr>
          <w:p>
            <w:pPr>
              <w:spacing w:after="0"/>
              <w:rPr>
                <w:sz w:val="1"/>
                <w:szCs w:val="1"/>
                <w:color w:val="auto"/>
              </w:rPr>
            </w:pPr>
          </w:p>
        </w:tc>
      </w:tr>
      <w:tr>
        <w:trPr>
          <w:trHeight w:val="138"/>
        </w:trPr>
        <w:tc>
          <w:tcPr>
            <w:tcW w:w="46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Total</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41,757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2,463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44,370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0"/>
                <w:szCs w:val="10"/>
                <w:b w:val="1"/>
                <w:bCs w:val="1"/>
                <w:color w:val="auto"/>
                <w:w w:val="86"/>
              </w:rPr>
              <w:t>December 31, 2021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0" w:type="dxa"/>
            <w:vAlign w:val="bottom"/>
            <w:gridSpan w:val="2"/>
          </w:tcPr>
          <w:p>
            <w:pPr>
              <w:jc w:val="center"/>
              <w:ind w:right="420"/>
              <w:spacing w:after="0" w:line="91" w:lineRule="exact"/>
              <w:rPr>
                <w:sz w:val="20"/>
                <w:szCs w:val="20"/>
                <w:color w:val="auto"/>
              </w:rPr>
            </w:pPr>
            <w:r>
              <w:rPr>
                <w:rFonts w:ascii="Arial" w:cs="Arial" w:eastAsia="Arial" w:hAnsi="Arial"/>
                <w:sz w:val="10"/>
                <w:szCs w:val="10"/>
                <w:b w:val="1"/>
                <w:bCs w:val="1"/>
                <w:color w:val="auto"/>
                <w:w w:val="86"/>
              </w:rPr>
              <w:t>Debt of</w:t>
            </w: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Assets Pledged to Counterparties </w:t>
            </w:r>
            <w:r>
              <w:rPr>
                <w:rFonts w:ascii="Arial" w:cs="Arial" w:eastAsia="Arial" w:hAnsi="Arial"/>
                <w:sz w:val="12"/>
                <w:szCs w:val="12"/>
                <w:b w:val="1"/>
                <w:bCs w:val="1"/>
                <w:color w:val="auto"/>
                <w:vertAlign w:val="superscript"/>
              </w:rPr>
              <w:t>1</w:t>
            </w:r>
          </w:p>
        </w:tc>
        <w:tc>
          <w:tcPr>
            <w:tcW w:w="160" w:type="dxa"/>
            <w:vAlign w:val="bottom"/>
          </w:tcPr>
          <w:p>
            <w:pPr>
              <w:spacing w:after="0"/>
              <w:rPr>
                <w:sz w:val="8"/>
                <w:szCs w:val="8"/>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 xml:space="preserve">Repurchase Agreements </w:t>
            </w:r>
            <w:r>
              <w:rPr>
                <w:rFonts w:ascii="Arial" w:cs="Arial" w:eastAsia="Arial" w:hAnsi="Arial"/>
                <w:sz w:val="12"/>
                <w:szCs w:val="12"/>
                <w:b w:val="1"/>
                <w:bCs w:val="1"/>
                <w:color w:val="auto"/>
                <w:vertAlign w:val="superscript"/>
              </w:rPr>
              <w:t>2</w:t>
            </w:r>
          </w:p>
        </w:tc>
        <w:tc>
          <w:tcPr>
            <w:tcW w:w="300" w:type="dxa"/>
            <w:vAlign w:val="bottom"/>
          </w:tcPr>
          <w:p>
            <w:pPr>
              <w:spacing w:after="0"/>
              <w:rPr>
                <w:sz w:val="8"/>
                <w:szCs w:val="8"/>
                <w:color w:val="auto"/>
              </w:rPr>
            </w:pPr>
          </w:p>
        </w:tc>
        <w:tc>
          <w:tcPr>
            <w:tcW w:w="1400" w:type="dxa"/>
            <w:vAlign w:val="bottom"/>
            <w:gridSpan w:val="2"/>
          </w:tcPr>
          <w:p>
            <w:pPr>
              <w:jc w:val="center"/>
              <w:ind w:right="420"/>
              <w:spacing w:after="0" w:line="96" w:lineRule="exact"/>
              <w:rPr>
                <w:sz w:val="20"/>
                <w:szCs w:val="20"/>
                <w:color w:val="auto"/>
              </w:rPr>
            </w:pPr>
            <w:r>
              <w:rPr>
                <w:rFonts w:ascii="Arial" w:cs="Arial" w:eastAsia="Arial" w:hAnsi="Arial"/>
                <w:sz w:val="10"/>
                <w:szCs w:val="10"/>
                <w:b w:val="1"/>
                <w:bCs w:val="1"/>
                <w:color w:val="auto"/>
                <w:w w:val="85"/>
              </w:rPr>
              <w:t>Consolidated</w:t>
            </w:r>
          </w:p>
        </w:tc>
        <w:tc>
          <w:tcPr>
            <w:tcW w:w="80" w:type="dxa"/>
            <w:vAlign w:val="bottom"/>
          </w:tcPr>
          <w:p>
            <w:pPr>
              <w:spacing w:after="0"/>
              <w:rPr>
                <w:sz w:val="8"/>
                <w:szCs w:val="8"/>
                <w:color w:val="auto"/>
              </w:rPr>
            </w:pPr>
          </w:p>
        </w:tc>
        <w:tc>
          <w:tcPr>
            <w:tcW w:w="16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6"/>
              </w:rPr>
              <w:t xml:space="preserve">Derivative Agreements and Other </w:t>
            </w:r>
            <w:r>
              <w:rPr>
                <w:rFonts w:ascii="Arial" w:cs="Arial" w:eastAsia="Arial" w:hAnsi="Arial"/>
                <w:sz w:val="12"/>
                <w:szCs w:val="12"/>
                <w:b w:val="1"/>
                <w:bCs w:val="1"/>
                <w:color w:val="auto"/>
                <w:w w:val="96"/>
                <w:vertAlign w:val="superscript"/>
              </w:rPr>
              <w:t>3</w:t>
            </w:r>
          </w:p>
        </w:tc>
        <w:tc>
          <w:tcPr>
            <w:tcW w:w="380" w:type="dxa"/>
            <w:vAlign w:val="bottom"/>
          </w:tcPr>
          <w:p>
            <w:pPr>
              <w:spacing w:after="0"/>
              <w:rPr>
                <w:sz w:val="8"/>
                <w:szCs w:val="8"/>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4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VIEs</w:t>
            </w: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Agency RMBS - fair value</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46,943</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739</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47,890</w:t>
            </w:r>
          </w:p>
        </w:tc>
        <w:tc>
          <w:tcPr>
            <w:tcW w:w="0" w:type="dxa"/>
            <w:vAlign w:val="bottom"/>
          </w:tcPr>
          <w:p>
            <w:pPr>
              <w:spacing w:after="0"/>
              <w:rPr>
                <w:sz w:val="1"/>
                <w:szCs w:val="1"/>
                <w:color w:val="auto"/>
              </w:rPr>
            </w:pPr>
          </w:p>
        </w:tc>
      </w:tr>
      <w:tr>
        <w:trPr>
          <w:trHeight w:val="128"/>
        </w:trPr>
        <w:tc>
          <w:tcPr>
            <w:tcW w:w="4620" w:type="dxa"/>
            <w:vAlign w:val="bottom"/>
            <w:gridSpan w:val="2"/>
          </w:tcPr>
          <w:p>
            <w:pPr>
              <w:spacing w:after="0"/>
              <w:rPr>
                <w:sz w:val="20"/>
                <w:szCs w:val="20"/>
                <w:color w:val="auto"/>
              </w:rPr>
            </w:pPr>
            <w:r>
              <w:rPr>
                <w:rFonts w:ascii="Arial" w:cs="Arial" w:eastAsia="Arial" w:hAnsi="Arial"/>
                <w:sz w:val="10"/>
                <w:szCs w:val="10"/>
                <w:color w:val="auto"/>
              </w:rPr>
              <w:t>CRT - fair value</w:t>
            </w:r>
          </w:p>
        </w:tc>
        <w:tc>
          <w:tcPr>
            <w:tcW w:w="1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510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510</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Non-Agency - fair value</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571</w:t>
            </w:r>
          </w:p>
        </w:tc>
        <w:tc>
          <w:tcPr>
            <w:tcW w:w="0" w:type="dxa"/>
            <w:vAlign w:val="bottom"/>
          </w:tcPr>
          <w:p>
            <w:pPr>
              <w:spacing w:after="0"/>
              <w:rPr>
                <w:sz w:val="1"/>
                <w:szCs w:val="1"/>
                <w:color w:val="auto"/>
              </w:rPr>
            </w:pPr>
          </w:p>
        </w:tc>
      </w:tr>
      <w:tr>
        <w:trPr>
          <w:trHeight w:val="128"/>
        </w:trPr>
        <w:tc>
          <w:tcPr>
            <w:tcW w:w="4620" w:type="dxa"/>
            <w:vAlign w:val="bottom"/>
            <w:gridSpan w:val="2"/>
          </w:tcPr>
          <w:p>
            <w:pPr>
              <w:spacing w:after="0"/>
              <w:rPr>
                <w:sz w:val="20"/>
                <w:szCs w:val="20"/>
                <w:color w:val="auto"/>
              </w:rPr>
            </w:pPr>
            <w:r>
              <w:rPr>
                <w:rFonts w:ascii="Arial" w:cs="Arial" w:eastAsia="Arial" w:hAnsi="Arial"/>
                <w:sz w:val="10"/>
                <w:szCs w:val="10"/>
                <w:color w:val="auto"/>
              </w:rPr>
              <w:t>U.S. Treasury securities - fair value</w:t>
            </w:r>
          </w:p>
        </w:tc>
        <w:tc>
          <w:tcPr>
            <w:tcW w:w="1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1,084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208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1,292</w:t>
            </w:r>
          </w:p>
        </w:tc>
        <w:tc>
          <w:tcPr>
            <w:tcW w:w="0" w:type="dxa"/>
            <w:vAlign w:val="bottom"/>
          </w:tcPr>
          <w:p>
            <w:pPr>
              <w:spacing w:after="0"/>
              <w:rPr>
                <w:sz w:val="1"/>
                <w:szCs w:val="1"/>
                <w:color w:val="auto"/>
              </w:rPr>
            </w:pPr>
          </w:p>
        </w:tc>
      </w:tr>
      <w:tr>
        <w:trPr>
          <w:trHeight w:val="142"/>
        </w:trPr>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Accrued interest on pledged securities</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0" w:type="dxa"/>
            <w:vAlign w:val="bottom"/>
          </w:tcPr>
          <w:p>
            <w:pPr>
              <w:spacing w:after="0"/>
              <w:rPr>
                <w:sz w:val="1"/>
                <w:szCs w:val="1"/>
                <w:color w:val="auto"/>
              </w:rPr>
            </w:pPr>
          </w:p>
        </w:tc>
      </w:tr>
      <w:tr>
        <w:trPr>
          <w:trHeight w:val="128"/>
        </w:trPr>
        <w:tc>
          <w:tcPr>
            <w:tcW w:w="4620" w:type="dxa"/>
            <w:vAlign w:val="bottom"/>
            <w:gridSpan w:val="2"/>
          </w:tcPr>
          <w:p>
            <w:pPr>
              <w:spacing w:after="0"/>
              <w:rPr>
                <w:sz w:val="20"/>
                <w:szCs w:val="20"/>
                <w:color w:val="auto"/>
              </w:rPr>
            </w:pPr>
            <w:r>
              <w:rPr>
                <w:rFonts w:ascii="Arial" w:cs="Arial" w:eastAsia="Arial" w:hAnsi="Arial"/>
                <w:sz w:val="10"/>
                <w:szCs w:val="10"/>
                <w:color w:val="auto"/>
              </w:rPr>
              <w:t>Restricted cash</w:t>
            </w:r>
          </w:p>
        </w:tc>
        <w:tc>
          <w:tcPr>
            <w:tcW w:w="1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512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47"/>
        </w:trPr>
        <w:tc>
          <w:tcPr>
            <w:tcW w:w="46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Total</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49,240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50,910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repledged assets received as collateral from counterparties and securities sold but not yet settled.</w:t>
      </w:r>
    </w:p>
    <w:p>
      <w:pPr>
        <w:ind w:left="420" w:hanging="212"/>
        <w:spacing w:after="0" w:line="236" w:lineRule="auto"/>
        <w:tabs>
          <w:tab w:leader="none" w:pos="4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$51 million and $81 million of retained interests in our consolidated VIEs pledged as collateral under repurchase agreements as of September 30, 2022 and December 31, 2021, respectively.</w:t>
      </w:r>
    </w:p>
    <w:p>
      <w:pPr>
        <w:ind w:left="420" w:hanging="212"/>
        <w:spacing w:after="0"/>
        <w:tabs>
          <w:tab w:leader="none" w:pos="4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deposits under brokerage and clearing agreements.</w:t>
      </w:r>
    </w:p>
    <w:p>
      <w:pPr>
        <w:spacing w:after="0" w:line="109"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following table summarizes our securities pledged as collateral under our repurchase agreements by the remaining maturity of our borrowings, including securities pledged related to sold but not yet settled securities, as of September 30, 2022 and December 31, 2021 (in millions). For the corresponding borrowings associated with the following amounts and the interest rates thereon, refer to Note 4</w:t>
      </w:r>
      <w:r>
        <w:rPr>
          <w:rFonts w:ascii="Arial" w:cs="Arial" w:eastAsia="Arial" w:hAnsi="Arial"/>
          <w:sz w:val="12"/>
          <w:szCs w:val="12"/>
          <w:i w:val="1"/>
          <w:iCs w:val="1"/>
          <w:color w:val="auto"/>
        </w:rPr>
        <w: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September 30, 2022</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2021</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jc w:val="center"/>
              <w:ind w:right="112"/>
              <w:spacing w:after="0" w:line="88" w:lineRule="exact"/>
              <w:rPr>
                <w:sz w:val="20"/>
                <w:szCs w:val="20"/>
                <w:color w:val="auto"/>
              </w:rPr>
            </w:pPr>
            <w:r>
              <w:rPr>
                <w:rFonts w:ascii="Arial" w:cs="Arial" w:eastAsia="Arial" w:hAnsi="Arial"/>
                <w:sz w:val="10"/>
                <w:szCs w:val="10"/>
                <w:b w:val="1"/>
                <w:bCs w:val="1"/>
                <w:color w:val="auto"/>
                <w:w w:val="84"/>
              </w:rPr>
              <w:t>Accrued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jc w:val="center"/>
              <w:ind w:right="112"/>
              <w:spacing w:after="0" w:line="88" w:lineRule="exact"/>
              <w:rPr>
                <w:sz w:val="20"/>
                <w:szCs w:val="20"/>
                <w:color w:val="auto"/>
              </w:rPr>
            </w:pPr>
            <w:r>
              <w:rPr>
                <w:rFonts w:ascii="Arial" w:cs="Arial" w:eastAsia="Arial" w:hAnsi="Arial"/>
                <w:sz w:val="10"/>
                <w:szCs w:val="10"/>
                <w:b w:val="1"/>
                <w:bCs w:val="1"/>
                <w:color w:val="auto"/>
                <w:w w:val="84"/>
              </w:rPr>
              <w:t>Accrued</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Interest on</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8"/>
                <w:szCs w:val="8"/>
                <w:color w:val="auto"/>
              </w:rPr>
            </w:pPr>
          </w:p>
        </w:tc>
        <w:tc>
          <w:tcPr>
            <w:tcW w:w="860" w:type="dxa"/>
            <w:vAlign w:val="bottom"/>
          </w:tcPr>
          <w:p>
            <w:pPr>
              <w:jc w:val="center"/>
              <w:ind w:right="132"/>
              <w:spacing w:after="0" w:line="99" w:lineRule="exact"/>
              <w:rPr>
                <w:sz w:val="20"/>
                <w:szCs w:val="20"/>
                <w:color w:val="auto"/>
              </w:rPr>
            </w:pPr>
            <w:r>
              <w:rPr>
                <w:rFonts w:ascii="Arial" w:cs="Arial" w:eastAsia="Arial" w:hAnsi="Arial"/>
                <w:sz w:val="10"/>
                <w:szCs w:val="10"/>
                <w:b w:val="1"/>
                <w:bCs w:val="1"/>
                <w:color w:val="auto"/>
                <w:w w:val="85"/>
              </w:rPr>
              <w:t>Interest on</w:t>
            </w:r>
          </w:p>
        </w:tc>
        <w:tc>
          <w:tcPr>
            <w:tcW w:w="0" w:type="dxa"/>
            <w:vAlign w:val="bottom"/>
          </w:tcPr>
          <w:p>
            <w:pPr>
              <w:spacing w:after="0"/>
              <w:rPr>
                <w:sz w:val="1"/>
                <w:szCs w:val="1"/>
                <w:color w:val="auto"/>
              </w:rPr>
            </w:pPr>
          </w:p>
        </w:tc>
      </w:tr>
      <w:tr>
        <w:trPr>
          <w:trHeight w:val="99"/>
        </w:trPr>
        <w:tc>
          <w:tcPr>
            <w:tcW w:w="40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Securities Pledged by Remaining Maturity of Repurchase Agreements </w:t>
            </w:r>
            <w:r>
              <w:rPr>
                <w:rFonts w:ascii="Arial" w:cs="Arial" w:eastAsia="Arial" w:hAnsi="Arial"/>
                <w:sz w:val="12"/>
                <w:szCs w:val="12"/>
                <w:b w:val="1"/>
                <w:bCs w:val="1"/>
                <w:color w:val="auto"/>
                <w:vertAlign w:val="superscript"/>
              </w:rPr>
              <w:t>1,2</w:t>
            </w: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Fair Value of Pledged</w:t>
            </w:r>
          </w:p>
        </w:tc>
        <w:tc>
          <w:tcPr>
            <w:tcW w:w="60" w:type="dxa"/>
            <w:vAlign w:val="bottom"/>
          </w:tcPr>
          <w:p>
            <w:pPr>
              <w:spacing w:after="0"/>
              <w:rPr>
                <w:sz w:val="8"/>
                <w:szCs w:val="8"/>
                <w:color w:val="auto"/>
              </w:rPr>
            </w:pPr>
          </w:p>
        </w:tc>
        <w:tc>
          <w:tcPr>
            <w:tcW w:w="11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Cost of</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2"/>
              </w:rPr>
              <w:t>Pledged</w:t>
            </w:r>
          </w:p>
        </w:tc>
        <w:tc>
          <w:tcPr>
            <w:tcW w:w="120" w:type="dxa"/>
            <w:vAlign w:val="bottom"/>
          </w:tcPr>
          <w:p>
            <w:pPr>
              <w:spacing w:after="0"/>
              <w:rPr>
                <w:sz w:val="8"/>
                <w:szCs w:val="8"/>
                <w:color w:val="auto"/>
              </w:rPr>
            </w:pPr>
          </w:p>
        </w:tc>
        <w:tc>
          <w:tcPr>
            <w:tcW w:w="12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Fair Value of Pledged</w:t>
            </w:r>
          </w:p>
        </w:tc>
        <w:tc>
          <w:tcPr>
            <w:tcW w:w="60" w:type="dxa"/>
            <w:vAlign w:val="bottom"/>
          </w:tcPr>
          <w:p>
            <w:pPr>
              <w:spacing w:after="0"/>
              <w:rPr>
                <w:sz w:val="8"/>
                <w:szCs w:val="8"/>
                <w:color w:val="auto"/>
              </w:rPr>
            </w:pPr>
          </w:p>
        </w:tc>
        <w:tc>
          <w:tcPr>
            <w:tcW w:w="11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Cost of</w:t>
            </w:r>
          </w:p>
        </w:tc>
        <w:tc>
          <w:tcPr>
            <w:tcW w:w="180" w:type="dxa"/>
            <w:vAlign w:val="bottom"/>
          </w:tcPr>
          <w:p>
            <w:pPr>
              <w:spacing w:after="0"/>
              <w:rPr>
                <w:sz w:val="8"/>
                <w:szCs w:val="8"/>
                <w:color w:val="auto"/>
              </w:rPr>
            </w:pPr>
          </w:p>
        </w:tc>
        <w:tc>
          <w:tcPr>
            <w:tcW w:w="860" w:type="dxa"/>
            <w:vAlign w:val="bottom"/>
          </w:tcPr>
          <w:p>
            <w:pPr>
              <w:jc w:val="center"/>
              <w:ind w:right="132"/>
              <w:spacing w:after="0" w:line="99" w:lineRule="exact"/>
              <w:rPr>
                <w:sz w:val="20"/>
                <w:szCs w:val="20"/>
                <w:color w:val="auto"/>
              </w:rPr>
            </w:pPr>
            <w:r>
              <w:rPr>
                <w:rFonts w:ascii="Arial" w:cs="Arial" w:eastAsia="Arial" w:hAnsi="Arial"/>
                <w:sz w:val="10"/>
                <w:szCs w:val="10"/>
                <w:b w:val="1"/>
                <w:bCs w:val="1"/>
                <w:color w:val="auto"/>
                <w:w w:val="82"/>
              </w:rPr>
              <w:t>Pledged</w:t>
            </w:r>
          </w:p>
        </w:tc>
        <w:tc>
          <w:tcPr>
            <w:tcW w:w="0" w:type="dxa"/>
            <w:vAlign w:val="bottom"/>
          </w:tcPr>
          <w:p>
            <w:pPr>
              <w:spacing w:after="0"/>
              <w:rPr>
                <w:sz w:val="1"/>
                <w:szCs w:val="1"/>
                <w:color w:val="auto"/>
              </w:rPr>
            </w:pPr>
          </w:p>
        </w:tc>
      </w:tr>
      <w:tr>
        <w:trPr>
          <w:trHeight w:val="135"/>
        </w:trPr>
        <w:tc>
          <w:tcPr>
            <w:tcW w:w="4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3"/>
              </w:rPr>
              <w:t>Securities</w:t>
            </w:r>
          </w:p>
        </w:tc>
        <w:tc>
          <w:tcPr>
            <w:tcW w:w="60" w:type="dxa"/>
            <w:vAlign w:val="bottom"/>
          </w:tcPr>
          <w:p>
            <w:pPr>
              <w:spacing w:after="0"/>
              <w:rPr>
                <w:sz w:val="11"/>
                <w:szCs w:val="11"/>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Pledged Securities</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3"/>
              </w:rPr>
              <w:t>Securities</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3"/>
              </w:rPr>
              <w:t>Securities</w:t>
            </w:r>
          </w:p>
        </w:tc>
        <w:tc>
          <w:tcPr>
            <w:tcW w:w="60" w:type="dxa"/>
            <w:vAlign w:val="bottom"/>
          </w:tcPr>
          <w:p>
            <w:pPr>
              <w:spacing w:after="0"/>
              <w:rPr>
                <w:sz w:val="11"/>
                <w:szCs w:val="11"/>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Pledged Securities</w:t>
            </w:r>
          </w:p>
        </w:tc>
        <w:tc>
          <w:tcPr>
            <w:tcW w:w="180" w:type="dxa"/>
            <w:vAlign w:val="bottom"/>
          </w:tcPr>
          <w:p>
            <w:pPr>
              <w:spacing w:after="0"/>
              <w:rPr>
                <w:sz w:val="11"/>
                <w:szCs w:val="11"/>
                <w:color w:val="auto"/>
              </w:rPr>
            </w:pPr>
          </w:p>
        </w:tc>
        <w:tc>
          <w:tcPr>
            <w:tcW w:w="860" w:type="dxa"/>
            <w:vAlign w:val="bottom"/>
          </w:tcPr>
          <w:p>
            <w:pPr>
              <w:jc w:val="center"/>
              <w:ind w:right="132"/>
              <w:spacing w:after="0"/>
              <w:rPr>
                <w:sz w:val="20"/>
                <w:szCs w:val="20"/>
                <w:color w:val="auto"/>
              </w:rPr>
            </w:pPr>
            <w:r>
              <w:rPr>
                <w:rFonts w:ascii="Arial" w:cs="Arial" w:eastAsia="Arial" w:hAnsi="Arial"/>
                <w:sz w:val="10"/>
                <w:szCs w:val="10"/>
                <w:b w:val="1"/>
                <w:bCs w:val="1"/>
                <w:color w:val="auto"/>
                <w:w w:val="83"/>
              </w:rPr>
              <w:t>Securities</w:t>
            </w:r>
          </w:p>
        </w:tc>
        <w:tc>
          <w:tcPr>
            <w:tcW w:w="0" w:type="dxa"/>
            <w:vAlign w:val="bottom"/>
          </w:tcPr>
          <w:p>
            <w:pPr>
              <w:spacing w:after="0"/>
              <w:rPr>
                <w:sz w:val="1"/>
                <w:szCs w:val="1"/>
                <w:color w:val="auto"/>
              </w:rPr>
            </w:pPr>
          </w:p>
        </w:tc>
      </w:tr>
      <w:tr>
        <w:trPr>
          <w:trHeight w:val="124"/>
        </w:trPr>
        <w:tc>
          <w:tcPr>
            <w:tcW w:w="39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rPr>
              <w:t>≤ 30 days</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25,506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28,541</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24,548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24,075</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128"/>
        </w:trPr>
        <w:tc>
          <w:tcPr>
            <w:tcW w:w="4040" w:type="dxa"/>
            <w:vAlign w:val="bottom"/>
            <w:gridSpan w:val="2"/>
          </w:tcPr>
          <w:p>
            <w:pPr>
              <w:ind w:left="60"/>
              <w:spacing w:after="0"/>
              <w:rPr>
                <w:sz w:val="20"/>
                <w:szCs w:val="20"/>
                <w:color w:val="auto"/>
              </w:rPr>
            </w:pPr>
            <w:r>
              <w:rPr>
                <w:rFonts w:ascii="Arial" w:cs="Arial" w:eastAsia="Arial" w:hAnsi="Arial"/>
                <w:sz w:val="10"/>
                <w:szCs w:val="10"/>
                <w:color w:val="auto"/>
              </w:rPr>
              <w:t>&gt; 30 and ≤ 60 days</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9,339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10,669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7,869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7,735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42"/>
        </w:trPr>
        <w:tc>
          <w:tcPr>
            <w:tcW w:w="40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&gt; 60 and ≤ 90 days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6,906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8"/>
        </w:trPr>
        <w:tc>
          <w:tcPr>
            <w:tcW w:w="4040" w:type="dxa"/>
            <w:vAlign w:val="bottom"/>
            <w:tcBorders>
              <w:bottom w:val="single" w:sz="8" w:color="CCEEFF"/>
            </w:tcBorders>
            <w:gridSpan w:val="2"/>
          </w:tcPr>
          <w:p>
            <w:pPr>
              <w:ind w:left="60"/>
              <w:spacing w:after="0"/>
              <w:rPr>
                <w:sz w:val="20"/>
                <w:szCs w:val="20"/>
                <w:color w:val="auto"/>
              </w:rPr>
            </w:pPr>
            <w:r>
              <w:rPr>
                <w:rFonts w:ascii="Arial" w:cs="Arial" w:eastAsia="Arial" w:hAnsi="Arial"/>
                <w:sz w:val="10"/>
                <w:szCs w:val="10"/>
                <w:color w:val="auto"/>
              </w:rPr>
              <w:t>&gt; 90 days</w:t>
            </w: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2,148</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9,073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9,036</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47"/>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41,371</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46,658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48,496</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47,752</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Includes $51 million and $81 million of retained interests in our consolidated VIEs pledged as collateral under repurchase agreements as of September 30, 2022 and December 31, 2021, respectively.</w:t>
      </w:r>
    </w:p>
    <w:p>
      <w:pPr>
        <w:ind w:left="420" w:hanging="212"/>
        <w:spacing w:after="0"/>
        <w:tabs>
          <w:tab w:leader="none" w:pos="4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Excludes zero and $0.6 billion of repledged U.S. Treasury securities received as collateral from counterparties as of September 30, 2022 and December 31, 2021,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Assets Pledged from Counterparties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of September 30, 2022 and December 31, 2021, we had assets pledged to us from counterparties as collateral under our reverse repurchase and derivative agreements summarized in the tables below (in millions).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2"/>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320"/>
              <w:spacing w:after="0"/>
              <w:rPr>
                <w:sz w:val="20"/>
                <w:szCs w:val="20"/>
                <w:color w:val="auto"/>
              </w:rPr>
            </w:pPr>
            <w:r>
              <w:rPr>
                <w:rFonts w:ascii="Arial" w:cs="Arial" w:eastAsia="Arial" w:hAnsi="Arial"/>
                <w:sz w:val="10"/>
                <w:szCs w:val="10"/>
                <w:b w:val="1"/>
                <w:bCs w:val="1"/>
                <w:color w:val="auto"/>
              </w:rPr>
              <w:t>September 30, 2022</w:t>
            </w:r>
          </w:p>
        </w:tc>
        <w:tc>
          <w:tcPr>
            <w:tcW w:w="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320"/>
              <w:spacing w:after="0"/>
              <w:rPr>
                <w:sz w:val="20"/>
                <w:szCs w:val="20"/>
                <w:color w:val="auto"/>
              </w:rPr>
            </w:pPr>
            <w:r>
              <w:rPr>
                <w:rFonts w:ascii="Arial" w:cs="Arial" w:eastAsia="Arial" w:hAnsi="Arial"/>
                <w:sz w:val="10"/>
                <w:szCs w:val="10"/>
                <w:b w:val="1"/>
                <w:bCs w:val="1"/>
                <w:color w:val="auto"/>
              </w:rPr>
              <w:t>December 31, 2021</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Assets Pledged to AGNC</w:t>
            </w:r>
          </w:p>
        </w:tc>
        <w:tc>
          <w:tcPr>
            <w:tcW w:w="80" w:type="dxa"/>
            <w:vAlign w:val="bottom"/>
          </w:tcPr>
          <w:p>
            <w:pPr>
              <w:spacing w:after="0"/>
              <w:rPr>
                <w:sz w:val="7"/>
                <w:szCs w:val="7"/>
                <w:color w:val="auto"/>
              </w:rPr>
            </w:pPr>
          </w:p>
        </w:tc>
        <w:tc>
          <w:tcPr>
            <w:tcW w:w="1060" w:type="dxa"/>
            <w:vAlign w:val="bottom"/>
            <w:gridSpan w:val="2"/>
          </w:tcPr>
          <w:p>
            <w:pPr>
              <w:jc w:val="center"/>
              <w:ind w:right="180"/>
              <w:spacing w:after="0" w:line="91" w:lineRule="exact"/>
              <w:rPr>
                <w:sz w:val="20"/>
                <w:szCs w:val="20"/>
                <w:color w:val="auto"/>
              </w:rPr>
            </w:pPr>
            <w:r>
              <w:rPr>
                <w:rFonts w:ascii="Arial" w:cs="Arial" w:eastAsia="Arial" w:hAnsi="Arial"/>
                <w:sz w:val="10"/>
                <w:szCs w:val="10"/>
                <w:b w:val="1"/>
                <w:bCs w:val="1"/>
                <w:color w:val="auto"/>
                <w:w w:val="84"/>
              </w:rPr>
              <w:t>Reverse Repurchase</w:t>
            </w: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97"/>
              </w:rPr>
              <w:t>Derivative Agreements</w:t>
            </w:r>
          </w:p>
        </w:tc>
        <w:tc>
          <w:tcPr>
            <w:tcW w:w="10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8"/>
              </w:rPr>
              <w:t>Repurchase Agreements</w:t>
            </w: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b w:val="1"/>
                <w:bCs w:val="1"/>
                <w:color w:val="auto"/>
              </w:rPr>
              <w:t>Total</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tcPr>
          <w:p>
            <w:pPr>
              <w:jc w:val="center"/>
              <w:ind w:right="180"/>
              <w:spacing w:after="0" w:line="91" w:lineRule="exact"/>
              <w:rPr>
                <w:sz w:val="20"/>
                <w:szCs w:val="20"/>
                <w:color w:val="auto"/>
              </w:rPr>
            </w:pPr>
            <w:r>
              <w:rPr>
                <w:rFonts w:ascii="Arial" w:cs="Arial" w:eastAsia="Arial" w:hAnsi="Arial"/>
                <w:sz w:val="10"/>
                <w:szCs w:val="10"/>
                <w:b w:val="1"/>
                <w:bCs w:val="1"/>
                <w:color w:val="auto"/>
                <w:w w:val="84"/>
              </w:rPr>
              <w:t>Reverse Repurchase</w:t>
            </w: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97"/>
              </w:rPr>
              <w:t>Derivative Agreements</w:t>
            </w:r>
          </w:p>
        </w:tc>
        <w:tc>
          <w:tcPr>
            <w:tcW w:w="10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8"/>
              </w:rPr>
              <w:t>Repurchase Agreements</w:t>
            </w:r>
          </w:p>
        </w:tc>
        <w:tc>
          <w:tcPr>
            <w:tcW w:w="280" w:type="dxa"/>
            <w:vAlign w:val="bottom"/>
          </w:tcPr>
          <w:p>
            <w:pPr>
              <w:spacing w:after="0"/>
              <w:rPr>
                <w:sz w:val="7"/>
                <w:szCs w:val="7"/>
                <w:color w:val="auto"/>
              </w:rPr>
            </w:pPr>
          </w:p>
        </w:tc>
        <w:tc>
          <w:tcPr>
            <w:tcW w:w="800" w:type="dxa"/>
            <w:vAlign w:val="bottom"/>
            <w:vMerge w:val="restart"/>
          </w:tcPr>
          <w:p>
            <w:pPr>
              <w:jc w:val="right"/>
              <w:ind w:right="3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7"/>
        </w:trPr>
        <w:tc>
          <w:tcPr>
            <w:tcW w:w="2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Agreements</w:t>
            </w:r>
          </w:p>
        </w:tc>
        <w:tc>
          <w:tcPr>
            <w:tcW w:w="112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Agreements</w:t>
            </w:r>
          </w:p>
        </w:tc>
        <w:tc>
          <w:tcPr>
            <w:tcW w:w="112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0"/>
                <w:szCs w:val="10"/>
                <w:color w:val="auto"/>
              </w:rPr>
              <w:t xml:space="preserve">U.S. Treasury securities - fair value </w:t>
            </w:r>
            <w:r>
              <w:rPr>
                <w:rFonts w:ascii="Arial" w:cs="Arial" w:eastAsia="Arial" w:hAnsi="Arial"/>
                <w:sz w:val="12"/>
                <w:szCs w:val="12"/>
                <w:b w:val="1"/>
                <w:bCs w:val="1"/>
                <w:color w:val="auto"/>
                <w:vertAlign w:val="superscript"/>
              </w:rPr>
              <w:t>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7,437</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w:t>
            </w:r>
          </w:p>
        </w:tc>
        <w:tc>
          <w:tcPr>
            <w:tcW w:w="74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7,443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10,420</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w:t>
            </w:r>
          </w:p>
        </w:tc>
        <w:tc>
          <w:tcPr>
            <w:tcW w:w="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10,431</w:t>
            </w:r>
          </w:p>
        </w:tc>
        <w:tc>
          <w:tcPr>
            <w:tcW w:w="0" w:type="dxa"/>
            <w:vAlign w:val="bottom"/>
          </w:tcPr>
          <w:p>
            <w:pPr>
              <w:spacing w:after="0"/>
              <w:rPr>
                <w:sz w:val="1"/>
                <w:szCs w:val="1"/>
                <w:color w:val="auto"/>
              </w:rPr>
            </w:pPr>
          </w:p>
        </w:tc>
      </w:tr>
      <w:tr>
        <w:trPr>
          <w:trHeight w:val="128"/>
        </w:trPr>
        <w:tc>
          <w:tcPr>
            <w:tcW w:w="2360" w:type="dxa"/>
            <w:vAlign w:val="bottom"/>
            <w:gridSpan w:val="2"/>
          </w:tcPr>
          <w:p>
            <w:pPr>
              <w:spacing w:after="0"/>
              <w:rPr>
                <w:sz w:val="20"/>
                <w:szCs w:val="20"/>
                <w:color w:val="auto"/>
              </w:rPr>
            </w:pPr>
            <w:r>
              <w:rPr>
                <w:rFonts w:ascii="Arial" w:cs="Arial" w:eastAsia="Arial" w:hAnsi="Arial"/>
                <w:sz w:val="10"/>
                <w:szCs w:val="10"/>
                <w:color w:val="auto"/>
              </w:rPr>
              <w:t>Cash</w:t>
            </w:r>
          </w:p>
        </w:tc>
        <w:tc>
          <w:tcPr>
            <w:tcW w:w="8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433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jc w:val="right"/>
              <w:ind w:right="32"/>
              <w:spacing w:after="0"/>
              <w:rPr>
                <w:sz w:val="20"/>
                <w:szCs w:val="20"/>
                <w:color w:val="auto"/>
              </w:rPr>
            </w:pPr>
            <w:r>
              <w:rPr>
                <w:rFonts w:ascii="Arial" w:cs="Arial" w:eastAsia="Arial" w:hAnsi="Arial"/>
                <w:sz w:val="10"/>
                <w:szCs w:val="10"/>
                <w:color w:val="auto"/>
              </w:rPr>
              <w:t>21</w:t>
            </w:r>
          </w:p>
        </w:tc>
        <w:tc>
          <w:tcPr>
            <w:tcW w:w="7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454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jc w:val="right"/>
              <w:ind w:right="32"/>
              <w:spacing w:after="0"/>
              <w:rPr>
                <w:sz w:val="20"/>
                <w:szCs w:val="20"/>
                <w:color w:val="auto"/>
              </w:rPr>
            </w:pPr>
            <w:r>
              <w:rPr>
                <w:rFonts w:ascii="Arial" w:cs="Arial" w:eastAsia="Arial" w:hAnsi="Arial"/>
                <w:sz w:val="10"/>
                <w:szCs w:val="10"/>
                <w:color w:val="auto"/>
              </w:rPr>
              <w:t>7</w:t>
            </w:r>
          </w:p>
        </w:tc>
        <w:tc>
          <w:tcPr>
            <w:tcW w:w="2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310</w:t>
            </w: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27</w:t>
            </w:r>
          </w:p>
        </w:tc>
        <w:tc>
          <w:tcPr>
            <w:tcW w:w="74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10,420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18</w:t>
            </w: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10,741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As of September 30, 2022 and December 31, 2021, amounts include $7.4 billion and $9.7 billion, respectively, of U.S. Treasury securities received from counterparties that were used to cover short sales of U.S. Treasury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Offsetting Assets and Liabilities</w:t>
      </w:r>
    </w:p>
    <w:p>
      <w:pPr>
        <w:spacing w:after="0" w:line="114"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1"/>
          <w:szCs w:val="11"/>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2022 and December 31, 2021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7"/>
          </w:tcPr>
          <w:p>
            <w:pPr>
              <w:ind w:left="140"/>
              <w:spacing w:after="0"/>
              <w:rPr>
                <w:sz w:val="20"/>
                <w:szCs w:val="20"/>
                <w:color w:val="auto"/>
              </w:rPr>
            </w:pPr>
            <w:r>
              <w:rPr>
                <w:rFonts w:ascii="Arial" w:cs="Arial" w:eastAsia="Arial" w:hAnsi="Arial"/>
                <w:sz w:val="10"/>
                <w:szCs w:val="10"/>
                <w:b w:val="1"/>
                <w:bCs w:val="1"/>
                <w:color w:val="auto"/>
              </w:rPr>
              <w:t>Offsetting of Financial and Derivative Assets</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7"/>
          </w:tcPr>
          <w:p>
            <w:pPr>
              <w:jc w:val="center"/>
              <w:ind w:right="240"/>
              <w:spacing w:after="0"/>
              <w:rPr>
                <w:sz w:val="20"/>
                <w:szCs w:val="20"/>
                <w:color w:val="auto"/>
              </w:rPr>
            </w:pPr>
            <w:r>
              <w:rPr>
                <w:rFonts w:ascii="Arial" w:cs="Arial" w:eastAsia="Arial" w:hAnsi="Arial"/>
                <w:sz w:val="10"/>
                <w:szCs w:val="10"/>
                <w:b w:val="1"/>
                <w:bCs w:val="1"/>
                <w:color w:val="auto"/>
                <w:w w:val="85"/>
              </w:rPr>
              <w:t>Gross Amounts Not Offset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tcPr>
          <w:p>
            <w:pPr>
              <w:jc w:val="center"/>
              <w:ind w:left="832"/>
              <w:spacing w:after="0" w:line="99" w:lineRule="exact"/>
              <w:rPr>
                <w:sz w:val="20"/>
                <w:szCs w:val="20"/>
                <w:color w:val="auto"/>
              </w:rPr>
            </w:pPr>
            <w:r>
              <w:rPr>
                <w:rFonts w:ascii="Arial" w:cs="Arial" w:eastAsia="Arial" w:hAnsi="Arial"/>
                <w:sz w:val="10"/>
                <w:szCs w:val="10"/>
                <w:b w:val="1"/>
                <w:bCs w:val="1"/>
                <w:color w:val="auto"/>
                <w:w w:val="82"/>
              </w:rPr>
              <w:t>in the</w:t>
            </w: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restart"/>
          </w:tcPr>
          <w:p>
            <w:pPr>
              <w:jc w:val="center"/>
              <w:ind w:right="160"/>
              <w:spacing w:after="0"/>
              <w:rPr>
                <w:sz w:val="20"/>
                <w:szCs w:val="20"/>
                <w:color w:val="auto"/>
              </w:rPr>
            </w:pPr>
            <w:r>
              <w:rPr>
                <w:rFonts w:ascii="Arial" w:cs="Arial" w:eastAsia="Arial" w:hAnsi="Arial"/>
                <w:sz w:val="10"/>
                <w:szCs w:val="10"/>
                <w:b w:val="1"/>
                <w:bCs w:val="1"/>
                <w:color w:val="auto"/>
                <w:w w:val="85"/>
              </w:rPr>
              <w:t>Net Amounts of Assets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gridSpan w:val="7"/>
          </w:tcPr>
          <w:p>
            <w:pPr>
              <w:jc w:val="center"/>
              <w:ind w:right="220"/>
              <w:spacing w:after="0"/>
              <w:rPr>
                <w:sz w:val="20"/>
                <w:szCs w:val="20"/>
                <w:color w:val="auto"/>
              </w:rPr>
            </w:pPr>
            <w:r>
              <w:rPr>
                <w:rFonts w:ascii="Arial" w:cs="Arial" w:eastAsia="Arial" w:hAnsi="Arial"/>
                <w:sz w:val="10"/>
                <w:szCs w:val="10"/>
                <w:b w:val="1"/>
                <w:bCs w:val="1"/>
                <w:color w:val="auto"/>
                <w:w w:val="84"/>
              </w:rPr>
              <w:t>Consolidated Balance Sheets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tcPr>
          <w:p>
            <w:pPr>
              <w:ind w:left="60"/>
              <w:spacing w:after="0" w:line="99" w:lineRule="exact"/>
              <w:rPr>
                <w:sz w:val="20"/>
                <w:szCs w:val="20"/>
                <w:color w:val="auto"/>
              </w:rPr>
            </w:pPr>
            <w:r>
              <w:rPr>
                <w:rFonts w:ascii="Arial" w:cs="Arial" w:eastAsia="Arial" w:hAnsi="Arial"/>
                <w:sz w:val="10"/>
                <w:szCs w:val="10"/>
                <w:b w:val="1"/>
                <w:bCs w:val="1"/>
                <w:color w:val="auto"/>
                <w:w w:val="96"/>
              </w:rPr>
              <w:t>Gross Amounts Offset in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4"/>
              </w:rPr>
              <w:t>Presented in the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80"/>
              <w:spacing w:after="0" w:line="96" w:lineRule="exact"/>
              <w:rPr>
                <w:sz w:val="20"/>
                <w:szCs w:val="20"/>
                <w:color w:val="auto"/>
              </w:rPr>
            </w:pPr>
            <w:r>
              <w:rPr>
                <w:rFonts w:ascii="Arial" w:cs="Arial" w:eastAsia="Arial" w:hAnsi="Arial"/>
                <w:sz w:val="10"/>
                <w:szCs w:val="10"/>
                <w:b w:val="1"/>
                <w:bCs w:val="1"/>
                <w:color w:val="auto"/>
                <w:w w:val="84"/>
              </w:rPr>
              <w:t>Gross Amounts of</w:t>
            </w:r>
          </w:p>
        </w:tc>
        <w:tc>
          <w:tcPr>
            <w:tcW w:w="1220" w:type="dxa"/>
            <w:vAlign w:val="bottom"/>
            <w:gridSpan w:val="4"/>
          </w:tcPr>
          <w:p>
            <w:pPr>
              <w:jc w:val="right"/>
              <w:ind w:right="120"/>
              <w:spacing w:after="0" w:line="96" w:lineRule="exact"/>
              <w:rPr>
                <w:sz w:val="20"/>
                <w:szCs w:val="20"/>
                <w:color w:val="auto"/>
              </w:rPr>
            </w:pPr>
            <w:r>
              <w:rPr>
                <w:rFonts w:ascii="Arial" w:cs="Arial" w:eastAsia="Arial" w:hAnsi="Arial"/>
                <w:sz w:val="10"/>
                <w:szCs w:val="10"/>
                <w:b w:val="1"/>
                <w:bCs w:val="1"/>
                <w:color w:val="auto"/>
                <w:w w:val="88"/>
              </w:rPr>
              <w:t>the Consolidated Balance</w:t>
            </w:r>
          </w:p>
        </w:tc>
        <w:tc>
          <w:tcPr>
            <w:tcW w:w="80" w:type="dxa"/>
            <w:vAlign w:val="bottom"/>
          </w:tcPr>
          <w:p>
            <w:pPr>
              <w:spacing w:after="0"/>
              <w:rPr>
                <w:sz w:val="8"/>
                <w:szCs w:val="8"/>
                <w:color w:val="auto"/>
              </w:rPr>
            </w:pPr>
          </w:p>
        </w:tc>
        <w:tc>
          <w:tcPr>
            <w:tcW w:w="1140" w:type="dxa"/>
            <w:vAlign w:val="bottom"/>
            <w:gridSpan w:val="4"/>
          </w:tcPr>
          <w:p>
            <w:pPr>
              <w:jc w:val="center"/>
              <w:ind w:right="160"/>
              <w:spacing w:after="0" w:line="96" w:lineRule="exact"/>
              <w:rPr>
                <w:sz w:val="20"/>
                <w:szCs w:val="20"/>
                <w:color w:val="auto"/>
              </w:rPr>
            </w:pPr>
            <w:r>
              <w:rPr>
                <w:rFonts w:ascii="Arial" w:cs="Arial" w:eastAsia="Arial" w:hAnsi="Arial"/>
                <w:sz w:val="10"/>
                <w:szCs w:val="10"/>
                <w:b w:val="1"/>
                <w:bCs w:val="1"/>
                <w:color w:val="auto"/>
                <w:w w:val="86"/>
              </w:rPr>
              <w:t>Consolidated Balance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0"/>
              </w:rPr>
              <w:t>Recognized Assets</w:t>
            </w:r>
          </w:p>
        </w:tc>
        <w:tc>
          <w:tcPr>
            <w:tcW w:w="260" w:type="dxa"/>
            <w:vAlign w:val="bottom"/>
          </w:tcPr>
          <w:p>
            <w:pPr>
              <w:spacing w:after="0"/>
              <w:rPr>
                <w:sz w:val="11"/>
                <w:szCs w:val="11"/>
                <w:color w:val="auto"/>
              </w:rPr>
            </w:pPr>
          </w:p>
        </w:tc>
        <w:tc>
          <w:tcPr>
            <w:tcW w:w="960" w:type="dxa"/>
            <w:vAlign w:val="bottom"/>
            <w:gridSpan w:val="3"/>
          </w:tcPr>
          <w:p>
            <w:pPr>
              <w:ind w:left="180"/>
              <w:spacing w:after="0"/>
              <w:rPr>
                <w:sz w:val="20"/>
                <w:szCs w:val="20"/>
                <w:color w:val="auto"/>
              </w:rPr>
            </w:pPr>
            <w:r>
              <w:rPr>
                <w:rFonts w:ascii="Arial" w:cs="Arial" w:eastAsia="Arial" w:hAnsi="Arial"/>
                <w:sz w:val="10"/>
                <w:szCs w:val="10"/>
                <w:b w:val="1"/>
                <w:bCs w:val="1"/>
                <w:color w:val="auto"/>
              </w:rPr>
              <w:t>Sheets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79"/>
              </w:rPr>
              <w:t>Sheets</w:t>
            </w:r>
          </w:p>
        </w:tc>
        <w:tc>
          <w:tcPr>
            <w:tcW w:w="80" w:type="dxa"/>
            <w:vAlign w:val="bottom"/>
          </w:tcPr>
          <w:p>
            <w:pPr>
              <w:spacing w:after="0"/>
              <w:rPr>
                <w:sz w:val="11"/>
                <w:szCs w:val="11"/>
                <w:color w:val="auto"/>
              </w:rPr>
            </w:pPr>
          </w:p>
        </w:tc>
        <w:tc>
          <w:tcPr>
            <w:tcW w:w="1160" w:type="dxa"/>
            <w:vAlign w:val="bottom"/>
            <w:gridSpan w:val="3"/>
          </w:tcPr>
          <w:p>
            <w:pPr>
              <w:ind w:left="40"/>
              <w:spacing w:after="0"/>
              <w:rPr>
                <w:sz w:val="20"/>
                <w:szCs w:val="20"/>
                <w:color w:val="auto"/>
              </w:rPr>
            </w:pPr>
            <w:r>
              <w:rPr>
                <w:rFonts w:ascii="Arial" w:cs="Arial" w:eastAsia="Arial" w:hAnsi="Arial"/>
                <w:sz w:val="10"/>
                <w:szCs w:val="10"/>
                <w:b w:val="1"/>
                <w:bCs w:val="1"/>
                <w:color w:val="auto"/>
              </w:rPr>
              <w:t>Financial Instruments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spacing w:after="0"/>
              <w:rPr>
                <w:sz w:val="20"/>
                <w:szCs w:val="20"/>
                <w:color w:val="auto"/>
              </w:rPr>
            </w:pPr>
            <w:r>
              <w:rPr>
                <w:rFonts w:ascii="Arial" w:cs="Arial" w:eastAsia="Arial" w:hAnsi="Arial"/>
                <w:sz w:val="10"/>
                <w:szCs w:val="10"/>
                <w:b w:val="1"/>
                <w:bCs w:val="1"/>
                <w:color w:val="auto"/>
              </w:rPr>
              <w:t xml:space="preserve">Collateral Received </w:t>
            </w:r>
            <w:r>
              <w:rPr>
                <w:rFonts w:ascii="Arial" w:cs="Arial" w:eastAsia="Arial" w:hAnsi="Arial"/>
                <w:sz w:val="6"/>
                <w:szCs w:val="6"/>
                <w:b w:val="1"/>
                <w:bCs w:val="1"/>
                <w:color w:val="auto"/>
              </w:rPr>
              <w:t>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28"/>
        </w:trPr>
        <w:tc>
          <w:tcPr>
            <w:tcW w:w="40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0"/>
                <w:szCs w:val="10"/>
                <w:b w:val="1"/>
                <w:bCs w:val="1"/>
                <w:color w:val="auto"/>
              </w:rPr>
              <w:t>September 30, 2022</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120" w:type="dxa"/>
            <w:vAlign w:val="bottom"/>
            <w:gridSpan w:val="4"/>
          </w:tcPr>
          <w:p>
            <w:pPr>
              <w:ind w:left="40"/>
              <w:spacing w:after="0"/>
              <w:rPr>
                <w:sz w:val="20"/>
                <w:szCs w:val="20"/>
                <w:color w:val="auto"/>
              </w:rPr>
            </w:pPr>
            <w:r>
              <w:rPr>
                <w:rFonts w:ascii="Arial" w:cs="Arial" w:eastAsia="Arial" w:hAnsi="Arial"/>
                <w:sz w:val="10"/>
                <w:szCs w:val="10"/>
                <w:color w:val="auto"/>
              </w:rPr>
              <w:t xml:space="preserve">Interest rate swap and swaption agreements, at fair value </w:t>
            </w:r>
            <w:r>
              <w:rPr>
                <w:rFonts w:ascii="Arial" w:cs="Arial" w:eastAsia="Arial" w:hAnsi="Arial"/>
                <w:sz w:val="6"/>
                <w:szCs w:val="6"/>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430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0"/>
                <w:szCs w:val="1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gridSpan w:val="2"/>
          </w:tcPr>
          <w:p>
            <w:pPr>
              <w:jc w:val="right"/>
              <w:ind w:right="36"/>
              <w:spacing w:after="0"/>
              <w:rPr>
                <w:sz w:val="20"/>
                <w:szCs w:val="20"/>
                <w:color w:val="auto"/>
              </w:rPr>
            </w:pPr>
            <w:r>
              <w:rPr>
                <w:rFonts w:ascii="Arial" w:cs="Arial" w:eastAsia="Arial" w:hAnsi="Arial"/>
                <w:sz w:val="10"/>
                <w:szCs w:val="10"/>
                <w:color w:val="auto"/>
                <w:w w:val="71"/>
              </w:rPr>
              <w:t>$</w:t>
            </w:r>
          </w:p>
        </w:tc>
        <w:tc>
          <w:tcPr>
            <w:tcW w:w="1000" w:type="dxa"/>
            <w:vAlign w:val="bottom"/>
          </w:tcPr>
          <w:p>
            <w:pPr>
              <w:jc w:val="center"/>
              <w:ind w:left="712"/>
              <w:spacing w:after="0"/>
              <w:rPr>
                <w:sz w:val="20"/>
                <w:szCs w:val="20"/>
                <w:color w:val="auto"/>
              </w:rPr>
            </w:pPr>
            <w:r>
              <w:rPr>
                <w:rFonts w:ascii="Arial" w:cs="Arial" w:eastAsia="Arial" w:hAnsi="Arial"/>
                <w:sz w:val="10"/>
                <w:szCs w:val="10"/>
                <w:color w:val="auto"/>
                <w:w w:val="85"/>
              </w:rPr>
              <w:t>(350)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80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120" w:type="dxa"/>
            <w:vAlign w:val="bottom"/>
            <w:gridSpan w:val="4"/>
            <w:shd w:val="clear" w:color="auto" w:fill="CCEEFF"/>
          </w:tcPr>
          <w:p>
            <w:pPr>
              <w:ind w:left="40"/>
              <w:spacing w:after="0"/>
              <w:rPr>
                <w:sz w:val="20"/>
                <w:szCs w:val="20"/>
                <w:color w:val="auto"/>
              </w:rPr>
            </w:pPr>
            <w:r>
              <w:rPr>
                <w:rFonts w:ascii="Arial" w:cs="Arial" w:eastAsia="Arial" w:hAnsi="Arial"/>
                <w:sz w:val="10"/>
                <w:szCs w:val="10"/>
                <w:color w:val="auto"/>
              </w:rPr>
              <w:t>Receivable under reverse repurchase agreements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7,577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7,577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(5,768)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700"/>
              <w:spacing w:after="0"/>
              <w:rPr>
                <w:sz w:val="20"/>
                <w:szCs w:val="20"/>
                <w:color w:val="auto"/>
              </w:rPr>
            </w:pPr>
            <w:r>
              <w:rPr>
                <w:rFonts w:ascii="Arial" w:cs="Arial" w:eastAsia="Arial" w:hAnsi="Arial"/>
                <w:sz w:val="10"/>
                <w:szCs w:val="10"/>
                <w:color w:val="auto"/>
                <w:w w:val="88"/>
              </w:rPr>
              <w:t>(1,809)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gridSpan w:val="4"/>
          </w:tcPr>
          <w:p>
            <w:pPr>
              <w:ind w:left="12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8,007</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8,007</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(5,768)</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3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88"/>
              </w:rPr>
              <w:t>(2,159)</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4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60" w:type="dxa"/>
            <w:vAlign w:val="bottom"/>
            <w:gridSpan w:val="5"/>
          </w:tcPr>
          <w:p>
            <w:pPr>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0" w:type="dxa"/>
            <w:vAlign w:val="bottom"/>
            <w:shd w:val="clear" w:color="auto" w:fill="CCEEFF"/>
          </w:tcPr>
          <w:p>
            <w:pPr>
              <w:spacing w:after="0"/>
              <w:rPr>
                <w:sz w:val="12"/>
                <w:szCs w:val="12"/>
                <w:color w:val="auto"/>
              </w:rPr>
            </w:pPr>
          </w:p>
        </w:tc>
        <w:tc>
          <w:tcPr>
            <w:tcW w:w="4120" w:type="dxa"/>
            <w:vAlign w:val="bottom"/>
            <w:gridSpan w:val="4"/>
            <w:shd w:val="clear" w:color="auto" w:fill="CCEEFF"/>
          </w:tcPr>
          <w:p>
            <w:pPr>
              <w:ind w:left="40"/>
              <w:spacing w:after="0"/>
              <w:rPr>
                <w:sz w:val="20"/>
                <w:szCs w:val="20"/>
                <w:color w:val="auto"/>
              </w:rPr>
            </w:pPr>
            <w:r>
              <w:rPr>
                <w:rFonts w:ascii="Arial" w:cs="Arial" w:eastAsia="Arial" w:hAnsi="Arial"/>
                <w:sz w:val="10"/>
                <w:szCs w:val="10"/>
                <w:color w:val="auto"/>
              </w:rPr>
              <w:t xml:space="preserve">Interest rate swap and swaption agreements, at fair value </w:t>
            </w:r>
            <w:r>
              <w:rPr>
                <w:rFonts w:ascii="Arial" w:cs="Arial" w:eastAsia="Arial" w:hAnsi="Arial"/>
                <w:sz w:val="6"/>
                <w:szCs w:val="6"/>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gridSpan w:val="2"/>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center"/>
              <w:ind w:left="712"/>
              <w:spacing w:after="0"/>
              <w:rPr>
                <w:sz w:val="20"/>
                <w:szCs w:val="20"/>
                <w:color w:val="auto"/>
              </w:rPr>
            </w:pPr>
            <w:r>
              <w:rPr>
                <w:rFonts w:ascii="Arial" w:cs="Arial" w:eastAsia="Arial" w:hAnsi="Arial"/>
                <w:sz w:val="10"/>
                <w:szCs w:val="10"/>
                <w:color w:val="auto"/>
                <w:w w:val="85"/>
              </w:rPr>
              <w:t>(290)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120" w:type="dxa"/>
            <w:vAlign w:val="bottom"/>
            <w:gridSpan w:val="4"/>
          </w:tcPr>
          <w:p>
            <w:pPr>
              <w:ind w:left="40"/>
              <w:spacing w:after="0"/>
              <w:rPr>
                <w:sz w:val="20"/>
                <w:szCs w:val="20"/>
                <w:color w:val="auto"/>
              </w:rPr>
            </w:pPr>
            <w:r>
              <w:rPr>
                <w:rFonts w:ascii="Arial" w:cs="Arial" w:eastAsia="Arial" w:hAnsi="Arial"/>
                <w:sz w:val="10"/>
                <w:szCs w:val="10"/>
                <w:color w:val="auto"/>
              </w:rPr>
              <w:t xml:space="preserve">TBA securities, at fair value </w:t>
            </w:r>
            <w:r>
              <w:rPr>
                <w:rFonts w:ascii="Arial" w:cs="Arial" w:eastAsia="Arial" w:hAnsi="Arial"/>
                <w:sz w:val="6"/>
                <w:szCs w:val="6"/>
                <w:color w:val="auto"/>
              </w:rPr>
              <w:t>1</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8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4120" w:type="dxa"/>
            <w:vAlign w:val="bottom"/>
            <w:gridSpan w:val="4"/>
            <w:shd w:val="clear" w:color="auto" w:fill="CCEEFF"/>
          </w:tcPr>
          <w:p>
            <w:pPr>
              <w:ind w:left="40"/>
              <w:spacing w:after="0"/>
              <w:rPr>
                <w:sz w:val="20"/>
                <w:szCs w:val="20"/>
                <w:color w:val="auto"/>
              </w:rPr>
            </w:pPr>
            <w:r>
              <w:rPr>
                <w:rFonts w:ascii="Arial" w:cs="Arial" w:eastAsia="Arial" w:hAnsi="Arial"/>
                <w:sz w:val="10"/>
                <w:szCs w:val="10"/>
                <w:color w:val="auto"/>
              </w:rPr>
              <w:t>Receivable under reverse repurchase agreements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10,475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10,475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(6,087)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ind w:left="700"/>
              <w:spacing w:after="0"/>
              <w:rPr>
                <w:sz w:val="20"/>
                <w:szCs w:val="20"/>
                <w:color w:val="auto"/>
              </w:rPr>
            </w:pPr>
            <w:r>
              <w:rPr>
                <w:rFonts w:ascii="Arial" w:cs="Arial" w:eastAsia="Arial" w:hAnsi="Arial"/>
                <w:sz w:val="10"/>
                <w:szCs w:val="10"/>
                <w:color w:val="auto"/>
                <w:w w:val="88"/>
              </w:rPr>
              <w:t>(4,381)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120" w:type="dxa"/>
            <w:vAlign w:val="bottom"/>
            <w:gridSpan w:val="4"/>
          </w:tcPr>
          <w:p>
            <w:pPr>
              <w:ind w:left="12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10,792</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10,792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(6,114)</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jc w:val="right"/>
              <w:ind w:right="3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0"/>
                <w:szCs w:val="10"/>
                <w:color w:val="auto"/>
                <w:w w:val="88"/>
              </w:rPr>
              <w:t>(4,671)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ind w:left="80"/>
              <w:spacing w:after="0"/>
              <w:rPr>
                <w:sz w:val="20"/>
                <w:szCs w:val="20"/>
                <w:color w:val="auto"/>
              </w:rPr>
            </w:pPr>
            <w:r>
              <w:rPr>
                <w:rFonts w:ascii="Arial" w:cs="Arial" w:eastAsia="Arial" w:hAnsi="Arial"/>
                <w:sz w:val="10"/>
                <w:szCs w:val="10"/>
                <w:b w:val="1"/>
                <w:bCs w:val="1"/>
                <w:color w:val="auto"/>
                <w:w w:val="97"/>
              </w:rPr>
              <w:t>Offsetting of Financial and Derivative Liabilities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7"/>
          </w:tcPr>
          <w:p>
            <w:pPr>
              <w:jc w:val="center"/>
              <w:ind w:right="120"/>
              <w:spacing w:after="0"/>
              <w:rPr>
                <w:sz w:val="20"/>
                <w:szCs w:val="20"/>
                <w:color w:val="auto"/>
              </w:rPr>
            </w:pPr>
            <w:r>
              <w:rPr>
                <w:rFonts w:ascii="Arial" w:cs="Arial" w:eastAsia="Arial" w:hAnsi="Arial"/>
                <w:sz w:val="10"/>
                <w:szCs w:val="10"/>
                <w:b w:val="1"/>
                <w:bCs w:val="1"/>
                <w:color w:val="auto"/>
                <w:w w:val="85"/>
              </w:rPr>
              <w:t>Gross Amounts Not Offset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tcPr>
          <w:p>
            <w:pPr>
              <w:jc w:val="center"/>
              <w:ind w:left="932"/>
              <w:spacing w:after="0" w:line="99" w:lineRule="exact"/>
              <w:rPr>
                <w:sz w:val="20"/>
                <w:szCs w:val="20"/>
                <w:color w:val="auto"/>
              </w:rPr>
            </w:pPr>
            <w:r>
              <w:rPr>
                <w:rFonts w:ascii="Arial" w:cs="Arial" w:eastAsia="Arial" w:hAnsi="Arial"/>
                <w:sz w:val="10"/>
                <w:szCs w:val="10"/>
                <w:b w:val="1"/>
                <w:bCs w:val="1"/>
                <w:color w:val="auto"/>
                <w:w w:val="89"/>
              </w:rPr>
              <w:t>in the</w:t>
            </w: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restart"/>
          </w:tcPr>
          <w:p>
            <w:pPr>
              <w:jc w:val="center"/>
              <w:ind w:right="20"/>
              <w:spacing w:after="0"/>
              <w:rPr>
                <w:sz w:val="20"/>
                <w:szCs w:val="20"/>
                <w:color w:val="auto"/>
              </w:rPr>
            </w:pPr>
            <w:r>
              <w:rPr>
                <w:rFonts w:ascii="Arial" w:cs="Arial" w:eastAsia="Arial" w:hAnsi="Arial"/>
                <w:sz w:val="10"/>
                <w:szCs w:val="10"/>
                <w:b w:val="1"/>
                <w:bCs w:val="1"/>
                <w:color w:val="auto"/>
                <w:w w:val="87"/>
              </w:rPr>
              <w:t>Net Amounts of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gridSpan w:val="7"/>
          </w:tcPr>
          <w:p>
            <w:pPr>
              <w:jc w:val="center"/>
              <w:ind w:right="100"/>
              <w:spacing w:after="0"/>
              <w:rPr>
                <w:sz w:val="20"/>
                <w:szCs w:val="20"/>
                <w:color w:val="auto"/>
              </w:rPr>
            </w:pPr>
            <w:r>
              <w:rPr>
                <w:rFonts w:ascii="Arial" w:cs="Arial" w:eastAsia="Arial" w:hAnsi="Arial"/>
                <w:sz w:val="10"/>
                <w:szCs w:val="10"/>
                <w:b w:val="1"/>
                <w:bCs w:val="1"/>
                <w:color w:val="auto"/>
                <w:w w:val="84"/>
              </w:rPr>
              <w:t>Consolidated Balance Sheets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Presented in the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80"/>
              <w:spacing w:after="0" w:line="96" w:lineRule="exact"/>
              <w:rPr>
                <w:sz w:val="20"/>
                <w:szCs w:val="20"/>
                <w:color w:val="auto"/>
              </w:rPr>
            </w:pPr>
            <w:r>
              <w:rPr>
                <w:rFonts w:ascii="Arial" w:cs="Arial" w:eastAsia="Arial" w:hAnsi="Arial"/>
                <w:sz w:val="10"/>
                <w:szCs w:val="10"/>
                <w:b w:val="1"/>
                <w:bCs w:val="1"/>
                <w:color w:val="auto"/>
                <w:w w:val="84"/>
              </w:rPr>
              <w:t>Gross Amounts of</w:t>
            </w:r>
          </w:p>
        </w:tc>
        <w:tc>
          <w:tcPr>
            <w:tcW w:w="1220" w:type="dxa"/>
            <w:vAlign w:val="bottom"/>
            <w:gridSpan w:val="4"/>
          </w:tcPr>
          <w:p>
            <w:pPr>
              <w:ind w:left="20"/>
              <w:spacing w:after="0" w:line="96" w:lineRule="exact"/>
              <w:rPr>
                <w:sz w:val="20"/>
                <w:szCs w:val="20"/>
                <w:color w:val="auto"/>
              </w:rPr>
            </w:pPr>
            <w:r>
              <w:rPr>
                <w:rFonts w:ascii="Arial" w:cs="Arial" w:eastAsia="Arial" w:hAnsi="Arial"/>
                <w:sz w:val="10"/>
                <w:szCs w:val="10"/>
                <w:b w:val="1"/>
                <w:bCs w:val="1"/>
                <w:color w:val="auto"/>
                <w:w w:val="86"/>
              </w:rPr>
              <w:t>Gross Amounts Offset in the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4"/>
              </w:rPr>
              <w:t>Consolidated Balance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5"/>
              </w:rPr>
              <w:t>Recognized Liabilities</w:t>
            </w:r>
          </w:p>
        </w:tc>
        <w:tc>
          <w:tcPr>
            <w:tcW w:w="1220" w:type="dxa"/>
            <w:vAlign w:val="bottom"/>
            <w:gridSpan w:val="4"/>
          </w:tcPr>
          <w:p>
            <w:pPr>
              <w:ind w:left="20"/>
              <w:spacing w:after="0"/>
              <w:rPr>
                <w:sz w:val="20"/>
                <w:szCs w:val="20"/>
                <w:color w:val="auto"/>
              </w:rPr>
            </w:pPr>
            <w:r>
              <w:rPr>
                <w:rFonts w:ascii="Arial" w:cs="Arial" w:eastAsia="Arial" w:hAnsi="Arial"/>
                <w:sz w:val="10"/>
                <w:szCs w:val="10"/>
                <w:b w:val="1"/>
                <w:bCs w:val="1"/>
                <w:color w:val="auto"/>
                <w:w w:val="84"/>
              </w:rPr>
              <w:t>Consolidated Balance Sheets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79"/>
              </w:rPr>
              <w:t>Sheets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Financial Instruments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0"/>
                <w:szCs w:val="10"/>
                <w:b w:val="1"/>
                <w:bCs w:val="1"/>
                <w:color w:val="auto"/>
              </w:rPr>
              <w:t xml:space="preserve">Collateral Pledged </w:t>
            </w:r>
            <w:r>
              <w:rPr>
                <w:rFonts w:ascii="Arial" w:cs="Arial" w:eastAsia="Arial" w:hAnsi="Arial"/>
                <w:sz w:val="6"/>
                <w:szCs w:val="6"/>
                <w:b w:val="1"/>
                <w:bCs w:val="1"/>
                <w:color w:val="auto"/>
              </w:rPr>
              <w:t>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September 30, 2022</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120" w:type="dxa"/>
            <w:vAlign w:val="bottom"/>
            <w:gridSpan w:val="4"/>
          </w:tcPr>
          <w:p>
            <w:pPr>
              <w:ind w:left="100"/>
              <w:spacing w:after="0"/>
              <w:rPr>
                <w:sz w:val="20"/>
                <w:szCs w:val="20"/>
                <w:color w:val="auto"/>
              </w:rPr>
            </w:pPr>
            <w:r>
              <w:rPr>
                <w:rFonts w:ascii="Arial" w:cs="Arial" w:eastAsia="Arial" w:hAnsi="Arial"/>
                <w:sz w:val="10"/>
                <w:szCs w:val="10"/>
                <w:color w:val="auto"/>
              </w:rPr>
              <w:t xml:space="preserve">TBA securities, at fair value </w:t>
            </w:r>
            <w:r>
              <w:rPr>
                <w:rFonts w:ascii="Arial" w:cs="Arial" w:eastAsia="Arial" w:hAnsi="Arial"/>
                <w:sz w:val="6"/>
                <w:szCs w:val="6"/>
                <w:color w:val="auto"/>
              </w:rPr>
              <w:t>1</w:t>
            </w:r>
          </w:p>
        </w:tc>
        <w:tc>
          <w:tcPr>
            <w:tcW w:w="80" w:type="dxa"/>
            <w:vAlign w:val="bottom"/>
          </w:tcPr>
          <w:p>
            <w:pPr>
              <w:jc w:val="right"/>
              <w:ind w:right="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1,214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Arial" w:cs="Arial" w:eastAsia="Arial" w:hAnsi="Arial"/>
                <w:sz w:val="10"/>
                <w:szCs w:val="10"/>
                <w:color w:val="auto"/>
              </w:rPr>
              <w:t>$</w:t>
            </w:r>
          </w:p>
        </w:tc>
        <w:tc>
          <w:tcPr>
            <w:tcW w:w="960" w:type="dxa"/>
            <w:vAlign w:val="bottom"/>
            <w:gridSpan w:val="3"/>
          </w:tcPr>
          <w:p>
            <w:pPr>
              <w:ind w:left="8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1,214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120" w:type="dxa"/>
            <w:vAlign w:val="bottom"/>
            <w:gridSpan w:val="2"/>
          </w:tcPr>
          <w:p>
            <w:pPr>
              <w:jc w:val="right"/>
              <w:ind w:right="36"/>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center"/>
              <w:ind w:left="712"/>
              <w:spacing w:after="0"/>
              <w:rPr>
                <w:sz w:val="20"/>
                <w:szCs w:val="20"/>
                <w:color w:val="auto"/>
              </w:rPr>
            </w:pPr>
            <w:r>
              <w:rPr>
                <w:rFonts w:ascii="Arial" w:cs="Arial" w:eastAsia="Arial" w:hAnsi="Arial"/>
                <w:sz w:val="10"/>
                <w:szCs w:val="10"/>
                <w:color w:val="auto"/>
                <w:w w:val="88"/>
              </w:rPr>
              <w:t>(1,214)</w:t>
            </w:r>
          </w:p>
        </w:tc>
        <w:tc>
          <w:tcPr>
            <w:tcW w:w="60" w:type="dxa"/>
            <w:vAlign w:val="bottom"/>
          </w:tcPr>
          <w:p>
            <w:pPr>
              <w:spacing w:after="0"/>
              <w:rPr>
                <w:sz w:val="11"/>
                <w:szCs w:val="11"/>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10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Repurchase agreements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40,306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40,306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(5,767)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0"/>
                <w:szCs w:val="10"/>
                <w:color w:val="auto"/>
                <w:w w:val="85"/>
              </w:rPr>
              <w:t>(34,539)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20" w:type="dxa"/>
            <w:vAlign w:val="bottom"/>
            <w:gridSpan w:val="4"/>
          </w:tcPr>
          <w:p>
            <w:pPr>
              <w:ind w:left="180"/>
              <w:spacing w:after="0"/>
              <w:rPr>
                <w:sz w:val="20"/>
                <w:szCs w:val="20"/>
                <w:color w:val="auto"/>
              </w:rPr>
            </w:pPr>
            <w:r>
              <w:rPr>
                <w:rFonts w:ascii="Arial" w:cs="Arial" w:eastAsia="Arial" w:hAnsi="Arial"/>
                <w:sz w:val="10"/>
                <w:szCs w:val="10"/>
                <w:color w:val="auto"/>
              </w:rPr>
              <w:t>Total</w:t>
            </w:r>
          </w:p>
        </w:tc>
        <w:tc>
          <w:tcPr>
            <w:tcW w:w="80" w:type="dxa"/>
            <w:vAlign w:val="bottom"/>
          </w:tcPr>
          <w:p>
            <w:pPr>
              <w:jc w:val="right"/>
              <w:ind w:right="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41,520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Arial" w:cs="Arial" w:eastAsia="Arial" w:hAnsi="Arial"/>
                <w:sz w:val="10"/>
                <w:szCs w:val="10"/>
                <w:color w:val="auto"/>
              </w:rPr>
              <w:t>$</w:t>
            </w:r>
          </w:p>
        </w:tc>
        <w:tc>
          <w:tcPr>
            <w:tcW w:w="94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41,520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(5,767)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1040" w:type="dxa"/>
            <w:vAlign w:val="bottom"/>
            <w:gridSpan w:val="2"/>
          </w:tcPr>
          <w:p>
            <w:pPr>
              <w:ind w:left="700"/>
              <w:spacing w:after="0"/>
              <w:rPr>
                <w:sz w:val="20"/>
                <w:szCs w:val="20"/>
                <w:color w:val="auto"/>
              </w:rPr>
            </w:pPr>
            <w:r>
              <w:rPr>
                <w:rFonts w:ascii="Arial" w:cs="Arial" w:eastAsia="Arial" w:hAnsi="Arial"/>
                <w:sz w:val="10"/>
                <w:szCs w:val="10"/>
                <w:color w:val="auto"/>
                <w:w w:val="85"/>
              </w:rPr>
              <w:t>(35,753)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40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4120" w:type="dxa"/>
            <w:vAlign w:val="bottom"/>
            <w:gridSpan w:val="4"/>
          </w:tcPr>
          <w:p>
            <w:pPr>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410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Repurchase agreements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47,381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(6,087)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5"/>
              </w:rPr>
              <w:t>(41,294)</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100" w:type="dxa"/>
            <w:vAlign w:val="bottom"/>
            <w:gridSpan w:val="3"/>
          </w:tcPr>
          <w:p>
            <w:pPr>
              <w:ind w:left="180"/>
              <w:spacing w:after="0"/>
              <w:rPr>
                <w:sz w:val="20"/>
                <w:szCs w:val="20"/>
                <w:color w:val="auto"/>
              </w:rPr>
            </w:pPr>
            <w:r>
              <w:rPr>
                <w:rFonts w:ascii="Arial" w:cs="Arial" w:eastAsia="Arial" w:hAnsi="Arial"/>
                <w:sz w:val="10"/>
                <w:szCs w:val="10"/>
                <w:color w:val="auto"/>
              </w:rPr>
              <w:t>Total</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47,452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47,452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(6,114)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0"/>
                <w:szCs w:val="10"/>
                <w:color w:val="auto"/>
                <w:w w:val="85"/>
              </w:rPr>
              <w:t>(41,338)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Reported under derivative assets / liabilities, at fair value in the accompanying consolidated balance sheets. Refer to Note 5 for a reconciliation of derivative assets / liabilities, at fair value to their sub-components.</w:t>
      </w:r>
    </w:p>
    <w:p>
      <w:pPr>
        <w:spacing w:after="0" w:line="1" w:lineRule="exact"/>
        <w:rPr>
          <w:rFonts w:ascii="Arial" w:cs="Arial" w:eastAsia="Arial" w:hAnsi="Arial"/>
          <w:sz w:val="10"/>
          <w:szCs w:val="10"/>
          <w:color w:val="auto"/>
        </w:rPr>
      </w:pPr>
    </w:p>
    <w:p>
      <w:pPr>
        <w:ind w:left="420" w:hanging="212"/>
        <w:spacing w:after="0"/>
        <w:tabs>
          <w:tab w:leader="none" w:pos="420" w:val="left"/>
        </w:tabs>
        <w:numPr>
          <w:ilvl w:val="0"/>
          <w:numId w:val="16"/>
        </w:numPr>
        <w:rPr>
          <w:rFonts w:ascii="Arial" w:cs="Arial" w:eastAsia="Arial" w:hAnsi="Arial"/>
          <w:sz w:val="8"/>
          <w:szCs w:val="8"/>
          <w:color w:val="auto"/>
        </w:rPr>
      </w:pPr>
      <w:r>
        <w:rPr>
          <w:rFonts w:ascii="Arial" w:cs="Arial" w:eastAsia="Arial" w:hAnsi="Arial"/>
          <w:sz w:val="8"/>
          <w:szCs w:val="8"/>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Note 8. Fair Value Measurements</w:t>
      </w:r>
    </w:p>
    <w:p>
      <w:pPr>
        <w:spacing w:after="0" w:line="118"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following table provides a summary of our assets and liabilities that are measured at fair value on a recurring basis, as of September 30, 2022 and December 31, 2021, based on their categorization within the valuation hierarchy (in millions). There were no transfers between valuation hierarchy levels during the periods presented in our accompanying consolidated statements of comprehensive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7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September 30, 2022</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6"/>
              </w:rPr>
              <w:t>December 31, 2021</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27"/>
        </w:trPr>
        <w:tc>
          <w:tcPr>
            <w:tcW w:w="47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Level 2</w:t>
            </w:r>
          </w:p>
        </w:tc>
        <w:tc>
          <w:tcPr>
            <w:tcW w:w="2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Level 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1</w:t>
            </w:r>
          </w:p>
        </w:tc>
        <w:tc>
          <w:tcPr>
            <w:tcW w:w="8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Level 2</w:t>
            </w:r>
          </w:p>
        </w:tc>
        <w:tc>
          <w:tcPr>
            <w:tcW w:w="2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0"/>
                <w:szCs w:val="10"/>
                <w:b w:val="1"/>
                <w:bCs w:val="1"/>
                <w:color w:val="auto"/>
              </w:rPr>
              <w:t>Level 3</w:t>
            </w:r>
          </w:p>
        </w:tc>
      </w:tr>
      <w:tr>
        <w:trPr>
          <w:trHeight w:val="121"/>
        </w:trPr>
        <w:tc>
          <w:tcPr>
            <w:tcW w:w="474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0"/>
                <w:szCs w:val="10"/>
                <w:color w:val="auto"/>
              </w:rPr>
              <w:t>Assets:</w:t>
            </w:r>
          </w:p>
        </w:tc>
        <w:tc>
          <w:tcPr>
            <w:tcW w:w="6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Agency securities</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41,740</w:t>
            </w:r>
          </w:p>
        </w:tc>
        <w:tc>
          <w:tcPr>
            <w:tcW w:w="10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52,396</w:t>
            </w:r>
          </w:p>
        </w:tc>
        <w:tc>
          <w:tcPr>
            <w:tcW w:w="10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Agency securities transferred to consolidated VIEs</w:t>
            </w:r>
          </w:p>
        </w:tc>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Credit risk transfer securities</w:t>
            </w:r>
          </w:p>
        </w:tc>
        <w:tc>
          <w:tcPr>
            <w:tcW w:w="68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974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Non-Agency securities</w:t>
            </w:r>
          </w:p>
        </w:tc>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U.S. Treasury securities</w:t>
            </w: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1,213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 xml:space="preserve">Interest rate swaps </w:t>
            </w:r>
            <w:r>
              <w:rPr>
                <w:rFonts w:ascii="Arial" w:cs="Arial" w:eastAsia="Arial" w:hAnsi="Arial"/>
                <w:sz w:val="12"/>
                <w:szCs w:val="12"/>
                <w:color w:val="auto"/>
                <w:vertAlign w:val="superscript"/>
              </w:rPr>
              <w:t>1</w:t>
            </w:r>
          </w:p>
        </w:tc>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Swaptions</w:t>
            </w:r>
          </w:p>
        </w:tc>
        <w:tc>
          <w:tcPr>
            <w:tcW w:w="68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357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290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TBA and forward settling securities</w:t>
            </w:r>
          </w:p>
        </w:tc>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U.S. Treasury futures</w:t>
            </w: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421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51"/>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w:t>
            </w:r>
          </w:p>
        </w:tc>
        <w:tc>
          <w:tcPr>
            <w:tcW w:w="68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1,634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44,048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54,738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06"/>
        </w:trPr>
        <w:tc>
          <w:tcPr>
            <w:tcW w:w="4740" w:type="dxa"/>
            <w:vAlign w:val="bottom"/>
          </w:tcPr>
          <w:p>
            <w:pPr>
              <w:spacing w:after="0" w:line="102" w:lineRule="exact"/>
              <w:rPr>
                <w:sz w:val="20"/>
                <w:szCs w:val="20"/>
                <w:color w:val="auto"/>
              </w:rPr>
            </w:pPr>
            <w:r>
              <w:rPr>
                <w:rFonts w:ascii="Arial" w:cs="Arial" w:eastAsia="Arial" w:hAnsi="Arial"/>
                <w:sz w:val="10"/>
                <w:szCs w:val="10"/>
                <w:color w:val="auto"/>
              </w:rPr>
              <w:t>Liabilities:</w:t>
            </w: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Debt of consolidated VIEs</w:t>
            </w:r>
          </w:p>
        </w:tc>
        <w:tc>
          <w:tcPr>
            <w:tcW w:w="680" w:type="dxa"/>
            <w:vAlign w:val="bottom"/>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Obligation to return U.S. Treasury securities borrowed under reverse repurchase agreements</w:t>
            </w:r>
          </w:p>
        </w:tc>
        <w:tc>
          <w:tcPr>
            <w:tcW w:w="6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7,469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9,697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 xml:space="preserve">Credit default swaps </w:t>
            </w:r>
            <w:r>
              <w:rPr>
                <w:rFonts w:ascii="Arial" w:cs="Arial" w:eastAsia="Arial" w:hAnsi="Arial"/>
                <w:sz w:val="12"/>
                <w:szCs w:val="12"/>
                <w:color w:val="auto"/>
                <w:vertAlign w:val="superscript"/>
              </w:rPr>
              <w:t>1</w:t>
            </w:r>
          </w:p>
        </w:tc>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8"/>
        </w:trPr>
        <w:tc>
          <w:tcPr>
            <w:tcW w:w="4740" w:type="dxa"/>
            <w:vAlign w:val="bottom"/>
          </w:tcPr>
          <w:p>
            <w:pPr>
              <w:ind w:left="120"/>
              <w:spacing w:after="0"/>
              <w:rPr>
                <w:sz w:val="20"/>
                <w:szCs w:val="20"/>
                <w:color w:val="auto"/>
              </w:rPr>
            </w:pPr>
            <w:r>
              <w:rPr>
                <w:rFonts w:ascii="Arial" w:cs="Arial" w:eastAsia="Arial" w:hAnsi="Arial"/>
                <w:sz w:val="10"/>
                <w:szCs w:val="10"/>
                <w:color w:val="auto"/>
              </w:rPr>
              <w:t>TBA and forward settling securities</w:t>
            </w:r>
          </w:p>
        </w:tc>
        <w:tc>
          <w:tcPr>
            <w:tcW w:w="680" w:type="dxa"/>
            <w:vAlign w:val="bottom"/>
          </w:tcPr>
          <w:p>
            <w:pPr>
              <w:spacing w:after="0"/>
              <w:rPr>
                <w:sz w:val="11"/>
                <w:szCs w:val="1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1,214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40"/>
              <w:spacing w:after="0"/>
              <w:rPr>
                <w:sz w:val="20"/>
                <w:szCs w:val="20"/>
                <w:color w:val="auto"/>
              </w:rPr>
            </w:pPr>
            <w:r>
              <w:rPr>
                <w:rFonts w:ascii="Arial" w:cs="Arial" w:eastAsia="Arial" w:hAnsi="Arial"/>
                <w:sz w:val="10"/>
                <w:szCs w:val="10"/>
                <w:color w:val="auto"/>
              </w:rPr>
              <w:t>—</w:t>
            </w:r>
          </w:p>
        </w:tc>
      </w:tr>
      <w:tr>
        <w:trPr>
          <w:trHeight w:val="142"/>
        </w:trPr>
        <w:tc>
          <w:tcPr>
            <w:tcW w:w="4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U.S. Treasury futures</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w:t>
            </w:r>
          </w:p>
        </w:tc>
      </w:tr>
      <w:tr>
        <w:trPr>
          <w:trHeight w:val="124"/>
        </w:trPr>
        <w:tc>
          <w:tcPr>
            <w:tcW w:w="4740" w:type="dxa"/>
            <w:vAlign w:val="bottom"/>
          </w:tcPr>
          <w:p>
            <w:pPr>
              <w:spacing w:after="0"/>
              <w:rPr>
                <w:sz w:val="20"/>
                <w:szCs w:val="20"/>
                <w:color w:val="auto"/>
              </w:rPr>
            </w:pPr>
            <w:r>
              <w:rPr>
                <w:rFonts w:ascii="Arial" w:cs="Arial" w:eastAsia="Arial" w:hAnsi="Arial"/>
                <w:sz w:val="10"/>
                <w:szCs w:val="10"/>
                <w:color w:val="auto"/>
              </w:rPr>
              <w:t>Total</w:t>
            </w:r>
          </w:p>
        </w:tc>
        <w:tc>
          <w:tcPr>
            <w:tcW w:w="6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5"/>
              </w:rPr>
              <w:t>7,476</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1,312</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9,712</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197</w:t>
            </w: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0"/>
                <w:szCs w:val="10"/>
                <w:color w:val="auto"/>
              </w:rPr>
              <w:t>—</w:t>
            </w:r>
          </w:p>
        </w:tc>
      </w:tr>
      <w:tr>
        <w:trPr>
          <w:trHeight w:val="20"/>
        </w:trPr>
        <w:tc>
          <w:tcPr>
            <w:tcW w:w="4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3" w:lineRule="exact"/>
        <w:rPr>
          <w:sz w:val="20"/>
          <w:szCs w:val="20"/>
          <w:color w:val="auto"/>
        </w:rPr>
      </w:pPr>
    </w:p>
    <w:p>
      <w:pPr>
        <w:jc w:val="both"/>
        <w:ind w:left="420" w:hanging="212"/>
        <w:spacing w:after="0" w:line="250" w:lineRule="auto"/>
        <w:tabs>
          <w:tab w:leader="none" w:pos="4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As of September 30, 2022 and December 31, 2021, the net fair value of our interest rate swaps excluding the recognition of variation margin settlements as a direct reduction of carrying value was a net asset (liability) of $5.3 billion and $1.6 billion, respectively, based on "Level 2" inputs. As of September 30, 2022, the net fair value of our credit default swaps excluding the recognition of variation margin settlements was $1 million based on "Level 2" inputs. We did not have credit default swaps outstanding as of December 31, 2021. See Notes 2 and 5 for additional details.</w:t>
      </w:r>
    </w:p>
    <w:p>
      <w:pPr>
        <w:spacing w:after="0" w:line="202"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Excluded from the table above are financial instruments presented in our consolidated financial statements at cost. The fair value of our repurchase agreements approximated cost as of September 30, 2022 and December 31, 2021,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Net Income (Loss) Per Common Share</w:t>
      </w:r>
    </w:p>
    <w:p>
      <w:pPr>
        <w:spacing w:after="0" w:line="172"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1"/>
          <w:szCs w:val="11"/>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32"/>
        </w:trPr>
        <w:tc>
          <w:tcPr>
            <w:tcW w:w="7420" w:type="dxa"/>
            <w:vAlign w:val="bottom"/>
          </w:tcPr>
          <w:p>
            <w:pPr>
              <w:spacing w:after="0"/>
              <w:rPr>
                <w:sz w:val="11"/>
                <w:szCs w:val="11"/>
                <w:color w:val="auto"/>
              </w:rPr>
            </w:pPr>
          </w:p>
        </w:tc>
        <w:tc>
          <w:tcPr>
            <w:tcW w:w="1960" w:type="dxa"/>
            <w:vAlign w:val="bottom"/>
            <w:gridSpan w:val="6"/>
          </w:tcPr>
          <w:p>
            <w:pPr>
              <w:ind w:left="220"/>
              <w:spacing w:after="0"/>
              <w:rPr>
                <w:sz w:val="20"/>
                <w:szCs w:val="20"/>
                <w:color w:val="auto"/>
              </w:rPr>
            </w:pPr>
            <w:r>
              <w:rPr>
                <w:rFonts w:ascii="Arial" w:cs="Arial" w:eastAsia="Arial" w:hAnsi="Arial"/>
                <w:sz w:val="10"/>
                <w:szCs w:val="10"/>
                <w:b w:val="1"/>
                <w:bCs w:val="1"/>
                <w:color w:val="auto"/>
              </w:rPr>
              <w:t>Three Months Ended September 30,</w:t>
            </w:r>
          </w:p>
        </w:tc>
        <w:tc>
          <w:tcPr>
            <w:tcW w:w="160" w:type="dxa"/>
            <w:vAlign w:val="bottom"/>
          </w:tcPr>
          <w:p>
            <w:pPr>
              <w:spacing w:after="0"/>
              <w:rPr>
                <w:sz w:val="11"/>
                <w:szCs w:val="11"/>
                <w:color w:val="auto"/>
              </w:rPr>
            </w:pPr>
          </w:p>
        </w:tc>
        <w:tc>
          <w:tcPr>
            <w:tcW w:w="176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auto"/>
                <w:w w:val="91"/>
              </w:rPr>
              <w:t>Nine Months Ended September 30,</w:t>
            </w:r>
          </w:p>
        </w:tc>
      </w:tr>
      <w:tr>
        <w:trPr>
          <w:trHeight w:val="127"/>
        </w:trPr>
        <w:tc>
          <w:tcPr>
            <w:tcW w:w="74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r>
      <w:tr>
        <w:trPr>
          <w:trHeight w:val="130"/>
        </w:trPr>
        <w:tc>
          <w:tcPr>
            <w:tcW w:w="742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Weighted average number of common shares issued and outstanding</w:t>
            </w: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527.2</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524.9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524.8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527.4</w:t>
            </w:r>
          </w:p>
        </w:tc>
      </w:tr>
      <w:tr>
        <w:trPr>
          <w:trHeight w:val="128"/>
        </w:trPr>
        <w:tc>
          <w:tcPr>
            <w:tcW w:w="74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Weighted average number of fully vested restricted stock units outstanding</w:t>
            </w: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r>
      <w:tr>
        <w:trPr>
          <w:trHeight w:val="131"/>
        </w:trPr>
        <w:tc>
          <w:tcPr>
            <w:tcW w:w="74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Weighted average number of common shares outstanding - basic</w:t>
            </w: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528.7</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526.7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526.4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529.0</w:t>
            </w:r>
          </w:p>
        </w:tc>
      </w:tr>
      <w:tr>
        <w:trPr>
          <w:trHeight w:val="128"/>
        </w:trPr>
        <w:tc>
          <w:tcPr>
            <w:tcW w:w="7420" w:type="dxa"/>
            <w:vAlign w:val="bottom"/>
          </w:tcPr>
          <w:p>
            <w:pPr>
              <w:spacing w:after="0"/>
              <w:rPr>
                <w:sz w:val="20"/>
                <w:szCs w:val="20"/>
                <w:color w:val="auto"/>
              </w:rPr>
            </w:pPr>
            <w:r>
              <w:rPr>
                <w:rFonts w:ascii="Arial" w:cs="Arial" w:eastAsia="Arial" w:hAnsi="Arial"/>
                <w:sz w:val="10"/>
                <w:szCs w:val="10"/>
                <w:color w:val="auto"/>
              </w:rPr>
              <w:t>Weighted average number of dilutive unvested restricted stock units outstanding</w:t>
            </w:r>
          </w:p>
        </w:tc>
        <w:tc>
          <w:tcPr>
            <w:tcW w:w="6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47"/>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Weighted average number of common shares outstanding - diluted</w:t>
            </w: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528.7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528.6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530.8</w:t>
            </w:r>
          </w:p>
        </w:tc>
      </w:tr>
      <w:tr>
        <w:trPr>
          <w:trHeight w:val="151"/>
        </w:trPr>
        <w:tc>
          <w:tcPr>
            <w:tcW w:w="74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Net income (loss) available (attributable) to common stockholders</w:t>
            </w: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(692)</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701</w:t>
            </w:r>
          </w:p>
        </w:tc>
      </w:tr>
      <w:tr>
        <w:trPr>
          <w:trHeight w:val="151"/>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income (loss) per common share - basic</w:t>
            </w: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0.36</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w:t>
            </w:r>
          </w:p>
        </w:tc>
      </w:tr>
      <w:tr>
        <w:trPr>
          <w:trHeight w:val="135"/>
        </w:trPr>
        <w:tc>
          <w:tcPr>
            <w:tcW w:w="7420" w:type="dxa"/>
            <w:vAlign w:val="bottom"/>
          </w:tcPr>
          <w:p>
            <w:pPr>
              <w:spacing w:after="0"/>
              <w:rPr>
                <w:sz w:val="20"/>
                <w:szCs w:val="20"/>
                <w:color w:val="auto"/>
              </w:rPr>
            </w:pPr>
            <w:r>
              <w:rPr>
                <w:rFonts w:ascii="Arial" w:cs="Arial" w:eastAsia="Arial" w:hAnsi="Arial"/>
                <w:sz w:val="10"/>
                <w:szCs w:val="10"/>
                <w:color w:val="auto"/>
              </w:rPr>
              <w:t>Net income (loss) per common share - diluted</w:t>
            </w: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6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0.35</w:t>
            </w:r>
          </w:p>
        </w:tc>
        <w:tc>
          <w:tcPr>
            <w:tcW w:w="6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w:t>
            </w:r>
          </w:p>
        </w:tc>
      </w:tr>
      <w:tr>
        <w:trPr>
          <w:trHeight w:val="20"/>
        </w:trPr>
        <w:tc>
          <w:tcPr>
            <w:tcW w:w="7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three and nine months ended September 30, 2022, 1.1 million and 1.1 million, respectively, of potentially dilutive unvested time and performance based RSUs outstanding were excluded from the computation of diluted net income (loss) per common share because to do so would have been anti-dilutive for the period.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Note 10. Stockholders'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Stock</w:t>
      </w:r>
    </w:p>
    <w:p>
      <w:pPr>
        <w:spacing w:after="0" w:line="114"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We are authorized to designate and issue up to 10.0 million shares of preferred stock in one or more classes or series. As of September 30, 2022 and December 31, 2021,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September 30, 2022, an additional 6,900 shares were designated as 7.75% Series G Fixed-Rate-Reset Cumulative Redeemable Preferred Stock (referred to as "Series G Preferred Stock"). As of September 30, 2022 and December 31, 2021, 13,000, 9,400, 16,100 and 23,000 shares of Series C, D, E and F Preferred Stock, respectively, were issued and outstanding. As of September 30, 2022, an additional 6,000 shares of Series G Preferred Stock were issued and outstanding. Each share of preferred stock is represented by 1,000 depositary shares. Each share of preferred stock has a liquidation preference of $25,000 per share ($25 per depositary share).</w:t>
      </w:r>
    </w:p>
    <w:p>
      <w:pPr>
        <w:spacing w:after="0" w:line="77"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1"/>
          <w:szCs w:val="11"/>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includes a summary of preferred stock depositary shares issued and outstanding as of September 30, 2022 (dollars and shares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left="194"/>
              <w:spacing w:after="0"/>
              <w:rPr>
                <w:sz w:val="20"/>
                <w:szCs w:val="20"/>
                <w:color w:val="auto"/>
              </w:rPr>
            </w:pPr>
            <w:r>
              <w:rPr>
                <w:rFonts w:ascii="Arial" w:cs="Arial" w:eastAsia="Arial" w:hAnsi="Arial"/>
                <w:sz w:val="9"/>
                <w:szCs w:val="9"/>
                <w:b w:val="1"/>
                <w:bCs w:val="1"/>
                <w:color w:val="auto"/>
                <w:w w:val="94"/>
              </w:rPr>
              <w:t>Depositary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left="194"/>
              <w:spacing w:after="0" w:line="97" w:lineRule="exact"/>
              <w:rPr>
                <w:sz w:val="20"/>
                <w:szCs w:val="20"/>
                <w:color w:val="auto"/>
              </w:rPr>
            </w:pPr>
            <w:r>
              <w:rPr>
                <w:rFonts w:ascii="Arial" w:cs="Arial" w:eastAsia="Arial" w:hAnsi="Arial"/>
                <w:sz w:val="9"/>
                <w:szCs w:val="9"/>
                <w:b w:val="1"/>
                <w:bCs w:val="1"/>
                <w:color w:val="auto"/>
                <w:w w:val="93"/>
              </w:rPr>
              <w:t>Shares</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left="194"/>
              <w:spacing w:after="0" w:line="93" w:lineRule="exact"/>
              <w:rPr>
                <w:sz w:val="20"/>
                <w:szCs w:val="20"/>
                <w:color w:val="auto"/>
              </w:rPr>
            </w:pPr>
            <w:r>
              <w:rPr>
                <w:rFonts w:ascii="Arial" w:cs="Arial" w:eastAsia="Arial" w:hAnsi="Arial"/>
                <w:sz w:val="9"/>
                <w:szCs w:val="9"/>
                <w:b w:val="1"/>
                <w:bCs w:val="1"/>
                <w:color w:val="auto"/>
                <w:w w:val="83"/>
              </w:rPr>
              <w:t>Issued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5"/>
              </w:rPr>
              <w:t>First Optional</w:t>
            </w: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restart"/>
          </w:tcPr>
          <w:p>
            <w:pPr>
              <w:jc w:val="center"/>
              <w:ind w:left="194"/>
              <w:spacing w:after="0" w:line="90" w:lineRule="exact"/>
              <w:rPr>
                <w:sz w:val="20"/>
                <w:szCs w:val="20"/>
                <w:color w:val="auto"/>
              </w:rPr>
            </w:pPr>
            <w:r>
              <w:rPr>
                <w:rFonts w:ascii="Arial" w:cs="Arial" w:eastAsia="Arial" w:hAnsi="Arial"/>
                <w:sz w:val="9"/>
                <w:szCs w:val="9"/>
                <w:b w:val="1"/>
                <w:bCs w:val="1"/>
                <w:color w:val="auto"/>
                <w:w w:val="99"/>
              </w:rPr>
              <w:t>and</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vMerge w:val="restart"/>
          </w:tcPr>
          <w:p>
            <w:pPr>
              <w:jc w:val="center"/>
              <w:ind w:right="260"/>
              <w:spacing w:after="0" w:line="90" w:lineRule="exact"/>
              <w:rPr>
                <w:sz w:val="20"/>
                <w:szCs w:val="20"/>
                <w:color w:val="auto"/>
              </w:rPr>
            </w:pPr>
            <w:r>
              <w:rPr>
                <w:rFonts w:ascii="Arial" w:cs="Arial" w:eastAsia="Arial" w:hAnsi="Arial"/>
                <w:sz w:val="9"/>
                <w:szCs w:val="9"/>
                <w:b w:val="1"/>
                <w:bCs w:val="1"/>
                <w:color w:val="auto"/>
              </w:rPr>
              <w:t>Carrying</w:t>
            </w:r>
          </w:p>
        </w:tc>
        <w:tc>
          <w:tcPr>
            <w:tcW w:w="60" w:type="dxa"/>
            <w:vAlign w:val="bottom"/>
          </w:tcPr>
          <w:p>
            <w:pPr>
              <w:spacing w:after="0"/>
              <w:rPr>
                <w:sz w:val="3"/>
                <w:szCs w:val="3"/>
                <w:color w:val="auto"/>
              </w:rPr>
            </w:pPr>
          </w:p>
        </w:tc>
        <w:tc>
          <w:tcPr>
            <w:tcW w:w="980" w:type="dxa"/>
            <w:vAlign w:val="bottom"/>
            <w:vMerge w:val="restart"/>
          </w:tcPr>
          <w:p>
            <w:pPr>
              <w:jc w:val="right"/>
              <w:ind w:right="254"/>
              <w:spacing w:after="0" w:line="90" w:lineRule="exact"/>
              <w:rPr>
                <w:sz w:val="20"/>
                <w:szCs w:val="20"/>
                <w:color w:val="auto"/>
              </w:rPr>
            </w:pPr>
            <w:r>
              <w:rPr>
                <w:rFonts w:ascii="Arial" w:cs="Arial" w:eastAsia="Arial" w:hAnsi="Arial"/>
                <w:sz w:val="9"/>
                <w:szCs w:val="9"/>
                <w:b w:val="1"/>
                <w:bCs w:val="1"/>
                <w:color w:val="auto"/>
              </w:rPr>
              <w:t>Aggregate</w:t>
            </w:r>
          </w:p>
        </w:tc>
        <w:tc>
          <w:tcPr>
            <w:tcW w:w="1120" w:type="dxa"/>
            <w:vAlign w:val="bottom"/>
            <w:gridSpan w:val="2"/>
            <w:vMerge w:val="restart"/>
          </w:tcPr>
          <w:p>
            <w:pPr>
              <w:jc w:val="center"/>
              <w:spacing w:after="0" w:line="90" w:lineRule="exact"/>
              <w:rPr>
                <w:sz w:val="20"/>
                <w:szCs w:val="20"/>
                <w:color w:val="auto"/>
              </w:rPr>
            </w:pPr>
            <w:r>
              <w:rPr>
                <w:rFonts w:ascii="Arial" w:cs="Arial" w:eastAsia="Arial" w:hAnsi="Arial"/>
                <w:sz w:val="9"/>
                <w:szCs w:val="9"/>
                <w:b w:val="1"/>
                <w:bCs w:val="1"/>
                <w:color w:val="auto"/>
                <w:w w:val="94"/>
              </w:rPr>
              <w:t>Per Annum Dividend</w:t>
            </w:r>
          </w:p>
        </w:tc>
        <w:tc>
          <w:tcPr>
            <w:tcW w:w="1580" w:type="dxa"/>
            <w:vAlign w:val="bottom"/>
            <w:gridSpan w:val="2"/>
            <w:vMerge w:val="continue"/>
          </w:tcPr>
          <w:p>
            <w:pPr>
              <w:spacing w:after="0"/>
              <w:rPr>
                <w:sz w:val="3"/>
                <w:szCs w:val="3"/>
                <w:color w:val="auto"/>
              </w:rPr>
            </w:pPr>
          </w:p>
        </w:tc>
        <w:tc>
          <w:tcPr>
            <w:tcW w:w="1800" w:type="dxa"/>
            <w:vAlign w:val="bottom"/>
            <w:vMerge w:val="restart"/>
          </w:tcPr>
          <w:p>
            <w:pPr>
              <w:jc w:val="center"/>
              <w:spacing w:after="0" w:line="90" w:lineRule="exact"/>
              <w:rPr>
                <w:sz w:val="20"/>
                <w:szCs w:val="20"/>
                <w:color w:val="auto"/>
              </w:rPr>
            </w:pPr>
            <w:r>
              <w:rPr>
                <w:rFonts w:ascii="Arial" w:cs="Arial" w:eastAsia="Arial" w:hAnsi="Arial"/>
                <w:sz w:val="9"/>
                <w:szCs w:val="9"/>
                <w:b w:val="1"/>
                <w:bCs w:val="1"/>
                <w:color w:val="auto"/>
                <w:w w:val="92"/>
              </w:rPr>
              <w:t>Conversion</w:t>
            </w:r>
          </w:p>
        </w:tc>
        <w:tc>
          <w:tcPr>
            <w:tcW w:w="0" w:type="dxa"/>
            <w:vAlign w:val="bottom"/>
          </w:tcPr>
          <w:p>
            <w:pPr>
              <w:spacing w:after="0" w:line="20" w:lineRule="exact"/>
              <w:rPr>
                <w:sz w:val="1"/>
                <w:szCs w:val="1"/>
                <w:color w:val="auto"/>
              </w:rPr>
            </w:pPr>
          </w:p>
        </w:tc>
      </w:tr>
      <w:tr>
        <w:trPr>
          <w:trHeight w:val="54"/>
        </w:trPr>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1"/>
              </w:rPr>
              <w:t xml:space="preserve">Redemption Date </w:t>
            </w:r>
            <w:r>
              <w:rPr>
                <w:rFonts w:ascii="Arial" w:cs="Arial" w:eastAsia="Arial" w:hAnsi="Arial"/>
                <w:sz w:val="12"/>
                <w:szCs w:val="12"/>
                <w:b w:val="1"/>
                <w:bCs w:val="1"/>
                <w:color w:val="auto"/>
                <w:w w:val="91"/>
                <w:vertAlign w:val="subscript"/>
              </w:rPr>
              <w:t>2</w:t>
            </w:r>
            <w:r>
              <w:rPr>
                <w:rFonts w:ascii="Arial" w:cs="Arial" w:eastAsia="Arial" w:hAnsi="Arial"/>
                <w:sz w:val="9"/>
                <w:szCs w:val="9"/>
                <w:b w:val="1"/>
                <w:bCs w:val="1"/>
                <w:color w:val="auto"/>
                <w:w w:val="91"/>
              </w:rPr>
              <w:t>/ Conversion Date</w:t>
            </w: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60"/>
              <w:spacing w:after="0" w:line="135" w:lineRule="exact"/>
              <w:rPr>
                <w:sz w:val="20"/>
                <w:szCs w:val="20"/>
                <w:color w:val="auto"/>
              </w:rPr>
            </w:pPr>
            <w:r>
              <w:rPr>
                <w:rFonts w:ascii="Arial" w:cs="Arial" w:eastAsia="Arial" w:hAnsi="Arial"/>
                <w:sz w:val="9"/>
                <w:szCs w:val="9"/>
                <w:b w:val="1"/>
                <w:bCs w:val="1"/>
                <w:color w:val="auto"/>
              </w:rPr>
              <w:t xml:space="preserve">Cumulative Redeemable Preferred Stock </w:t>
            </w:r>
            <w:r>
              <w:rPr>
                <w:rFonts w:ascii="Arial" w:cs="Arial" w:eastAsia="Arial" w:hAnsi="Arial"/>
                <w:sz w:val="12"/>
                <w:szCs w:val="12"/>
                <w:b w:val="1"/>
                <w:bCs w:val="1"/>
                <w:color w:val="auto"/>
                <w:vertAlign w:val="superscript"/>
              </w:rPr>
              <w:t>1</w:t>
            </w:r>
          </w:p>
        </w:tc>
        <w:tc>
          <w:tcPr>
            <w:tcW w:w="15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3"/>
              </w:rPr>
              <w:t>Issue Date</w:t>
            </w:r>
          </w:p>
        </w:tc>
        <w:tc>
          <w:tcPr>
            <w:tcW w:w="800" w:type="dxa"/>
            <w:vAlign w:val="bottom"/>
          </w:tcPr>
          <w:p>
            <w:pPr>
              <w:jc w:val="center"/>
              <w:ind w:left="174"/>
              <w:spacing w:after="0"/>
              <w:rPr>
                <w:sz w:val="20"/>
                <w:szCs w:val="20"/>
                <w:color w:val="auto"/>
              </w:rPr>
            </w:pPr>
            <w:r>
              <w:rPr>
                <w:rFonts w:ascii="Arial" w:cs="Arial" w:eastAsia="Arial" w:hAnsi="Arial"/>
                <w:sz w:val="9"/>
                <w:szCs w:val="9"/>
                <w:b w:val="1"/>
                <w:bCs w:val="1"/>
                <w:color w:val="auto"/>
                <w:w w:val="94"/>
              </w:rPr>
              <w:t>Outstanding</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Value</w:t>
            </w:r>
          </w:p>
        </w:tc>
        <w:tc>
          <w:tcPr>
            <w:tcW w:w="60" w:type="dxa"/>
            <w:vAlign w:val="bottom"/>
          </w:tcPr>
          <w:p>
            <w:pPr>
              <w:spacing w:after="0"/>
              <w:rPr>
                <w:sz w:val="11"/>
                <w:szCs w:val="11"/>
                <w:color w:val="auto"/>
              </w:rPr>
            </w:pPr>
          </w:p>
        </w:tc>
        <w:tc>
          <w:tcPr>
            <w:tcW w:w="980" w:type="dxa"/>
            <w:vAlign w:val="bottom"/>
          </w:tcPr>
          <w:p>
            <w:pPr>
              <w:jc w:val="right"/>
              <w:ind w:right="14"/>
              <w:spacing w:after="0"/>
              <w:rPr>
                <w:sz w:val="20"/>
                <w:szCs w:val="20"/>
                <w:color w:val="auto"/>
              </w:rPr>
            </w:pPr>
            <w:r>
              <w:rPr>
                <w:rFonts w:ascii="Arial" w:cs="Arial" w:eastAsia="Arial" w:hAnsi="Arial"/>
                <w:sz w:val="9"/>
                <w:szCs w:val="9"/>
                <w:b w:val="1"/>
                <w:bCs w:val="1"/>
                <w:color w:val="auto"/>
                <w:w w:val="92"/>
              </w:rPr>
              <w:t>Liquidation Preference</w:t>
            </w:r>
          </w:p>
        </w:tc>
        <w:tc>
          <w:tcPr>
            <w:tcW w:w="1120" w:type="dxa"/>
            <w:vAlign w:val="bottom"/>
            <w:gridSpan w:val="2"/>
          </w:tcPr>
          <w:p>
            <w:pPr>
              <w:jc w:val="center"/>
              <w:spacing w:after="0"/>
              <w:rPr>
                <w:sz w:val="20"/>
                <w:szCs w:val="20"/>
                <w:color w:val="auto"/>
              </w:rPr>
            </w:pPr>
            <w:r>
              <w:rPr>
                <w:rFonts w:ascii="Arial" w:cs="Arial" w:eastAsia="Arial" w:hAnsi="Arial"/>
                <w:sz w:val="9"/>
                <w:szCs w:val="9"/>
                <w:b w:val="1"/>
                <w:bCs w:val="1"/>
                <w:color w:val="auto"/>
              </w:rPr>
              <w:t>Rate</w:t>
            </w:r>
          </w:p>
        </w:tc>
        <w:tc>
          <w:tcPr>
            <w:tcW w:w="1580" w:type="dxa"/>
            <w:vAlign w:val="bottom"/>
            <w:gridSpan w:val="2"/>
            <w:vMerge w:val="continue"/>
          </w:tcPr>
          <w:p>
            <w:pPr>
              <w:spacing w:after="0"/>
              <w:rPr>
                <w:sz w:val="11"/>
                <w:szCs w:val="11"/>
                <w:color w:val="auto"/>
              </w:rPr>
            </w:pPr>
          </w:p>
        </w:tc>
        <w:tc>
          <w:tcPr>
            <w:tcW w:w="1800" w:type="dxa"/>
            <w:vAlign w:val="bottom"/>
          </w:tcPr>
          <w:p>
            <w:pPr>
              <w:jc w:val="center"/>
              <w:spacing w:after="0"/>
              <w:rPr>
                <w:sz w:val="20"/>
                <w:szCs w:val="20"/>
                <w:color w:val="auto"/>
              </w:rPr>
            </w:pPr>
            <w:r>
              <w:rPr>
                <w:rFonts w:ascii="Arial" w:cs="Arial" w:eastAsia="Arial" w:hAnsi="Arial"/>
                <w:sz w:val="9"/>
                <w:szCs w:val="9"/>
                <w:b w:val="1"/>
                <w:bCs w:val="1"/>
                <w:color w:val="auto"/>
                <w:w w:val="92"/>
              </w:rPr>
              <w:t>Rate</w:t>
            </w:r>
          </w:p>
        </w:tc>
        <w:tc>
          <w:tcPr>
            <w:tcW w:w="0" w:type="dxa"/>
            <w:vAlign w:val="bottom"/>
          </w:tcPr>
          <w:p>
            <w:pPr>
              <w:spacing w:after="0"/>
              <w:rPr>
                <w:sz w:val="1"/>
                <w:szCs w:val="1"/>
                <w:color w:val="auto"/>
              </w:rPr>
            </w:pPr>
          </w:p>
        </w:tc>
      </w:tr>
      <w:tr>
        <w:trPr>
          <w:trHeight w:val="115"/>
        </w:trPr>
        <w:tc>
          <w:tcPr>
            <w:tcW w:w="18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9"/>
                <w:szCs w:val="9"/>
                <w:color w:val="auto"/>
              </w:rPr>
              <w:t>Fixed-to-Floating Rate:</w:t>
            </w:r>
          </w:p>
        </w:tc>
        <w:tc>
          <w:tcPr>
            <w:tcW w:w="8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ind w:left="140"/>
              <w:spacing w:after="0"/>
              <w:rPr>
                <w:sz w:val="20"/>
                <w:szCs w:val="20"/>
                <w:color w:val="auto"/>
              </w:rPr>
            </w:pPr>
            <w:r>
              <w:rPr>
                <w:rFonts w:ascii="Arial" w:cs="Arial" w:eastAsia="Arial" w:hAnsi="Arial"/>
                <w:sz w:val="9"/>
                <w:szCs w:val="9"/>
                <w:color w:val="auto"/>
              </w:rPr>
              <w:t>Series C</w:t>
            </w:r>
          </w:p>
        </w:tc>
        <w:tc>
          <w:tcPr>
            <w:tcW w:w="1580" w:type="dxa"/>
            <w:vAlign w:val="bottom"/>
            <w:gridSpan w:val="2"/>
          </w:tcPr>
          <w:p>
            <w:pPr>
              <w:jc w:val="center"/>
              <w:ind w:right="80"/>
              <w:spacing w:after="0"/>
              <w:rPr>
                <w:sz w:val="20"/>
                <w:szCs w:val="20"/>
                <w:color w:val="auto"/>
              </w:rPr>
            </w:pPr>
            <w:r>
              <w:rPr>
                <w:rFonts w:ascii="Arial" w:cs="Arial" w:eastAsia="Arial" w:hAnsi="Arial"/>
                <w:sz w:val="9"/>
                <w:szCs w:val="9"/>
                <w:color w:val="auto"/>
                <w:w w:val="94"/>
              </w:rPr>
              <w:t>August 22, 2017</w:t>
            </w:r>
          </w:p>
        </w:tc>
        <w:tc>
          <w:tcPr>
            <w:tcW w:w="8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13.0</w:t>
            </w:r>
          </w:p>
        </w:tc>
        <w:tc>
          <w:tcPr>
            <w:tcW w:w="80" w:type="dxa"/>
            <w:vAlign w:val="bottom"/>
          </w:tcPr>
          <w:p>
            <w:pPr>
              <w:spacing w:after="0"/>
              <w:rPr>
                <w:sz w:val="10"/>
                <w:szCs w:val="10"/>
                <w:color w:val="auto"/>
              </w:rPr>
            </w:pPr>
          </w:p>
        </w:tc>
        <w:tc>
          <w:tcPr>
            <w:tcW w:w="180" w:type="dxa"/>
            <w:vAlign w:val="bottom"/>
          </w:tcPr>
          <w:p>
            <w:pPr>
              <w:jc w:val="right"/>
              <w:ind w:right="74"/>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9"/>
                <w:szCs w:val="9"/>
                <w:color w:val="auto"/>
              </w:rPr>
              <w:t>315</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9"/>
                <w:szCs w:val="9"/>
                <w:color w:val="auto"/>
              </w:rPr>
              <w:t>325</w:t>
            </w:r>
          </w:p>
        </w:tc>
        <w:tc>
          <w:tcPr>
            <w:tcW w:w="1040" w:type="dxa"/>
            <w:vAlign w:val="bottom"/>
          </w:tcPr>
          <w:p>
            <w:pPr>
              <w:jc w:val="center"/>
              <w:ind w:left="74"/>
              <w:spacing w:after="0"/>
              <w:rPr>
                <w:sz w:val="20"/>
                <w:szCs w:val="20"/>
                <w:color w:val="auto"/>
              </w:rPr>
            </w:pPr>
            <w:r>
              <w:rPr>
                <w:rFonts w:ascii="Arial" w:cs="Arial" w:eastAsia="Arial" w:hAnsi="Arial"/>
                <w:sz w:val="9"/>
                <w:szCs w:val="9"/>
                <w:color w:val="auto"/>
                <w:w w:val="91"/>
              </w:rPr>
              <w:t>7.000%</w:t>
            </w:r>
          </w:p>
        </w:tc>
        <w:tc>
          <w:tcPr>
            <w:tcW w:w="80" w:type="dxa"/>
            <w:vAlign w:val="bottom"/>
          </w:tcPr>
          <w:p>
            <w:pPr>
              <w:spacing w:after="0"/>
              <w:rPr>
                <w:sz w:val="10"/>
                <w:szCs w:val="1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9"/>
                <w:szCs w:val="9"/>
                <w:color w:val="auto"/>
                <w:w w:val="91"/>
              </w:rPr>
              <w:t>October 15, 2022</w:t>
            </w:r>
          </w:p>
        </w:tc>
        <w:tc>
          <w:tcPr>
            <w:tcW w:w="1800" w:type="dxa"/>
            <w:vAlign w:val="bottom"/>
          </w:tcPr>
          <w:p>
            <w:pPr>
              <w:jc w:val="center"/>
              <w:spacing w:after="0"/>
              <w:rPr>
                <w:sz w:val="20"/>
                <w:szCs w:val="20"/>
                <w:color w:val="auto"/>
              </w:rPr>
            </w:pPr>
            <w:r>
              <w:rPr>
                <w:rFonts w:ascii="Arial" w:cs="Arial" w:eastAsia="Arial" w:hAnsi="Arial"/>
                <w:sz w:val="9"/>
                <w:szCs w:val="9"/>
                <w:color w:val="auto"/>
                <w:w w:val="96"/>
              </w:rPr>
              <w:t>3M LIBOR + 5.111%</w:t>
            </w:r>
          </w:p>
        </w:tc>
        <w:tc>
          <w:tcPr>
            <w:tcW w:w="0" w:type="dxa"/>
            <w:vAlign w:val="bottom"/>
          </w:tcPr>
          <w:p>
            <w:pPr>
              <w:spacing w:after="0"/>
              <w:rPr>
                <w:sz w:val="1"/>
                <w:szCs w:val="1"/>
                <w:color w:val="auto"/>
              </w:rPr>
            </w:pPr>
          </w:p>
        </w:tc>
      </w:tr>
      <w:tr>
        <w:trPr>
          <w:trHeight w:val="130"/>
        </w:trPr>
        <w:tc>
          <w:tcPr>
            <w:tcW w:w="19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Series D</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93"/>
              </w:rPr>
              <w:t>March 6, 2019</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9.4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235</w:t>
            </w:r>
          </w:p>
        </w:tc>
        <w:tc>
          <w:tcPr>
            <w:tcW w:w="1040" w:type="dxa"/>
            <w:vAlign w:val="bottom"/>
            <w:shd w:val="clear" w:color="auto" w:fill="CCEEFF"/>
          </w:tcPr>
          <w:p>
            <w:pPr>
              <w:jc w:val="center"/>
              <w:ind w:left="74"/>
              <w:spacing w:after="0"/>
              <w:rPr>
                <w:sz w:val="20"/>
                <w:szCs w:val="20"/>
                <w:color w:val="auto"/>
              </w:rPr>
            </w:pPr>
            <w:r>
              <w:rPr>
                <w:rFonts w:ascii="Arial" w:cs="Arial" w:eastAsia="Arial" w:hAnsi="Arial"/>
                <w:sz w:val="9"/>
                <w:szCs w:val="9"/>
                <w:color w:val="auto"/>
                <w:w w:val="91"/>
              </w:rPr>
              <w:t>6.875%</w:t>
            </w:r>
          </w:p>
        </w:tc>
        <w:tc>
          <w:tcPr>
            <w:tcW w:w="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97"/>
              </w:rPr>
              <w:t>April 15, 2024</w:t>
            </w:r>
          </w:p>
        </w:tc>
        <w:tc>
          <w:tcPr>
            <w:tcW w:w="18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8"/>
              </w:rPr>
              <w:t>3M LIBOR + 4.332%</w:t>
            </w:r>
          </w:p>
        </w:tc>
        <w:tc>
          <w:tcPr>
            <w:tcW w:w="0" w:type="dxa"/>
            <w:vAlign w:val="bottom"/>
          </w:tcPr>
          <w:p>
            <w:pPr>
              <w:spacing w:after="0"/>
              <w:rPr>
                <w:sz w:val="1"/>
                <w:szCs w:val="1"/>
                <w:color w:val="auto"/>
              </w:rPr>
            </w:pPr>
          </w:p>
        </w:tc>
      </w:tr>
      <w:tr>
        <w:trPr>
          <w:trHeight w:val="122"/>
        </w:trPr>
        <w:tc>
          <w:tcPr>
            <w:tcW w:w="1900" w:type="dxa"/>
            <w:vAlign w:val="bottom"/>
            <w:gridSpan w:val="2"/>
          </w:tcPr>
          <w:p>
            <w:pPr>
              <w:ind w:left="140"/>
              <w:spacing w:after="0"/>
              <w:rPr>
                <w:sz w:val="20"/>
                <w:szCs w:val="20"/>
                <w:color w:val="auto"/>
              </w:rPr>
            </w:pPr>
            <w:r>
              <w:rPr>
                <w:rFonts w:ascii="Arial" w:cs="Arial" w:eastAsia="Arial" w:hAnsi="Arial"/>
                <w:sz w:val="9"/>
                <w:szCs w:val="9"/>
                <w:color w:val="auto"/>
              </w:rPr>
              <w:t>Series E</w:t>
            </w:r>
          </w:p>
        </w:tc>
        <w:tc>
          <w:tcPr>
            <w:tcW w:w="1580" w:type="dxa"/>
            <w:vAlign w:val="bottom"/>
            <w:gridSpan w:val="2"/>
          </w:tcPr>
          <w:p>
            <w:pPr>
              <w:jc w:val="center"/>
              <w:ind w:right="100"/>
              <w:spacing w:after="0"/>
              <w:rPr>
                <w:sz w:val="20"/>
                <w:szCs w:val="20"/>
                <w:color w:val="auto"/>
              </w:rPr>
            </w:pPr>
            <w:r>
              <w:rPr>
                <w:rFonts w:ascii="Arial" w:cs="Arial" w:eastAsia="Arial" w:hAnsi="Arial"/>
                <w:sz w:val="9"/>
                <w:szCs w:val="9"/>
                <w:color w:val="auto"/>
                <w:w w:val="92"/>
              </w:rPr>
              <w:t>October 3, 2019</w:t>
            </w:r>
          </w:p>
        </w:tc>
        <w:tc>
          <w:tcPr>
            <w:tcW w:w="8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9"/>
                <w:szCs w:val="9"/>
                <w:color w:val="auto"/>
              </w:rPr>
              <w:t>16.1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390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9"/>
                <w:szCs w:val="9"/>
                <w:color w:val="auto"/>
              </w:rPr>
              <w:t>403</w:t>
            </w:r>
          </w:p>
        </w:tc>
        <w:tc>
          <w:tcPr>
            <w:tcW w:w="1040" w:type="dxa"/>
            <w:vAlign w:val="bottom"/>
          </w:tcPr>
          <w:p>
            <w:pPr>
              <w:jc w:val="center"/>
              <w:ind w:left="74"/>
              <w:spacing w:after="0"/>
              <w:rPr>
                <w:sz w:val="20"/>
                <w:szCs w:val="20"/>
                <w:color w:val="auto"/>
              </w:rPr>
            </w:pPr>
            <w:r>
              <w:rPr>
                <w:rFonts w:ascii="Arial" w:cs="Arial" w:eastAsia="Arial" w:hAnsi="Arial"/>
                <w:sz w:val="9"/>
                <w:szCs w:val="9"/>
                <w:color w:val="auto"/>
                <w:w w:val="91"/>
              </w:rPr>
              <w:t>6.500%</w:t>
            </w:r>
          </w:p>
        </w:tc>
        <w:tc>
          <w:tcPr>
            <w:tcW w:w="80" w:type="dxa"/>
            <w:vAlign w:val="bottom"/>
          </w:tcPr>
          <w:p>
            <w:pPr>
              <w:spacing w:after="0"/>
              <w:rPr>
                <w:sz w:val="10"/>
                <w:szCs w:val="1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9"/>
                <w:szCs w:val="9"/>
                <w:color w:val="auto"/>
                <w:w w:val="91"/>
              </w:rPr>
              <w:t>October 15, 2024</w:t>
            </w:r>
          </w:p>
        </w:tc>
        <w:tc>
          <w:tcPr>
            <w:tcW w:w="1800" w:type="dxa"/>
            <w:vAlign w:val="bottom"/>
          </w:tcPr>
          <w:p>
            <w:pPr>
              <w:jc w:val="center"/>
              <w:spacing w:after="0"/>
              <w:rPr>
                <w:sz w:val="20"/>
                <w:szCs w:val="20"/>
                <w:color w:val="auto"/>
              </w:rPr>
            </w:pPr>
            <w:r>
              <w:rPr>
                <w:rFonts w:ascii="Arial" w:cs="Arial" w:eastAsia="Arial" w:hAnsi="Arial"/>
                <w:sz w:val="9"/>
                <w:szCs w:val="9"/>
                <w:color w:val="auto"/>
                <w:w w:val="98"/>
              </w:rPr>
              <w:t>3M LIBOR + 4.993%</w:t>
            </w:r>
          </w:p>
        </w:tc>
        <w:tc>
          <w:tcPr>
            <w:tcW w:w="0" w:type="dxa"/>
            <w:vAlign w:val="bottom"/>
          </w:tcPr>
          <w:p>
            <w:pPr>
              <w:spacing w:after="0"/>
              <w:rPr>
                <w:sz w:val="1"/>
                <w:szCs w:val="1"/>
                <w:color w:val="auto"/>
              </w:rPr>
            </w:pPr>
          </w:p>
        </w:tc>
      </w:tr>
      <w:tr>
        <w:trPr>
          <w:trHeight w:val="130"/>
        </w:trPr>
        <w:tc>
          <w:tcPr>
            <w:tcW w:w="19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Series F</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w w:val="92"/>
              </w:rPr>
              <w:t>February 11, 2020</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557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575</w:t>
            </w:r>
          </w:p>
        </w:tc>
        <w:tc>
          <w:tcPr>
            <w:tcW w:w="1040" w:type="dxa"/>
            <w:vAlign w:val="bottom"/>
            <w:shd w:val="clear" w:color="auto" w:fill="CCEEFF"/>
          </w:tcPr>
          <w:p>
            <w:pPr>
              <w:jc w:val="center"/>
              <w:ind w:left="74"/>
              <w:spacing w:after="0"/>
              <w:rPr>
                <w:sz w:val="20"/>
                <w:szCs w:val="20"/>
                <w:color w:val="auto"/>
              </w:rPr>
            </w:pPr>
            <w:r>
              <w:rPr>
                <w:rFonts w:ascii="Arial" w:cs="Arial" w:eastAsia="Arial" w:hAnsi="Arial"/>
                <w:sz w:val="9"/>
                <w:szCs w:val="9"/>
                <w:color w:val="auto"/>
                <w:w w:val="91"/>
              </w:rPr>
              <w:t>6.125%</w:t>
            </w:r>
          </w:p>
        </w:tc>
        <w:tc>
          <w:tcPr>
            <w:tcW w:w="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97"/>
              </w:rPr>
              <w:t>April 15, 2025</w:t>
            </w:r>
          </w:p>
        </w:tc>
        <w:tc>
          <w:tcPr>
            <w:tcW w:w="18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8"/>
              </w:rPr>
              <w:t>3M LIBOR + 4.697%</w:t>
            </w:r>
          </w:p>
        </w:tc>
        <w:tc>
          <w:tcPr>
            <w:tcW w:w="0" w:type="dxa"/>
            <w:vAlign w:val="bottom"/>
          </w:tcPr>
          <w:p>
            <w:pPr>
              <w:spacing w:after="0"/>
              <w:rPr>
                <w:sz w:val="1"/>
                <w:szCs w:val="1"/>
                <w:color w:val="auto"/>
              </w:rPr>
            </w:pPr>
          </w:p>
        </w:tc>
      </w:tr>
      <w:tr>
        <w:trPr>
          <w:trHeight w:val="122"/>
        </w:trPr>
        <w:tc>
          <w:tcPr>
            <w:tcW w:w="1900" w:type="dxa"/>
            <w:vAlign w:val="bottom"/>
            <w:gridSpan w:val="2"/>
          </w:tcPr>
          <w:p>
            <w:pPr>
              <w:ind w:left="40"/>
              <w:spacing w:after="0"/>
              <w:rPr>
                <w:sz w:val="20"/>
                <w:szCs w:val="20"/>
                <w:color w:val="auto"/>
              </w:rPr>
            </w:pPr>
            <w:r>
              <w:rPr>
                <w:rFonts w:ascii="Arial" w:cs="Arial" w:eastAsia="Arial" w:hAnsi="Arial"/>
                <w:sz w:val="9"/>
                <w:szCs w:val="9"/>
                <w:color w:val="auto"/>
              </w:rPr>
              <w:t>Fixed-Rate-Reset:</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Series G</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90"/>
              </w:rPr>
              <w:t>September 14, 2022</w:t>
            </w:r>
          </w:p>
        </w:tc>
        <w:tc>
          <w:tcPr>
            <w:tcW w:w="80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145</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150</w:t>
            </w:r>
          </w:p>
        </w:tc>
        <w:tc>
          <w:tcPr>
            <w:tcW w:w="1040" w:type="dxa"/>
            <w:vAlign w:val="bottom"/>
            <w:shd w:val="clear" w:color="auto" w:fill="CCEEFF"/>
          </w:tcPr>
          <w:p>
            <w:pPr>
              <w:jc w:val="center"/>
              <w:ind w:left="74"/>
              <w:spacing w:after="0"/>
              <w:rPr>
                <w:sz w:val="20"/>
                <w:szCs w:val="20"/>
                <w:color w:val="auto"/>
              </w:rPr>
            </w:pPr>
            <w:r>
              <w:rPr>
                <w:rFonts w:ascii="Arial" w:cs="Arial" w:eastAsia="Arial" w:hAnsi="Arial"/>
                <w:sz w:val="9"/>
                <w:szCs w:val="9"/>
                <w:color w:val="auto"/>
                <w:w w:val="91"/>
              </w:rPr>
              <w:t>7.750%</w:t>
            </w:r>
          </w:p>
        </w:tc>
        <w:tc>
          <w:tcPr>
            <w:tcW w:w="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w w:val="91"/>
              </w:rPr>
              <w:t>October 15, 2027</w:t>
            </w:r>
          </w:p>
        </w:tc>
        <w:tc>
          <w:tcPr>
            <w:tcW w:w="18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5 YR US Treasury Rate + 4.39%</w:t>
            </w:r>
          </w:p>
        </w:tc>
        <w:tc>
          <w:tcPr>
            <w:tcW w:w="0" w:type="dxa"/>
            <w:vAlign w:val="bottom"/>
          </w:tcPr>
          <w:p>
            <w:pPr>
              <w:spacing w:after="0"/>
              <w:rPr>
                <w:sz w:val="1"/>
                <w:szCs w:val="1"/>
                <w:color w:val="auto"/>
              </w:rPr>
            </w:pPr>
          </w:p>
        </w:tc>
      </w:tr>
      <w:tr>
        <w:trPr>
          <w:trHeight w:val="111"/>
        </w:trPr>
        <w:tc>
          <w:tcPr>
            <w:tcW w:w="1900" w:type="dxa"/>
            <w:vAlign w:val="bottom"/>
            <w:gridSpan w:val="2"/>
          </w:tcPr>
          <w:p>
            <w:pPr>
              <w:ind w:left="140"/>
              <w:spacing w:after="0"/>
              <w:rPr>
                <w:sz w:val="20"/>
                <w:szCs w:val="20"/>
                <w:color w:val="auto"/>
              </w:rPr>
            </w:pPr>
            <w:r>
              <w:rPr>
                <w:rFonts w:ascii="Arial" w:cs="Arial" w:eastAsia="Arial" w:hAnsi="Arial"/>
                <w:sz w:val="9"/>
                <w:szCs w:val="9"/>
                <w:color w:val="auto"/>
              </w:rPr>
              <w:t>Total</w:t>
            </w: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67.5</w:t>
            </w:r>
          </w:p>
        </w:tc>
        <w:tc>
          <w:tcPr>
            <w:tcW w:w="80" w:type="dxa"/>
            <w:vAlign w:val="bottom"/>
          </w:tcPr>
          <w:p>
            <w:pPr>
              <w:spacing w:after="0"/>
              <w:rPr>
                <w:sz w:val="9"/>
                <w:szCs w:val="9"/>
                <w:color w:val="auto"/>
              </w:rPr>
            </w:pPr>
          </w:p>
        </w:tc>
        <w:tc>
          <w:tcPr>
            <w:tcW w:w="180" w:type="dxa"/>
            <w:vAlign w:val="bottom"/>
            <w:tcBorders>
              <w:bottom w:val="single" w:sz="8" w:color="auto"/>
            </w:tcBorders>
          </w:tcPr>
          <w:p>
            <w:pPr>
              <w:jc w:val="right"/>
              <w:ind w:right="74"/>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1,634</w:t>
            </w: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1,688</w:t>
            </w: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3"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0"/>
          <w:szCs w:val="10"/>
          <w:color w:val="auto"/>
        </w:rPr>
      </w:pPr>
      <w:r>
        <w:rPr>
          <w:rFonts w:ascii="Arial" w:cs="Arial" w:eastAsia="Arial" w:hAnsi="Arial"/>
          <w:sz w:val="10"/>
          <w:szCs w:val="10"/>
          <w:color w:val="auto"/>
        </w:rPr>
        <w:t>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420" w:hanging="212"/>
        <w:spacing w:after="0"/>
        <w:tabs>
          <w:tab w:leader="none" w:pos="420" w:val="left"/>
        </w:tabs>
        <w:numPr>
          <w:ilvl w:val="0"/>
          <w:numId w:val="18"/>
        </w:numPr>
        <w:rPr>
          <w:rFonts w:ascii="Arial" w:cs="Arial" w:eastAsia="Arial" w:hAnsi="Arial"/>
          <w:sz w:val="10"/>
          <w:szCs w:val="10"/>
          <w:color w:val="auto"/>
        </w:rPr>
      </w:pPr>
      <w:r>
        <w:rPr>
          <w:rFonts w:ascii="Arial" w:cs="Arial" w:eastAsia="Arial" w:hAnsi="Arial"/>
          <w:sz w:val="10"/>
          <w:szCs w:val="10"/>
          <w:color w:val="auto"/>
        </w:rPr>
        <w:t>Shares may be redeemed prior to our optional redemption date under certain circumstances intended to preserve our qualification as a REIT for U.S federal income tax purposes.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Offering Program</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and nine months ended September 30, 2022, we sold 28.6 million and 32.7 million shares, respectively, of our common stock under the sales agreements for proceeds of $289 million and $339 million, respectively, or $10.10 and $10.36 per common share, respectively, net of offering costs. As of September 30, 2022, shares of our common stock with an aggregate offering price of $0.9 billion remained authorized for issuance under this program through June 11, 2024.</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Repurchase Program</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During the nine months ended September 30, 2022, we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86" w:right="299" w:bottom="1440" w:gutter="0" w:footer="0" w:header="0"/>
        </w:sectPr>
      </w:pPr>
    </w:p>
    <w:bookmarkStart w:id="25" w:name="page26"/>
    <w:bookmarkEnd w:id="25"/>
    <w:p>
      <w:pPr>
        <w:jc w:val="both"/>
        <w:ind w:right="20"/>
        <w:spacing w:after="0" w:line="323" w:lineRule="auto"/>
        <w:rPr>
          <w:sz w:val="20"/>
          <w:szCs w:val="20"/>
          <w:color w:val="auto"/>
        </w:rPr>
      </w:pPr>
      <w:r>
        <w:rPr>
          <w:rFonts w:ascii="Arial" w:cs="Arial" w:eastAsia="Arial" w:hAnsi="Arial"/>
          <w:sz w:val="11"/>
          <w:szCs w:val="11"/>
          <w:color w:val="auto"/>
        </w:rPr>
        <w:t>repurchased 4.7 million shares, or $51 million, of our common stock for an average repurchase price of $10.78 per common share, inclusive of transaction costs. As of September 30, 2022, shares of our common stock with an aggregate repurchase price of $0.9 billion remained authorized for repurchase through December 31, 2022. (See Note 11. Subsequent Event for additional information regarding our stock repurchase plan.)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Income (Loss)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changes to accumulated OCI for the three and nine months ended September 30, 2022 and 2021 (in millions):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7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6"/>
              </w:rPr>
              <w:t>Three Months Ended September 30,</w:t>
            </w:r>
          </w:p>
        </w:tc>
        <w:tc>
          <w:tcPr>
            <w:tcW w:w="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w w:val="89"/>
              </w:rPr>
              <w:t>Nine Months Ended September 30,</w:t>
            </w:r>
          </w:p>
        </w:tc>
      </w:tr>
      <w:tr>
        <w:trPr>
          <w:trHeight w:val="129"/>
        </w:trPr>
        <w:tc>
          <w:tcPr>
            <w:tcW w:w="7400" w:type="dxa"/>
            <w:vAlign w:val="bottom"/>
            <w:gridSpan w:val="2"/>
          </w:tcPr>
          <w:p>
            <w:pPr>
              <w:ind w:left="20"/>
              <w:spacing w:after="0"/>
              <w:rPr>
                <w:sz w:val="20"/>
                <w:szCs w:val="20"/>
                <w:color w:val="auto"/>
              </w:rPr>
            </w:pPr>
            <w:r>
              <w:rPr>
                <w:rFonts w:ascii="Arial" w:cs="Arial" w:eastAsia="Arial" w:hAnsi="Arial"/>
                <w:sz w:val="10"/>
                <w:szCs w:val="10"/>
                <w:b w:val="1"/>
                <w:bCs w:val="1"/>
                <w:color w:val="auto"/>
              </w:rPr>
              <w:t>Accumulated Other Comprehensive Income (Loss)</w:t>
            </w:r>
          </w:p>
        </w:tc>
        <w:tc>
          <w:tcPr>
            <w:tcW w:w="600" w:type="dxa"/>
            <w:vAlign w:val="bottom"/>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312"/>
              <w:spacing w:after="0"/>
              <w:rPr>
                <w:sz w:val="20"/>
                <w:szCs w:val="20"/>
                <w:color w:val="auto"/>
              </w:rPr>
            </w:pPr>
            <w:r>
              <w:rPr>
                <w:rFonts w:ascii="Arial" w:cs="Arial" w:eastAsia="Arial" w:hAnsi="Arial"/>
                <w:sz w:val="10"/>
                <w:szCs w:val="10"/>
                <w:b w:val="1"/>
                <w:bCs w:val="1"/>
                <w:color w:val="auto"/>
              </w:rPr>
              <w:t>2021</w:t>
            </w:r>
          </w:p>
        </w:tc>
      </w:tr>
      <w:tr>
        <w:trPr>
          <w:trHeight w:val="124"/>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Beginning Balance</w:t>
            </w:r>
          </w:p>
        </w:tc>
        <w:tc>
          <w:tcPr>
            <w:tcW w:w="80" w:type="dxa"/>
            <w:vAlign w:val="bottom"/>
          </w:tcPr>
          <w:p>
            <w:pPr>
              <w:spacing w:after="0"/>
              <w:rPr>
                <w:sz w:val="10"/>
                <w:szCs w:val="10"/>
                <w:color w:val="auto"/>
              </w:rPr>
            </w:pPr>
          </w:p>
        </w:tc>
        <w:tc>
          <w:tcPr>
            <w:tcW w:w="600" w:type="dxa"/>
            <w:vAlign w:val="bottom"/>
            <w:tcBorders>
              <w:top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(435)</w:t>
            </w:r>
          </w:p>
        </w:tc>
        <w:tc>
          <w:tcPr>
            <w:tcW w:w="60" w:type="dxa"/>
            <w:vAlign w:val="bottom"/>
          </w:tcPr>
          <w:p>
            <w:pPr>
              <w:spacing w:after="0"/>
              <w:rPr>
                <w:sz w:val="10"/>
                <w:szCs w:val="10"/>
                <w:color w:val="auto"/>
              </w:rPr>
            </w:pPr>
          </w:p>
        </w:tc>
        <w:tc>
          <w:tcPr>
            <w:tcW w:w="720" w:type="dxa"/>
            <w:vAlign w:val="bottom"/>
            <w:tcBorders>
              <w:top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405</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301</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136"/>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0"/>
                <w:szCs w:val="10"/>
                <w:color w:val="auto"/>
              </w:rPr>
              <w:t>719</w:t>
            </w:r>
          </w:p>
        </w:tc>
      </w:tr>
      <w:tr>
        <w:trPr>
          <w:trHeight w:val="141"/>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OCI before reclassifications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w:t>
            </w:r>
          </w:p>
        </w:tc>
      </w:tr>
      <w:tr>
        <w:trPr>
          <w:trHeight w:val="128"/>
        </w:trPr>
        <w:tc>
          <w:tcPr>
            <w:tcW w:w="7400" w:type="dxa"/>
            <w:vAlign w:val="bottom"/>
            <w:gridSpan w:val="2"/>
          </w:tcPr>
          <w:p>
            <w:pPr>
              <w:ind w:left="120"/>
              <w:spacing w:after="0"/>
              <w:rPr>
                <w:sz w:val="20"/>
                <w:szCs w:val="20"/>
                <w:color w:val="auto"/>
              </w:rPr>
            </w:pPr>
            <w:r>
              <w:rPr>
                <w:rFonts w:ascii="Arial" w:cs="Arial" w:eastAsia="Arial" w:hAnsi="Arial"/>
                <w:sz w:val="10"/>
                <w:szCs w:val="10"/>
                <w:color w:val="auto"/>
              </w:rPr>
              <w:t>Net loss amounts for available-for-sale securities reclassified from accumulated OCI to realized gain (loss) on sale of investment securities, net</w:t>
            </w:r>
          </w:p>
        </w:tc>
        <w:tc>
          <w:tcPr>
            <w:tcW w:w="60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500"/>
              <w:spacing w:after="0"/>
              <w:rPr>
                <w:sz w:val="20"/>
                <w:szCs w:val="20"/>
                <w:color w:val="auto"/>
              </w:rPr>
            </w:pPr>
            <w:r>
              <w:rPr>
                <w:rFonts w:ascii="Arial" w:cs="Arial" w:eastAsia="Arial" w:hAnsi="Arial"/>
                <w:sz w:val="10"/>
                <w:szCs w:val="10"/>
                <w:color w:val="auto"/>
              </w:rPr>
              <w:t>(36)</w:t>
            </w:r>
          </w:p>
        </w:tc>
      </w:tr>
      <w:tr>
        <w:trPr>
          <w:trHeight w:val="147"/>
        </w:trPr>
        <w:tc>
          <w:tcPr>
            <w:tcW w:w="7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Ending Balance</w:t>
            </w: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411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0"/>
                <w:szCs w:val="10"/>
                <w:color w:val="auto"/>
              </w:rPr>
              <w:t>411</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Subsequent Event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Repurchase Program</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During October 2022, our Board of Directors terminated our existing stock repurchase plan (see Note 10. Stockholders' Equity) that was due to expire on December 31, 2022 and replaced it with a new plan authorizing us to repurchase up to $1 billion of common stock through December 31, 2024. Under the new plan, we may repurchase shares in the open market or through privately negotiated transactions or pursuant to a trading plan that may be adopted in accordance with Rule 10b5-1 of the Exchange Act. Our stock repurchase program may be limited or terminated at any time without prior notice. We intend to repurchase shares under the stock repurchase program only when the repurchase price is less than our then-current estimate of tangible net book value per common share.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8"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11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2022. Our MD&amp;A is presented in the following sections:</w:t>
      </w:r>
    </w:p>
    <w:p>
      <w:pPr>
        <w:spacing w:after="0" w:line="41"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Executive Overview</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Financial Condition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Results of Operations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Liquidity and Capital Resources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Off-Balance Sheet Arrangements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OVERVIEW</w:t>
      </w:r>
    </w:p>
    <w:p>
      <w:pPr>
        <w:spacing w:after="0" w:line="11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2"/>
          <w:szCs w:val="12"/>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92"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8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and Recent Market Impacts</w:t>
      </w:r>
    </w:p>
    <w:p>
      <w:pPr>
        <w:spacing w:after="0" w:line="118"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color w:val="auto"/>
        </w:rPr>
        <w:t>Financial markets experienced broad-based weakness in the third quarter of 2022. Macroeconomic and monetary policy uncertainty both domestically and abroad intensified, leading to a sharp decline in investor sentiment and a significant repricing in the fixed income markets. For the third quarter, the unlevered Bloomberg Aggregate Bond Index declined -4.75%, representing a year-to-date decline of -14.6%. As the most liquid spread product within the fixed income spectrum, Agency RMBS often face greater selling pressure than other asset classes further down the liquidity and credit spectrum in the early stages of market downturns as investors seek to convert their holdings to cash. This dynamic caused Agency RMBS to significantly underperform interest rate hedges and other fixed income products in the third quarter and was the primary driver of AGNC’s economic loss on tangible net book value per common share of -17.4 % for the quarter (or -35.5% year-to-date) comprised of dividends declared and the decline in tangible net book value per common share.</w:t>
      </w:r>
    </w:p>
    <w:p>
      <w:pPr>
        <w:spacing w:after="0" w:line="7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2"/>
          <w:szCs w:val="12"/>
          <w:color w:val="auto"/>
        </w:rPr>
        <w:t>As a result of these challenging market conditions, we continued to prioritize risk management and a strong liquidity position in the third quarter. We mitigated our interest rate exposure during the quarter with a hedge portfolio totaling 118% of the outstanding balance of our Agency repurchase agreements, net TBA position and other debt as of September 30, 2022. Further, we operated with a reduced “at-risk” leverage position, as compared to historical operating levels, averaging 8.1x tangible stockholders’ equity for the third quarter. As of September 30, 2022, our unencumbered assets totaled $3.7 billion, or 56% of tangible equity, consisting of $3.6 billion of unencumbered cash and Agency RMBS and $0.1 billion of unencumbered credit assets. Additionally, during the third quarter, we opportunistically issued approximately $290 million of common equity through our at-the-market offering program and $150 million of fixed-rate reset preferred equity.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0" w:right="299" w:bottom="1440" w:gutter="0" w:footer="0" w:header="0"/>
        </w:sectPr>
      </w:pPr>
    </w:p>
    <w:bookmarkStart w:id="27" w:name="page28"/>
    <w:bookmarkEnd w:id="27"/>
    <w:p>
      <w:pPr>
        <w:jc w:val="both"/>
        <w:ind w:firstLine="270"/>
        <w:spacing w:after="0" w:line="263" w:lineRule="auto"/>
        <w:rPr>
          <w:sz w:val="20"/>
          <w:szCs w:val="20"/>
          <w:color w:val="auto"/>
        </w:rPr>
      </w:pPr>
      <w:r>
        <w:rPr>
          <w:rFonts w:ascii="Arial" w:cs="Arial" w:eastAsia="Arial" w:hAnsi="Arial"/>
          <w:sz w:val="12"/>
          <w:szCs w:val="12"/>
          <w:color w:val="auto"/>
        </w:rPr>
        <w:t>AGNC generated strong net spread and dollar roll income during the first three quarters of the year. Excluding “catch-up” amortization, net spread and dollar roll income increased to $0.84 and $2.38 per common share for the three and nine months ended September 30, 2022, respectively, from $0.75 and $2.27 per common share for the comparable prior year period, respectively, as higher asset yields and our large pay-fixed/receive-variable interest rate swap portfolio more than offset rising repo funding costs and moderating TBA dollar roll income.</w:t>
      </w:r>
    </w:p>
    <w:p>
      <w:pPr>
        <w:spacing w:after="0" w:line="86"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2"/>
          <w:szCs w:val="12"/>
          <w:color w:val="auto"/>
        </w:rPr>
        <w:t>Looking ahead, the longer-term outlook for Agency RMBS has improved substantially. Although Agency RMBS spreads relative to benchmark interest rates could potentially widen further, the historic move in these spreads that has already occurred, coupled with positive developments in the supply and demand outlook for Agency RMBS, suggest that this recent period of weakness in the Agency RMBS market may be nearing its end. Importantly, although the Federal Reserve has begun to reduce its portfolio through prepayments, the pace of this runoff is expected to be materially slower than previously anticipated as a result of significantly higher mortgage rates. At current valuation levels, we believe that Agency RMBS are extremely attractive on both an absolute and relative basis and that AGNC is well-positioned to take advantage of this historically favorable risk-adjusted return environment as overall financial market volatility and uncertainty subside.</w:t>
      </w:r>
    </w:p>
    <w:p>
      <w:pPr>
        <w:spacing w:after="0" w:line="92"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 xml:space="preserve">For information regarding non-GAAP financial measures, including reconciliations to the most comparable GAAP measure please refer to Results of Operations included in this MD&amp;A below. For further discussion regarding the sensitivity of our tangible net book value to changes in interest rates and mortgage spreads, please refer to Item 3. </w:t>
      </w:r>
      <w:r>
        <w:rPr>
          <w:rFonts w:ascii="Arial" w:cs="Arial" w:eastAsia="Arial" w:hAnsi="Arial"/>
          <w:sz w:val="11"/>
          <w:szCs w:val="11"/>
          <w:i w:val="1"/>
          <w:iCs w:val="1"/>
          <w:color w:val="auto"/>
        </w:rPr>
        <w:t>Quantitative and Qualitative Disclosures about Market Risk</w:t>
      </w:r>
      <w:r>
        <w:rPr>
          <w:rFonts w:ascii="Arial" w:cs="Arial" w:eastAsia="Arial" w:hAnsi="Arial"/>
          <w:sz w:val="11"/>
          <w:szCs w:val="11"/>
          <w:color w:val="auto"/>
        </w:rPr>
        <w:t xml:space="preserve"> in this form 10-Q.</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Information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benchmark interest rates and prices of generic fixed rate Agency RMBS as of each date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84"/>
              </w:rPr>
              <w:t>Sept. 30, 2022</w:t>
            </w:r>
          </w:p>
        </w:tc>
        <w:tc>
          <w:tcPr>
            <w:tcW w:w="11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4"/>
              </w:rPr>
              <w:t>Sept. 30, 2022</w:t>
            </w:r>
          </w:p>
        </w:tc>
        <w:tc>
          <w:tcPr>
            <w:tcW w:w="0" w:type="dxa"/>
            <w:vAlign w:val="bottom"/>
          </w:tcPr>
          <w:p>
            <w:pPr>
              <w:spacing w:after="0"/>
              <w:rPr>
                <w:sz w:val="1"/>
                <w:szCs w:val="1"/>
                <w:color w:val="auto"/>
              </w:rPr>
            </w:pPr>
          </w:p>
        </w:tc>
      </w:tr>
      <w:tr>
        <w:trPr>
          <w:trHeight w:val="95"/>
        </w:trPr>
        <w:tc>
          <w:tcPr>
            <w:tcW w:w="4260" w:type="dxa"/>
            <w:vAlign w:val="bottom"/>
            <w:gridSpan w:val="2"/>
            <w:vMerge w:val="restart"/>
          </w:tcPr>
          <w:p>
            <w:pPr>
              <w:ind w:left="1460"/>
              <w:spacing w:after="0"/>
              <w:rPr>
                <w:sz w:val="20"/>
                <w:szCs w:val="20"/>
                <w:color w:val="auto"/>
              </w:rPr>
            </w:pPr>
            <w:r>
              <w:rPr>
                <w:rFonts w:ascii="Arial" w:cs="Arial" w:eastAsia="Arial" w:hAnsi="Arial"/>
                <w:sz w:val="10"/>
                <w:szCs w:val="10"/>
                <w:b w:val="1"/>
                <w:bCs w:val="1"/>
                <w:color w:val="auto"/>
              </w:rPr>
              <w:t xml:space="preserve">Interest Rate/Security Price </w:t>
            </w:r>
            <w:r>
              <w:rPr>
                <w:rFonts w:ascii="Arial" w:cs="Arial" w:eastAsia="Arial" w:hAnsi="Arial"/>
                <w:sz w:val="12"/>
                <w:szCs w:val="12"/>
                <w:b w:val="1"/>
                <w:bCs w:val="1"/>
                <w:color w:val="auto"/>
                <w:vertAlign w:val="superscript"/>
              </w:rPr>
              <w:t>1</w:t>
            </w:r>
          </w:p>
        </w:tc>
        <w:tc>
          <w:tcPr>
            <w:tcW w:w="9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Sept. 30, 2021</w:t>
            </w:r>
          </w:p>
        </w:tc>
        <w:tc>
          <w:tcPr>
            <w:tcW w:w="9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Dec. 31, 2021</w:t>
            </w:r>
          </w:p>
        </w:tc>
        <w:tc>
          <w:tcPr>
            <w:tcW w:w="9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Mar. 31, 2022</w:t>
            </w:r>
          </w:p>
        </w:tc>
        <w:tc>
          <w:tcPr>
            <w:tcW w:w="90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June 30, 2022</w:t>
            </w:r>
          </w:p>
        </w:tc>
        <w:tc>
          <w:tcPr>
            <w:tcW w:w="9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Sept. 30, 2022</w:t>
            </w:r>
          </w:p>
        </w:tc>
        <w:tc>
          <w:tcPr>
            <w:tcW w:w="540" w:type="dxa"/>
            <w:vAlign w:val="bottom"/>
          </w:tcPr>
          <w:p>
            <w:pPr>
              <w:spacing w:after="0"/>
              <w:rPr>
                <w:sz w:val="8"/>
                <w:szCs w:val="8"/>
                <w:color w:val="auto"/>
              </w:rPr>
            </w:pPr>
          </w:p>
        </w:tc>
        <w:tc>
          <w:tcPr>
            <w:tcW w:w="760" w:type="dxa"/>
            <w:vAlign w:val="bottom"/>
            <w:gridSpan w:val="2"/>
          </w:tcPr>
          <w:p>
            <w:pPr>
              <w:jc w:val="center"/>
              <w:ind w:right="680"/>
              <w:spacing w:after="0" w:line="96" w:lineRule="exact"/>
              <w:rPr>
                <w:sz w:val="20"/>
                <w:szCs w:val="20"/>
                <w:color w:val="auto"/>
              </w:rPr>
            </w:pPr>
            <w:r>
              <w:rPr>
                <w:rFonts w:ascii="Arial" w:cs="Arial" w:eastAsia="Arial" w:hAnsi="Arial"/>
                <w:sz w:val="10"/>
                <w:szCs w:val="10"/>
                <w:b w:val="1"/>
                <w:bCs w:val="1"/>
                <w:color w:val="auto"/>
                <w:w w:val="71"/>
              </w:rPr>
              <w:t>vs</w:t>
            </w:r>
          </w:p>
        </w:tc>
        <w:tc>
          <w:tcPr>
            <w:tcW w:w="540" w:type="dxa"/>
            <w:vAlign w:val="bottom"/>
          </w:tcPr>
          <w:p>
            <w:pPr>
              <w:spacing w:after="0"/>
              <w:rPr>
                <w:sz w:val="8"/>
                <w:szCs w:val="8"/>
                <w:color w:val="auto"/>
              </w:rPr>
            </w:pPr>
          </w:p>
        </w:tc>
        <w:tc>
          <w:tcPr>
            <w:tcW w:w="620" w:type="dxa"/>
            <w:vAlign w:val="bottom"/>
          </w:tcPr>
          <w:p>
            <w:pPr>
              <w:jc w:val="center"/>
              <w:ind w:right="492"/>
              <w:spacing w:after="0" w:line="96" w:lineRule="exact"/>
              <w:rPr>
                <w:sz w:val="20"/>
                <w:szCs w:val="20"/>
                <w:color w:val="auto"/>
              </w:rPr>
            </w:pPr>
            <w:r>
              <w:rPr>
                <w:rFonts w:ascii="Arial" w:cs="Arial" w:eastAsia="Arial" w:hAnsi="Arial"/>
                <w:sz w:val="10"/>
                <w:szCs w:val="10"/>
                <w:b w:val="1"/>
                <w:bCs w:val="1"/>
                <w:color w:val="auto"/>
                <w:w w:val="71"/>
              </w:rPr>
              <w:t>vs</w:t>
            </w:r>
          </w:p>
        </w:tc>
        <w:tc>
          <w:tcPr>
            <w:tcW w:w="0" w:type="dxa"/>
            <w:vAlign w:val="bottom"/>
          </w:tcPr>
          <w:p>
            <w:pPr>
              <w:spacing w:after="0"/>
              <w:rPr>
                <w:sz w:val="1"/>
                <w:szCs w:val="1"/>
                <w:color w:val="auto"/>
              </w:rPr>
            </w:pPr>
          </w:p>
        </w:tc>
      </w:tr>
      <w:tr>
        <w:trPr>
          <w:trHeight w:val="135"/>
        </w:trPr>
        <w:tc>
          <w:tcPr>
            <w:tcW w:w="42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86"/>
              </w:rPr>
              <w:t>June 30, 2022</w:t>
            </w:r>
          </w:p>
        </w:tc>
        <w:tc>
          <w:tcPr>
            <w:tcW w:w="11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2"/>
              </w:rPr>
              <w:t>Dec. 31, 2021</w:t>
            </w:r>
          </w:p>
        </w:tc>
        <w:tc>
          <w:tcPr>
            <w:tcW w:w="0" w:type="dxa"/>
            <w:vAlign w:val="bottom"/>
          </w:tcPr>
          <w:p>
            <w:pPr>
              <w:spacing w:after="0"/>
              <w:rPr>
                <w:sz w:val="1"/>
                <w:szCs w:val="1"/>
                <w:color w:val="auto"/>
              </w:rPr>
            </w:pPr>
          </w:p>
        </w:tc>
      </w:tr>
      <w:tr>
        <w:trPr>
          <w:trHeight w:val="124"/>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Target Federal Funds Rate:</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Target Federal Funds Rate - Upper Band</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0.25%</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0.25%</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0.50%</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1.75%</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3.25%</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+150</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+300</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SOFR:</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SOFR Rate</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0.05%</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0.05%</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0.29%</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1.50%</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2.98%</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+148</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+293</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SOFR Interest Rate Swap Rate:</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2-Year Swap</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0.24%</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0.74%</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2.28%</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2.99%</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4.25%</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+126</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+351</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5-Year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0.83%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1.12%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2.25%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2.79%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3.85%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w:t>
            </w:r>
          </w:p>
        </w:tc>
        <w:tc>
          <w:tcPr>
            <w:tcW w:w="620" w:type="dxa"/>
            <w:vAlign w:val="bottom"/>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10-Year Swap</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1.26%</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1.32%</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2.13%</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2.81%</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3.59%</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+78</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+227</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30-Year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1.52%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1.46%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1.97%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2.66%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3.07%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w:t>
            </w:r>
          </w:p>
        </w:tc>
        <w:tc>
          <w:tcPr>
            <w:tcW w:w="620" w:type="dxa"/>
            <w:vAlign w:val="bottom"/>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29"/>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U.S. Treasury Security Rate:</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2-Year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0.28%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0.73%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2.34%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2.96%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4.28%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w:t>
            </w:r>
          </w:p>
        </w:tc>
        <w:tc>
          <w:tcPr>
            <w:tcW w:w="620" w:type="dxa"/>
            <w:vAlign w:val="bottom"/>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5-Year U.S. Treasury</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0.97%</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1.26%</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2.46%</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3.04%</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4.09%</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+105</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+283</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10-Year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1.49%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1.51%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2.34%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3.02%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3.83%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620" w:type="dxa"/>
            <w:vAlign w:val="bottom"/>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30-Year U.S. Treasury</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2.05%</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1.90%</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2.45%</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3.19%</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3.78%</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+59</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+188</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30-Year Fixed Rate Agency Price:</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20" w:type="dxa"/>
            <w:vAlign w:val="bottom"/>
          </w:tcPr>
          <w:p>
            <w:pPr>
              <w:ind w:left="120"/>
              <w:spacing w:after="0"/>
              <w:rPr>
                <w:sz w:val="20"/>
                <w:szCs w:val="20"/>
                <w:color w:val="auto"/>
              </w:rPr>
            </w:pPr>
            <w:r>
              <w:rPr>
                <w:rFonts w:ascii="Arial" w:cs="Arial" w:eastAsia="Arial" w:hAnsi="Arial"/>
                <w:sz w:val="10"/>
                <w:szCs w:val="10"/>
                <w:color w:val="auto"/>
              </w:rPr>
              <w:t>2.0%</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8"/>
              </w:rPr>
              <w:t>$100.21</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$99.79</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$92.84</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$86.96</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$80.91</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-$6.05</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2"/>
              </w:rPr>
              <w:t>-$18.88</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2.5%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$103.04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$102.12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$95.45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$90.09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$83.94</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-$6.15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2"/>
              </w:rPr>
              <w:t>-$18.18</w:t>
            </w:r>
          </w:p>
        </w:tc>
        <w:tc>
          <w:tcPr>
            <w:tcW w:w="0" w:type="dxa"/>
            <w:vAlign w:val="bottom"/>
          </w:tcPr>
          <w:p>
            <w:pPr>
              <w:spacing w:after="0"/>
              <w:rPr>
                <w:sz w:val="1"/>
                <w:szCs w:val="1"/>
                <w:color w:val="auto"/>
              </w:rPr>
            </w:pPr>
          </w:p>
        </w:tc>
      </w:tr>
      <w:tr>
        <w:trPr>
          <w:trHeight w:val="128"/>
        </w:trPr>
        <w:tc>
          <w:tcPr>
            <w:tcW w:w="4120" w:type="dxa"/>
            <w:vAlign w:val="bottom"/>
          </w:tcPr>
          <w:p>
            <w:pPr>
              <w:ind w:left="120"/>
              <w:spacing w:after="0"/>
              <w:rPr>
                <w:sz w:val="20"/>
                <w:szCs w:val="20"/>
                <w:color w:val="auto"/>
              </w:rPr>
            </w:pPr>
            <w:r>
              <w:rPr>
                <w:rFonts w:ascii="Arial" w:cs="Arial" w:eastAsia="Arial" w:hAnsi="Arial"/>
                <w:sz w:val="10"/>
                <w:szCs w:val="10"/>
                <w:color w:val="auto"/>
              </w:rPr>
              <w:t>3.0%</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8"/>
              </w:rPr>
              <w:t>$104.61</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$103.68</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$97.86</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$93.27</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$86.97</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-$6.30</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2"/>
              </w:rPr>
              <w:t>-$16.71</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3.5%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$105.80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$105.32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$100.21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$96.29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$89.95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-$6.34</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2"/>
              </w:rPr>
              <w:t>-$15.37</w:t>
            </w:r>
          </w:p>
        </w:tc>
        <w:tc>
          <w:tcPr>
            <w:tcW w:w="0" w:type="dxa"/>
            <w:vAlign w:val="bottom"/>
          </w:tcPr>
          <w:p>
            <w:pPr>
              <w:spacing w:after="0"/>
              <w:rPr>
                <w:sz w:val="1"/>
                <w:szCs w:val="1"/>
                <w:color w:val="auto"/>
              </w:rPr>
            </w:pPr>
          </w:p>
        </w:tc>
      </w:tr>
      <w:tr>
        <w:trPr>
          <w:trHeight w:val="128"/>
        </w:trPr>
        <w:tc>
          <w:tcPr>
            <w:tcW w:w="4120" w:type="dxa"/>
            <w:vAlign w:val="bottom"/>
          </w:tcPr>
          <w:p>
            <w:pPr>
              <w:ind w:left="120"/>
              <w:spacing w:after="0"/>
              <w:rPr>
                <w:sz w:val="20"/>
                <w:szCs w:val="20"/>
                <w:color w:val="auto"/>
              </w:rPr>
            </w:pPr>
            <w:r>
              <w:rPr>
                <w:rFonts w:ascii="Arial" w:cs="Arial" w:eastAsia="Arial" w:hAnsi="Arial"/>
                <w:sz w:val="10"/>
                <w:szCs w:val="10"/>
                <w:color w:val="auto"/>
              </w:rPr>
              <w:t>4.0%</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8"/>
              </w:rPr>
              <w:t>$107.13</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$106.44</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$102.10</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$98.74</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$92.73</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-$6.01</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2"/>
              </w:rPr>
              <w:t>-$13.71</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4.5%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$108.13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$107.19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$103.73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$100.51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$95.21</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-$5.30</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2"/>
              </w:rPr>
              <w:t>-$11.98</w:t>
            </w:r>
          </w:p>
        </w:tc>
        <w:tc>
          <w:tcPr>
            <w:tcW w:w="0" w:type="dxa"/>
            <w:vAlign w:val="bottom"/>
          </w:tcPr>
          <w:p>
            <w:pPr>
              <w:spacing w:after="0"/>
              <w:rPr>
                <w:sz w:val="1"/>
                <w:szCs w:val="1"/>
                <w:color w:val="auto"/>
              </w:rPr>
            </w:pPr>
          </w:p>
        </w:tc>
      </w:tr>
      <w:tr>
        <w:trPr>
          <w:trHeight w:val="129"/>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15-Year Fixed Rate Agency Price:</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1.5%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$100.95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$100.33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$94.81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$91.16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$85.61</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-$5.55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2"/>
              </w:rPr>
              <w:t>-$14.72</w:t>
            </w:r>
          </w:p>
        </w:tc>
        <w:tc>
          <w:tcPr>
            <w:tcW w:w="0" w:type="dxa"/>
            <w:vAlign w:val="bottom"/>
          </w:tcPr>
          <w:p>
            <w:pPr>
              <w:spacing w:after="0"/>
              <w:rPr>
                <w:sz w:val="1"/>
                <w:szCs w:val="1"/>
                <w:color w:val="auto"/>
              </w:rPr>
            </w:pPr>
          </w:p>
        </w:tc>
      </w:tr>
      <w:tr>
        <w:trPr>
          <w:trHeight w:val="128"/>
        </w:trPr>
        <w:tc>
          <w:tcPr>
            <w:tcW w:w="4120" w:type="dxa"/>
            <w:vAlign w:val="bottom"/>
          </w:tcPr>
          <w:p>
            <w:pPr>
              <w:ind w:left="120"/>
              <w:spacing w:after="0"/>
              <w:rPr>
                <w:sz w:val="20"/>
                <w:szCs w:val="20"/>
                <w:color w:val="auto"/>
              </w:rPr>
            </w:pPr>
            <w:r>
              <w:rPr>
                <w:rFonts w:ascii="Arial" w:cs="Arial" w:eastAsia="Arial" w:hAnsi="Arial"/>
                <w:sz w:val="10"/>
                <w:szCs w:val="10"/>
                <w:color w:val="auto"/>
              </w:rPr>
              <w:t>2.0%</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8"/>
              </w:rPr>
              <w:t>$102.96</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$102.45</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$97.11</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$93.52</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$88.06</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-$5.46</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2"/>
              </w:rPr>
              <w:t>-$14.39</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2.5%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$104.16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$103.45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$98.83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$95.70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$90.50</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-$5.20</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2"/>
              </w:rPr>
              <w:t>-$12.95</w:t>
            </w:r>
          </w:p>
        </w:tc>
        <w:tc>
          <w:tcPr>
            <w:tcW w:w="0" w:type="dxa"/>
            <w:vAlign w:val="bottom"/>
          </w:tcPr>
          <w:p>
            <w:pPr>
              <w:spacing w:after="0"/>
              <w:rPr>
                <w:sz w:val="1"/>
                <w:szCs w:val="1"/>
                <w:color w:val="auto"/>
              </w:rPr>
            </w:pPr>
          </w:p>
        </w:tc>
      </w:tr>
      <w:tr>
        <w:trPr>
          <w:trHeight w:val="128"/>
        </w:trPr>
        <w:tc>
          <w:tcPr>
            <w:tcW w:w="4120" w:type="dxa"/>
            <w:vAlign w:val="bottom"/>
          </w:tcPr>
          <w:p>
            <w:pPr>
              <w:ind w:left="120"/>
              <w:spacing w:after="0"/>
              <w:rPr>
                <w:sz w:val="20"/>
                <w:szCs w:val="20"/>
                <w:color w:val="auto"/>
              </w:rPr>
            </w:pPr>
            <w:r>
              <w:rPr>
                <w:rFonts w:ascii="Arial" w:cs="Arial" w:eastAsia="Arial" w:hAnsi="Arial"/>
                <w:sz w:val="10"/>
                <w:szCs w:val="10"/>
                <w:color w:val="auto"/>
              </w:rPr>
              <w:t>3.0%</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8"/>
              </w:rPr>
              <w:t>$105.14</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$104.59</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$100.70</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$97.82</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$92.89</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-$4.93</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2"/>
              </w:rPr>
              <w:t>-$11.70</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3.5%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$106.56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$105.52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$101.97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$99.52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$94.49</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-$5.03</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2"/>
              </w:rPr>
              <w:t>-$11.03</w:t>
            </w:r>
          </w:p>
        </w:tc>
        <w:tc>
          <w:tcPr>
            <w:tcW w:w="0" w:type="dxa"/>
            <w:vAlign w:val="bottom"/>
          </w:tcPr>
          <w:p>
            <w:pPr>
              <w:spacing w:after="0"/>
              <w:rPr>
                <w:sz w:val="1"/>
                <w:szCs w:val="1"/>
                <w:color w:val="auto"/>
              </w:rPr>
            </w:pPr>
          </w:p>
        </w:tc>
      </w:tr>
      <w:tr>
        <w:trPr>
          <w:trHeight w:val="121"/>
        </w:trPr>
        <w:tc>
          <w:tcPr>
            <w:tcW w:w="4120" w:type="dxa"/>
            <w:vAlign w:val="bottom"/>
          </w:tcPr>
          <w:p>
            <w:pPr>
              <w:ind w:left="120"/>
              <w:spacing w:after="0"/>
              <w:rPr>
                <w:sz w:val="20"/>
                <w:szCs w:val="20"/>
                <w:color w:val="auto"/>
              </w:rPr>
            </w:pPr>
            <w:r>
              <w:rPr>
                <w:rFonts w:ascii="Arial" w:cs="Arial" w:eastAsia="Arial" w:hAnsi="Arial"/>
                <w:sz w:val="10"/>
                <w:szCs w:val="10"/>
                <w:color w:val="auto"/>
              </w:rPr>
              <w:t>4.0%</w:t>
            </w:r>
          </w:p>
        </w:tc>
        <w:tc>
          <w:tcPr>
            <w:tcW w:w="1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8"/>
              </w:rPr>
              <w:t>$106.06</w:t>
            </w:r>
          </w:p>
        </w:tc>
        <w:tc>
          <w:tcPr>
            <w:tcW w:w="1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$105.47</w:t>
            </w:r>
          </w:p>
        </w:tc>
        <w:tc>
          <w:tcPr>
            <w:tcW w:w="1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$102.50</w:t>
            </w:r>
          </w:p>
        </w:tc>
        <w:tc>
          <w:tcPr>
            <w:tcW w:w="1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8"/>
              </w:rPr>
              <w:t>$100.95</w:t>
            </w:r>
          </w:p>
        </w:tc>
        <w:tc>
          <w:tcPr>
            <w:tcW w:w="1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$96.43</w:t>
            </w:r>
          </w:p>
        </w:tc>
        <w:tc>
          <w:tcPr>
            <w:tcW w:w="14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-$4.52</w:t>
            </w:r>
          </w:p>
        </w:tc>
        <w:tc>
          <w:tcPr>
            <w:tcW w:w="14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4"/>
              </w:rPr>
              <w:t>-$9.04</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3" w:lineRule="exact"/>
        <w:rPr>
          <w:sz w:val="20"/>
          <w:szCs w:val="20"/>
          <w:color w:val="auto"/>
        </w:rPr>
      </w:pPr>
    </w:p>
    <w:p>
      <w:pPr>
        <w:ind w:left="420" w:hanging="212"/>
        <w:spacing w:after="0" w:line="239" w:lineRule="auto"/>
        <w:tabs>
          <w:tab w:leader="none" w:pos="4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Price information is for generic instruments only and is not reflective of our specific portfolio holdings. Price information is as of 3:00 p.m. (EST) on such date and can vary by source. Prices in the table above were obtained from Barclays. Interest rates were obtained from Bloomberg.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28" w:name="page29"/>
    <w:bookmarkEnd w:id="28"/>
    <w:p>
      <w:pPr>
        <w:ind w:left="260"/>
        <w:spacing w:after="0"/>
        <w:rPr>
          <w:sz w:val="20"/>
          <w:szCs w:val="20"/>
          <w:color w:val="auto"/>
        </w:rPr>
      </w:pPr>
      <w:r>
        <w:rPr>
          <w:rFonts w:ascii="Arial" w:cs="Arial" w:eastAsia="Arial" w:hAnsi="Arial"/>
          <w:sz w:val="12"/>
          <w:szCs w:val="12"/>
          <w:color w:val="auto"/>
        </w:rPr>
        <w:t>The following table summarizes mortgage and credit spreads as of each date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84"/>
              </w:rPr>
              <w:t>Sept. 30, 2022</w:t>
            </w:r>
          </w:p>
        </w:tc>
        <w:tc>
          <w:tcPr>
            <w:tcW w:w="11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4"/>
              </w:rPr>
              <w:t>Sept. 30, 2022</w:t>
            </w:r>
          </w:p>
        </w:tc>
        <w:tc>
          <w:tcPr>
            <w:tcW w:w="0" w:type="dxa"/>
            <w:vAlign w:val="bottom"/>
          </w:tcPr>
          <w:p>
            <w:pPr>
              <w:spacing w:after="0"/>
              <w:rPr>
                <w:sz w:val="1"/>
                <w:szCs w:val="1"/>
                <w:color w:val="auto"/>
              </w:rPr>
            </w:pPr>
          </w:p>
        </w:tc>
      </w:tr>
      <w:tr>
        <w:trPr>
          <w:trHeight w:val="95"/>
        </w:trPr>
        <w:tc>
          <w:tcPr>
            <w:tcW w:w="4260" w:type="dxa"/>
            <w:vAlign w:val="bottom"/>
            <w:gridSpan w:val="2"/>
            <w:vMerge w:val="restart"/>
          </w:tcPr>
          <w:p>
            <w:pPr>
              <w:ind w:left="1440"/>
              <w:spacing w:after="0"/>
              <w:rPr>
                <w:sz w:val="20"/>
                <w:szCs w:val="20"/>
                <w:color w:val="auto"/>
              </w:rPr>
            </w:pPr>
            <w:r>
              <w:rPr>
                <w:rFonts w:ascii="Arial" w:cs="Arial" w:eastAsia="Arial" w:hAnsi="Arial"/>
                <w:sz w:val="10"/>
                <w:szCs w:val="10"/>
                <w:b w:val="1"/>
                <w:bCs w:val="1"/>
                <w:color w:val="auto"/>
              </w:rPr>
              <w:t>Mortgage Rate/Credit Spread</w:t>
            </w:r>
          </w:p>
        </w:tc>
        <w:tc>
          <w:tcPr>
            <w:tcW w:w="9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Sept. 30, 2021</w:t>
            </w:r>
          </w:p>
        </w:tc>
        <w:tc>
          <w:tcPr>
            <w:tcW w:w="9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Dec. 31, 2021</w:t>
            </w:r>
          </w:p>
        </w:tc>
        <w:tc>
          <w:tcPr>
            <w:tcW w:w="9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Mar. 31, 2022</w:t>
            </w:r>
          </w:p>
        </w:tc>
        <w:tc>
          <w:tcPr>
            <w:tcW w:w="90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June 30, 2022</w:t>
            </w:r>
          </w:p>
        </w:tc>
        <w:tc>
          <w:tcPr>
            <w:tcW w:w="9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Sept. 30, 2022</w:t>
            </w:r>
          </w:p>
        </w:tc>
        <w:tc>
          <w:tcPr>
            <w:tcW w:w="540" w:type="dxa"/>
            <w:vAlign w:val="bottom"/>
          </w:tcPr>
          <w:p>
            <w:pPr>
              <w:spacing w:after="0"/>
              <w:rPr>
                <w:sz w:val="8"/>
                <w:szCs w:val="8"/>
                <w:color w:val="auto"/>
              </w:rPr>
            </w:pPr>
          </w:p>
        </w:tc>
        <w:tc>
          <w:tcPr>
            <w:tcW w:w="760" w:type="dxa"/>
            <w:vAlign w:val="bottom"/>
            <w:gridSpan w:val="2"/>
          </w:tcPr>
          <w:p>
            <w:pPr>
              <w:jc w:val="center"/>
              <w:ind w:right="680"/>
              <w:spacing w:after="0" w:line="96" w:lineRule="exact"/>
              <w:rPr>
                <w:sz w:val="20"/>
                <w:szCs w:val="20"/>
                <w:color w:val="auto"/>
              </w:rPr>
            </w:pPr>
            <w:r>
              <w:rPr>
                <w:rFonts w:ascii="Arial" w:cs="Arial" w:eastAsia="Arial" w:hAnsi="Arial"/>
                <w:sz w:val="10"/>
                <w:szCs w:val="10"/>
                <w:b w:val="1"/>
                <w:bCs w:val="1"/>
                <w:color w:val="auto"/>
                <w:w w:val="71"/>
              </w:rPr>
              <w:t>vs</w:t>
            </w:r>
          </w:p>
        </w:tc>
        <w:tc>
          <w:tcPr>
            <w:tcW w:w="540" w:type="dxa"/>
            <w:vAlign w:val="bottom"/>
          </w:tcPr>
          <w:p>
            <w:pPr>
              <w:spacing w:after="0"/>
              <w:rPr>
                <w:sz w:val="8"/>
                <w:szCs w:val="8"/>
                <w:color w:val="auto"/>
              </w:rPr>
            </w:pPr>
          </w:p>
        </w:tc>
        <w:tc>
          <w:tcPr>
            <w:tcW w:w="620" w:type="dxa"/>
            <w:vAlign w:val="bottom"/>
          </w:tcPr>
          <w:p>
            <w:pPr>
              <w:jc w:val="center"/>
              <w:ind w:right="492"/>
              <w:spacing w:after="0" w:line="96" w:lineRule="exact"/>
              <w:rPr>
                <w:sz w:val="20"/>
                <w:szCs w:val="20"/>
                <w:color w:val="auto"/>
              </w:rPr>
            </w:pPr>
            <w:r>
              <w:rPr>
                <w:rFonts w:ascii="Arial" w:cs="Arial" w:eastAsia="Arial" w:hAnsi="Arial"/>
                <w:sz w:val="10"/>
                <w:szCs w:val="10"/>
                <w:b w:val="1"/>
                <w:bCs w:val="1"/>
                <w:color w:val="auto"/>
                <w:w w:val="71"/>
              </w:rPr>
              <w:t>vs</w:t>
            </w:r>
          </w:p>
        </w:tc>
        <w:tc>
          <w:tcPr>
            <w:tcW w:w="0" w:type="dxa"/>
            <w:vAlign w:val="bottom"/>
          </w:tcPr>
          <w:p>
            <w:pPr>
              <w:spacing w:after="0"/>
              <w:rPr>
                <w:sz w:val="1"/>
                <w:szCs w:val="1"/>
                <w:color w:val="auto"/>
              </w:rPr>
            </w:pPr>
          </w:p>
        </w:tc>
      </w:tr>
      <w:tr>
        <w:trPr>
          <w:trHeight w:val="129"/>
        </w:trPr>
        <w:tc>
          <w:tcPr>
            <w:tcW w:w="42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86"/>
              </w:rPr>
              <w:t>June 30, 2022</w:t>
            </w:r>
          </w:p>
        </w:tc>
        <w:tc>
          <w:tcPr>
            <w:tcW w:w="11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2"/>
              </w:rPr>
              <w:t>Dec. 31, 2021</w:t>
            </w:r>
          </w:p>
        </w:tc>
        <w:tc>
          <w:tcPr>
            <w:tcW w:w="0" w:type="dxa"/>
            <w:vAlign w:val="bottom"/>
          </w:tcPr>
          <w:p>
            <w:pPr>
              <w:spacing w:after="0"/>
              <w:rPr>
                <w:sz w:val="1"/>
                <w:szCs w:val="1"/>
                <w:color w:val="auto"/>
              </w:rPr>
            </w:pPr>
          </w:p>
        </w:tc>
      </w:tr>
      <w:tr>
        <w:trPr>
          <w:trHeight w:val="130"/>
        </w:trPr>
        <w:tc>
          <w:tcPr>
            <w:tcW w:w="412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0"/>
                <w:szCs w:val="10"/>
                <w:b w:val="1"/>
                <w:bCs w:val="1"/>
                <w:color w:val="auto"/>
              </w:rPr>
              <w:t xml:space="preserve">Mortgage Rate: </w:t>
            </w:r>
            <w:r>
              <w:rPr>
                <w:rFonts w:ascii="Arial" w:cs="Arial" w:eastAsia="Arial" w:hAnsi="Arial"/>
                <w:sz w:val="12"/>
                <w:szCs w:val="12"/>
                <w:b w:val="1"/>
                <w:bCs w:val="1"/>
                <w:color w:val="auto"/>
                <w:vertAlign w:val="superscript"/>
              </w:rPr>
              <w:t>1</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30-Year Agency Current Coupon Yield to 5-Year U.S. Treasury Spread</w:t>
            </w:r>
          </w:p>
        </w:tc>
        <w:tc>
          <w:tcPr>
            <w:tcW w:w="780" w:type="dxa"/>
            <w:vAlign w:val="bottom"/>
          </w:tcPr>
          <w:p>
            <w:pPr>
              <w:jc w:val="center"/>
              <w:spacing w:after="0"/>
              <w:rPr>
                <w:sz w:val="20"/>
                <w:szCs w:val="20"/>
                <w:color w:val="auto"/>
              </w:rPr>
            </w:pPr>
            <w:r>
              <w:rPr>
                <w:rFonts w:ascii="Arial" w:cs="Arial" w:eastAsia="Arial" w:hAnsi="Arial"/>
                <w:sz w:val="10"/>
                <w:szCs w:val="10"/>
                <w:color w:val="auto"/>
                <w:w w:val="83"/>
              </w:rPr>
              <w:t>100</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9"/>
              </w:rPr>
              <w:t>81</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103</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134</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3"/>
              </w:rPr>
              <w:t>159</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94"/>
              </w:rPr>
              <w:t>+25</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94"/>
              </w:rPr>
              <w:t>+78</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30-Year Agency Current Coupon Yield</w:t>
            </w: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1.97%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2.07%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3.49%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4.38%</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5.68%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w:t>
            </w:r>
          </w:p>
        </w:tc>
        <w:tc>
          <w:tcPr>
            <w:tcW w:w="620" w:type="dxa"/>
            <w:vAlign w:val="bottom"/>
            <w:shd w:val="clear" w:color="auto" w:fill="CCEEFF"/>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30-Year Mortgage Rate</w:t>
            </w: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3.18%</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3.27%</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4.90%</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4"/>
              </w:rPr>
              <w:t>5.83%</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4"/>
              </w:rPr>
              <w:t>7.06%</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+123</w:t>
            </w: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bps</w:t>
            </w:r>
          </w:p>
        </w:tc>
        <w:tc>
          <w:tcPr>
            <w:tcW w:w="540" w:type="dxa"/>
            <w:vAlign w:val="bottom"/>
          </w:tcPr>
          <w:p>
            <w:pPr>
              <w:jc w:val="right"/>
              <w:spacing w:after="0"/>
              <w:rPr>
                <w:sz w:val="20"/>
                <w:szCs w:val="20"/>
                <w:color w:val="auto"/>
              </w:rPr>
            </w:pPr>
            <w:r>
              <w:rPr>
                <w:rFonts w:ascii="Arial" w:cs="Arial" w:eastAsia="Arial" w:hAnsi="Arial"/>
                <w:sz w:val="10"/>
                <w:szCs w:val="10"/>
                <w:color w:val="auto"/>
              </w:rPr>
              <w:t>+379</w:t>
            </w:r>
          </w:p>
        </w:tc>
        <w:tc>
          <w:tcPr>
            <w:tcW w:w="620" w:type="dxa"/>
            <w:vAlign w:val="bottom"/>
          </w:tcPr>
          <w:p>
            <w:pPr>
              <w:ind w:left="60"/>
              <w:spacing w:after="0"/>
              <w:rPr>
                <w:sz w:val="20"/>
                <w:szCs w:val="20"/>
                <w:color w:val="auto"/>
              </w:rPr>
            </w:pPr>
            <w:r>
              <w:rPr>
                <w:rFonts w:ascii="Arial" w:cs="Arial" w:eastAsia="Arial" w:hAnsi="Arial"/>
                <w:sz w:val="10"/>
                <w:szCs w:val="10"/>
                <w:color w:val="auto"/>
              </w:rPr>
              <w:t>bps</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 xml:space="preserve">Credit Spread (in bps): </w:t>
            </w:r>
            <w:r>
              <w:rPr>
                <w:rFonts w:ascii="Arial" w:cs="Arial" w:eastAsia="Arial" w:hAnsi="Arial"/>
                <w:sz w:val="12"/>
                <w:szCs w:val="12"/>
                <w:b w:val="1"/>
                <w:bCs w:val="1"/>
                <w:color w:val="auto"/>
                <w:vertAlign w:val="superscript"/>
              </w:rPr>
              <w:t>2</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CRT M2</w:t>
            </w:r>
          </w:p>
        </w:tc>
        <w:tc>
          <w:tcPr>
            <w:tcW w:w="780" w:type="dxa"/>
            <w:vAlign w:val="bottom"/>
          </w:tcPr>
          <w:p>
            <w:pPr>
              <w:jc w:val="center"/>
              <w:spacing w:after="0"/>
              <w:rPr>
                <w:sz w:val="20"/>
                <w:szCs w:val="20"/>
                <w:color w:val="auto"/>
              </w:rPr>
            </w:pPr>
            <w:r>
              <w:rPr>
                <w:rFonts w:ascii="Arial" w:cs="Arial" w:eastAsia="Arial" w:hAnsi="Arial"/>
                <w:sz w:val="10"/>
                <w:szCs w:val="10"/>
                <w:color w:val="auto"/>
                <w:w w:val="83"/>
              </w:rPr>
              <w:t>166</w:t>
            </w:r>
          </w:p>
        </w:tc>
        <w:tc>
          <w:tcPr>
            <w:tcW w:w="1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3"/>
              </w:rPr>
              <w:t>175</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385</w:t>
            </w: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544</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3"/>
              </w:rPr>
              <w:t>633</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94"/>
              </w:rPr>
              <w:t>+89</w:t>
            </w:r>
          </w:p>
        </w:tc>
        <w:tc>
          <w:tcPr>
            <w:tcW w:w="140" w:type="dxa"/>
            <w:vAlign w:val="bottom"/>
          </w:tcPr>
          <w:p>
            <w:pPr>
              <w:spacing w:after="0"/>
              <w:rPr>
                <w:sz w:val="11"/>
                <w:szCs w:val="11"/>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8"/>
              </w:rPr>
              <w:t>+458</w:t>
            </w:r>
          </w:p>
        </w:tc>
        <w:tc>
          <w:tcPr>
            <w:tcW w:w="0" w:type="dxa"/>
            <w:vAlign w:val="bottom"/>
          </w:tcPr>
          <w:p>
            <w:pPr>
              <w:spacing w:after="0"/>
              <w:rPr>
                <w:sz w:val="1"/>
                <w:szCs w:val="1"/>
                <w:color w:val="auto"/>
              </w:rPr>
            </w:pPr>
          </w:p>
        </w:tc>
      </w:tr>
      <w:tr>
        <w:trPr>
          <w:trHeight w:val="142"/>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CMBS AAA</w:t>
            </w: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101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131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145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4"/>
              </w:rPr>
              <w:t>+14</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4"/>
              </w:rPr>
              <w:t>+71</w:t>
            </w:r>
          </w:p>
        </w:tc>
        <w:tc>
          <w:tcPr>
            <w:tcW w:w="0" w:type="dxa"/>
            <w:vAlign w:val="bottom"/>
          </w:tcPr>
          <w:p>
            <w:pPr>
              <w:spacing w:after="0"/>
              <w:rPr>
                <w:sz w:val="1"/>
                <w:szCs w:val="1"/>
                <w:color w:val="auto"/>
              </w:rPr>
            </w:pPr>
          </w:p>
        </w:tc>
      </w:tr>
      <w:tr>
        <w:trPr>
          <w:trHeight w:val="121"/>
        </w:trPr>
        <w:tc>
          <w:tcPr>
            <w:tcW w:w="4260" w:type="dxa"/>
            <w:vAlign w:val="bottom"/>
            <w:gridSpan w:val="2"/>
          </w:tcPr>
          <w:p>
            <w:pPr>
              <w:ind w:left="120"/>
              <w:spacing w:after="0"/>
              <w:rPr>
                <w:sz w:val="20"/>
                <w:szCs w:val="20"/>
                <w:color w:val="auto"/>
              </w:rPr>
            </w:pPr>
            <w:r>
              <w:rPr>
                <w:rFonts w:ascii="Arial" w:cs="Arial" w:eastAsia="Arial" w:hAnsi="Arial"/>
                <w:sz w:val="10"/>
                <w:szCs w:val="10"/>
                <w:color w:val="auto"/>
              </w:rPr>
              <w:t>CDX IG</w:t>
            </w:r>
          </w:p>
        </w:tc>
        <w:tc>
          <w:tcPr>
            <w:tcW w:w="780" w:type="dxa"/>
            <w:vAlign w:val="bottom"/>
          </w:tcPr>
          <w:p>
            <w:pPr>
              <w:jc w:val="center"/>
              <w:spacing w:after="0"/>
              <w:rPr>
                <w:sz w:val="20"/>
                <w:szCs w:val="20"/>
                <w:color w:val="auto"/>
              </w:rPr>
            </w:pPr>
            <w:r>
              <w:rPr>
                <w:rFonts w:ascii="Arial" w:cs="Arial" w:eastAsia="Arial" w:hAnsi="Arial"/>
                <w:sz w:val="10"/>
                <w:szCs w:val="10"/>
                <w:color w:val="auto"/>
                <w:w w:val="89"/>
              </w:rPr>
              <w:t>53</w:t>
            </w:r>
          </w:p>
        </w:tc>
        <w:tc>
          <w:tcPr>
            <w:tcW w:w="1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9"/>
              </w:rPr>
              <w:t>49</w:t>
            </w:r>
          </w:p>
        </w:tc>
        <w:tc>
          <w:tcPr>
            <w:tcW w:w="1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67</w:t>
            </w:r>
          </w:p>
        </w:tc>
        <w:tc>
          <w:tcPr>
            <w:tcW w:w="1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101</w:t>
            </w:r>
          </w:p>
        </w:tc>
        <w:tc>
          <w:tcPr>
            <w:tcW w:w="1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color w:val="auto"/>
                <w:w w:val="83"/>
              </w:rPr>
              <w:t>108</w:t>
            </w:r>
          </w:p>
        </w:tc>
        <w:tc>
          <w:tcPr>
            <w:tcW w:w="14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87"/>
              </w:rPr>
              <w:t>+7</w:t>
            </w:r>
          </w:p>
        </w:tc>
        <w:tc>
          <w:tcPr>
            <w:tcW w:w="14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color w:val="auto"/>
                <w:w w:val="94"/>
              </w:rPr>
              <w:t>+59</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49"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30-Year Current Coupon Yield represents yield on new production Agency RMBS. 30-Year Current Coupon Yield and 30-Year Mortgage Rate are sourced from Bloomberg.</w:t>
      </w:r>
    </w:p>
    <w:p>
      <w:pPr>
        <w:spacing w:after="0" w:line="1" w:lineRule="exact"/>
        <w:rPr>
          <w:rFonts w:ascii="Arial" w:cs="Arial" w:eastAsia="Arial" w:hAnsi="Arial"/>
          <w:sz w:val="10"/>
          <w:szCs w:val="10"/>
          <w:color w:val="auto"/>
        </w:rPr>
      </w:pPr>
    </w:p>
    <w:p>
      <w:pPr>
        <w:ind w:left="420" w:hanging="212"/>
        <w:spacing w:after="0" w:line="236" w:lineRule="auto"/>
        <w:tabs>
          <w:tab w:leader="none" w:pos="4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CRT and CDX spreads sourced from JP Morgan. CMBS spreads are the average of spreads sourced from JP Morgan and Wells Fargo.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4"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FINANCIAL CONDITION</w:t>
      </w:r>
    </w:p>
    <w:p>
      <w:pPr>
        <w:spacing w:after="0" w:line="118"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As of September 30, 2022 and December 31, 2021, our investment portfolio totaled $61.5 billion and $82.0 billion, respectively, consisting of: $43.6 billion and $54.4 billion investment securities, at fair value, respectively; $17.9 billion and $27.1 billion net TBA securities, at fair value, respectively; and, as of December 31, 2021, $0.4 billion forward settling non-Agency securities, at fair value. The following table is a summary of our investment portfolio as of September 30, 2022 and December 31, 2021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September 30, 2022</w:t>
            </w: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December 31, 2021</w:t>
            </w:r>
          </w:p>
        </w:tc>
        <w:tc>
          <w:tcPr>
            <w:tcW w:w="660" w:type="dxa"/>
            <w:vAlign w:val="bottom"/>
            <w:tcBorders>
              <w:bottom w:val="single" w:sz="8" w:color="auto"/>
            </w:tcBorders>
          </w:tcPr>
          <w:p>
            <w:pPr>
              <w:spacing w:after="0"/>
              <w:rPr>
                <w:sz w:val="11"/>
                <w:szCs w:val="11"/>
                <w:color w:val="auto"/>
              </w:rPr>
            </w:pPr>
          </w:p>
        </w:tc>
      </w:tr>
      <w:tr>
        <w:trPr>
          <w:trHeight w:val="129"/>
        </w:trPr>
        <w:tc>
          <w:tcPr>
            <w:tcW w:w="3780" w:type="dxa"/>
            <w:vAlign w:val="bottom"/>
            <w:gridSpan w:val="2"/>
          </w:tcPr>
          <w:p>
            <w:pPr>
              <w:spacing w:after="0"/>
              <w:rPr>
                <w:sz w:val="20"/>
                <w:szCs w:val="20"/>
                <w:color w:val="auto"/>
              </w:rPr>
            </w:pPr>
            <w:r>
              <w:rPr>
                <w:rFonts w:ascii="Arial" w:cs="Arial" w:eastAsia="Arial" w:hAnsi="Arial"/>
                <w:sz w:val="10"/>
                <w:szCs w:val="10"/>
                <w:b w:val="1"/>
                <w:bCs w:val="1"/>
                <w:color w:val="auto"/>
              </w:rPr>
              <w:t>Investment Portfolio (Includes TBAs)</w:t>
            </w:r>
          </w:p>
        </w:tc>
        <w:tc>
          <w:tcPr>
            <w:tcW w:w="10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Amortized Cost</w:t>
            </w:r>
          </w:p>
        </w:tc>
        <w:tc>
          <w:tcPr>
            <w:tcW w:w="1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Fair Value</w:t>
            </w:r>
          </w:p>
        </w:tc>
        <w:tc>
          <w:tcPr>
            <w:tcW w:w="1020" w:type="dxa"/>
            <w:vAlign w:val="bottom"/>
            <w:gridSpan w:val="2"/>
          </w:tcPr>
          <w:p>
            <w:pPr>
              <w:ind w:left="120"/>
              <w:spacing w:after="0"/>
              <w:rPr>
                <w:sz w:val="20"/>
                <w:szCs w:val="20"/>
                <w:color w:val="auto"/>
              </w:rPr>
            </w:pPr>
            <w:r>
              <w:rPr>
                <w:rFonts w:ascii="Arial" w:cs="Arial" w:eastAsia="Arial" w:hAnsi="Arial"/>
                <w:sz w:val="10"/>
                <w:szCs w:val="10"/>
                <w:b w:val="1"/>
                <w:bCs w:val="1"/>
                <w:color w:val="auto"/>
              </w:rPr>
              <w:t>Average Coupon</w:t>
            </w:r>
          </w:p>
        </w:tc>
        <w:tc>
          <w:tcPr>
            <w:tcW w:w="660" w:type="dxa"/>
            <w:vAlign w:val="bottom"/>
          </w:tcPr>
          <w:p>
            <w:pPr>
              <w:jc w:val="right"/>
              <w:ind w:right="232"/>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Amortized Cost</w:t>
            </w:r>
          </w:p>
        </w:tc>
        <w:tc>
          <w:tcPr>
            <w:tcW w:w="1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Fair Value</w:t>
            </w:r>
          </w:p>
        </w:tc>
        <w:tc>
          <w:tcPr>
            <w:tcW w:w="1020" w:type="dxa"/>
            <w:vAlign w:val="bottom"/>
            <w:gridSpan w:val="2"/>
          </w:tcPr>
          <w:p>
            <w:pPr>
              <w:ind w:left="120"/>
              <w:spacing w:after="0"/>
              <w:rPr>
                <w:sz w:val="20"/>
                <w:szCs w:val="20"/>
                <w:color w:val="auto"/>
              </w:rPr>
            </w:pPr>
            <w:r>
              <w:rPr>
                <w:rFonts w:ascii="Arial" w:cs="Arial" w:eastAsia="Arial" w:hAnsi="Arial"/>
                <w:sz w:val="10"/>
                <w:szCs w:val="10"/>
                <w:b w:val="1"/>
                <w:bCs w:val="1"/>
                <w:color w:val="auto"/>
              </w:rPr>
              <w:t>Average Coupon</w:t>
            </w:r>
          </w:p>
        </w:tc>
        <w:tc>
          <w:tcPr>
            <w:tcW w:w="660" w:type="dxa"/>
            <w:vAlign w:val="bottom"/>
          </w:tcPr>
          <w:p>
            <w:pPr>
              <w:jc w:val="right"/>
              <w:ind w:right="232"/>
              <w:spacing w:after="0"/>
              <w:rPr>
                <w:sz w:val="20"/>
                <w:szCs w:val="20"/>
                <w:color w:val="auto"/>
              </w:rPr>
            </w:pPr>
            <w:r>
              <w:rPr>
                <w:rFonts w:ascii="Arial" w:cs="Arial" w:eastAsia="Arial" w:hAnsi="Arial"/>
                <w:sz w:val="10"/>
                <w:szCs w:val="10"/>
                <w:b w:val="1"/>
                <w:bCs w:val="1"/>
                <w:color w:val="auto"/>
              </w:rPr>
              <w:t>%</w:t>
            </w:r>
          </w:p>
        </w:tc>
      </w:tr>
      <w:tr>
        <w:trPr>
          <w:trHeight w:val="13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Fixed rate Agency RMBS and TBA securities:</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28"/>
        </w:trPr>
        <w:tc>
          <w:tcPr>
            <w:tcW w:w="3780" w:type="dxa"/>
            <w:vAlign w:val="bottom"/>
            <w:gridSpan w:val="2"/>
          </w:tcPr>
          <w:p>
            <w:pPr>
              <w:ind w:left="80"/>
              <w:spacing w:after="0"/>
              <w:rPr>
                <w:sz w:val="20"/>
                <w:szCs w:val="20"/>
                <w:color w:val="auto"/>
              </w:rPr>
            </w:pPr>
            <w:r>
              <w:rPr>
                <w:rFonts w:ascii="Arial" w:cs="Arial" w:eastAsia="Arial" w:hAnsi="Arial"/>
                <w:sz w:val="10"/>
                <w:szCs w:val="10"/>
                <w:color w:val="auto"/>
              </w:rPr>
              <w:t>≤ 15-year: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378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 15-year RMBS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1,661</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3.25 %</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3 %</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3.27 %</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3 %</w:t>
            </w:r>
          </w:p>
        </w:tc>
      </w:tr>
      <w:tr>
        <w:trPr>
          <w:trHeight w:val="135"/>
        </w:trPr>
        <w:tc>
          <w:tcPr>
            <w:tcW w:w="3780" w:type="dxa"/>
            <w:vAlign w:val="bottom"/>
            <w:gridSpan w:val="2"/>
          </w:tcPr>
          <w:p>
            <w:pPr>
              <w:ind w:left="160"/>
              <w:spacing w:after="0" w:line="135" w:lineRule="exact"/>
              <w:rPr>
                <w:sz w:val="20"/>
                <w:szCs w:val="20"/>
                <w:color w:val="auto"/>
              </w:rPr>
            </w:pPr>
            <w:r>
              <w:rPr>
                <w:rFonts w:ascii="Arial" w:cs="Arial" w:eastAsia="Arial" w:hAnsi="Arial"/>
                <w:sz w:val="10"/>
                <w:szCs w:val="10"/>
                <w:color w:val="auto"/>
              </w:rPr>
              <w:t xml:space="preserve">15-year TBA securities, net </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 %</w:t>
            </w: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 %</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2,059</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3 %</w:t>
            </w:r>
          </w:p>
        </w:tc>
      </w:tr>
      <w:tr>
        <w:trPr>
          <w:trHeight w:val="124"/>
        </w:trPr>
        <w:tc>
          <w:tcPr>
            <w:tcW w:w="3780" w:type="dxa"/>
            <w:vAlign w:val="bottom"/>
            <w:tcBorders>
              <w:top w:val="single" w:sz="8" w:color="CCEEFF"/>
            </w:tcBorders>
            <w:gridSpan w:val="2"/>
            <w:shd w:val="clear" w:color="auto" w:fill="CCEEFF"/>
          </w:tcPr>
          <w:p>
            <w:pPr>
              <w:ind w:left="60"/>
              <w:spacing w:after="0" w:line="107" w:lineRule="exact"/>
              <w:rPr>
                <w:sz w:val="20"/>
                <w:szCs w:val="20"/>
                <w:color w:val="auto"/>
              </w:rPr>
            </w:pPr>
            <w:r>
              <w:rPr>
                <w:rFonts w:ascii="Arial" w:cs="Arial" w:eastAsia="Arial" w:hAnsi="Arial"/>
                <w:sz w:val="10"/>
                <w:szCs w:val="10"/>
                <w:color w:val="auto"/>
              </w:rPr>
              <w:t>Total ≤ 15-year</w:t>
            </w: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1,808</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1,661</w:t>
            </w: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3.25 %</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3 %</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4,626</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4,711</w:t>
            </w: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2.57 %</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6 %</w:t>
            </w:r>
          </w:p>
        </w:tc>
      </w:tr>
      <w:tr>
        <w:trPr>
          <w:trHeight w:val="128"/>
        </w:trPr>
        <w:tc>
          <w:tcPr>
            <w:tcW w:w="3780" w:type="dxa"/>
            <w:vAlign w:val="bottom"/>
            <w:gridSpan w:val="2"/>
          </w:tcPr>
          <w:p>
            <w:pPr>
              <w:ind w:left="60"/>
              <w:spacing w:after="0"/>
              <w:rPr>
                <w:sz w:val="20"/>
                <w:szCs w:val="20"/>
                <w:color w:val="auto"/>
              </w:rPr>
            </w:pPr>
            <w:r>
              <w:rPr>
                <w:rFonts w:ascii="Arial" w:cs="Arial" w:eastAsia="Arial" w:hAnsi="Arial"/>
                <w:sz w:val="10"/>
                <w:szCs w:val="10"/>
                <w:color w:val="auto"/>
              </w:rPr>
              <w:t>20-year RMBS</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1,746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1,465</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2.49 %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1,942</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2.52 %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2 %</w:t>
            </w:r>
          </w:p>
        </w:tc>
      </w:tr>
      <w:tr>
        <w:trPr>
          <w:trHeight w:val="142"/>
        </w:trPr>
        <w:tc>
          <w:tcPr>
            <w:tcW w:w="37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30-year:</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28"/>
        </w:trPr>
        <w:tc>
          <w:tcPr>
            <w:tcW w:w="3780" w:type="dxa"/>
            <w:vAlign w:val="bottom"/>
            <w:gridSpan w:val="2"/>
          </w:tcPr>
          <w:p>
            <w:pPr>
              <w:ind w:left="160"/>
              <w:spacing w:after="0"/>
              <w:rPr>
                <w:sz w:val="20"/>
                <w:szCs w:val="20"/>
                <w:color w:val="auto"/>
              </w:rPr>
            </w:pPr>
            <w:r>
              <w:rPr>
                <w:rFonts w:ascii="Arial" w:cs="Arial" w:eastAsia="Arial" w:hAnsi="Arial"/>
                <w:sz w:val="10"/>
                <w:szCs w:val="10"/>
                <w:color w:val="auto"/>
              </w:rPr>
              <w:t>30-year RMBS</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43,476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38,452</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3.59 %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63 %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47,028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47,695</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3.04 %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58 %</w:t>
            </w:r>
          </w:p>
        </w:tc>
      </w:tr>
      <w:tr>
        <w:trPr>
          <w:trHeight w:val="142"/>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 xml:space="preserve">30-year TBA securities, net </w:t>
            </w:r>
            <w:r>
              <w:rPr>
                <w:rFonts w:ascii="Arial" w:cs="Arial" w:eastAsia="Arial" w:hAnsi="Arial"/>
                <w:sz w:val="12"/>
                <w:szCs w:val="12"/>
                <w:color w:val="auto"/>
                <w:vertAlign w:val="superscript"/>
              </w:rPr>
              <w:t>1</w:t>
            </w: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19,113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17,902</w:t>
            </w:r>
          </w:p>
        </w:tc>
        <w:tc>
          <w:tcPr>
            <w:tcW w:w="10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4.42 %</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29 %</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25,128</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25,081</w:t>
            </w: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2.54 %</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31 %</w:t>
            </w:r>
          </w:p>
        </w:tc>
      </w:tr>
      <w:tr>
        <w:trPr>
          <w:trHeight w:val="117"/>
        </w:trPr>
        <w:tc>
          <w:tcPr>
            <w:tcW w:w="3780" w:type="dxa"/>
            <w:vAlign w:val="bottom"/>
            <w:tcBorders>
              <w:bottom w:val="single" w:sz="8" w:color="CCEEFF"/>
            </w:tcBorders>
            <w:gridSpan w:val="2"/>
          </w:tcPr>
          <w:p>
            <w:pPr>
              <w:ind w:left="60"/>
              <w:spacing w:after="0" w:line="107" w:lineRule="exact"/>
              <w:rPr>
                <w:sz w:val="20"/>
                <w:szCs w:val="20"/>
                <w:color w:val="auto"/>
              </w:rPr>
            </w:pPr>
            <w:r>
              <w:rPr>
                <w:rFonts w:ascii="Arial" w:cs="Arial" w:eastAsia="Arial" w:hAnsi="Arial"/>
                <w:sz w:val="10"/>
                <w:szCs w:val="10"/>
                <w:color w:val="auto"/>
              </w:rPr>
              <w:t>Total 30-year</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62,589</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56,354</w:t>
            </w:r>
          </w:p>
        </w:tc>
        <w:tc>
          <w:tcPr>
            <w:tcW w:w="10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3.85 %</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92 %</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72,156</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72,776</w:t>
            </w: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2.87 %</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89 %</w:t>
            </w:r>
          </w:p>
        </w:tc>
      </w:tr>
      <w:tr>
        <w:trPr>
          <w:trHeight w:val="131"/>
        </w:trPr>
        <w:tc>
          <w:tcPr>
            <w:tcW w:w="3780" w:type="dxa"/>
            <w:vAlign w:val="bottom"/>
            <w:gridSpan w:val="2"/>
            <w:shd w:val="clear" w:color="auto" w:fill="CCEEFF"/>
          </w:tcPr>
          <w:p>
            <w:pPr>
              <w:spacing w:after="0" w:line="114" w:lineRule="exact"/>
              <w:rPr>
                <w:sz w:val="20"/>
                <w:szCs w:val="20"/>
                <w:color w:val="auto"/>
              </w:rPr>
            </w:pPr>
            <w:r>
              <w:rPr>
                <w:rFonts w:ascii="Arial" w:cs="Arial" w:eastAsia="Arial" w:hAnsi="Arial"/>
                <w:sz w:val="10"/>
                <w:szCs w:val="10"/>
                <w:color w:val="auto"/>
              </w:rPr>
              <w:t>Total fixed rate Agency RMBS and TBA securities</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66,143</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59,480</w:t>
            </w:r>
          </w:p>
        </w:tc>
        <w:tc>
          <w:tcPr>
            <w:tcW w:w="10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3.80 %</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97 %</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78,730</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79,429</w:t>
            </w:r>
          </w:p>
        </w:tc>
        <w:tc>
          <w:tcPr>
            <w:tcW w:w="8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2.84 %</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97 %</w:t>
            </w:r>
          </w:p>
        </w:tc>
      </w:tr>
      <w:tr>
        <w:trPr>
          <w:trHeight w:val="117"/>
        </w:trPr>
        <w:tc>
          <w:tcPr>
            <w:tcW w:w="3780" w:type="dxa"/>
            <w:vAlign w:val="bottom"/>
            <w:gridSpan w:val="2"/>
          </w:tcPr>
          <w:p>
            <w:pPr>
              <w:spacing w:after="0" w:line="107" w:lineRule="exact"/>
              <w:rPr>
                <w:sz w:val="20"/>
                <w:szCs w:val="20"/>
                <w:color w:val="auto"/>
              </w:rPr>
            </w:pPr>
            <w:r>
              <w:rPr>
                <w:rFonts w:ascii="Arial" w:cs="Arial" w:eastAsia="Arial" w:hAnsi="Arial"/>
                <w:sz w:val="10"/>
                <w:szCs w:val="10"/>
                <w:color w:val="auto"/>
              </w:rPr>
              <w:t>Adjustable rate Agency RMBS</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129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3.66 %</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 %</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47</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2.23 %</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 %</w:t>
            </w:r>
          </w:p>
        </w:tc>
      </w:tr>
      <w:tr>
        <w:trPr>
          <w:trHeight w:val="142"/>
        </w:trPr>
        <w:tc>
          <w:tcPr>
            <w:tcW w:w="37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CMO Agency RMBS: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28"/>
        </w:trPr>
        <w:tc>
          <w:tcPr>
            <w:tcW w:w="3780" w:type="dxa"/>
            <w:vAlign w:val="bottom"/>
            <w:gridSpan w:val="2"/>
          </w:tcPr>
          <w:p>
            <w:pPr>
              <w:ind w:left="160"/>
              <w:spacing w:after="0"/>
              <w:rPr>
                <w:sz w:val="20"/>
                <w:szCs w:val="20"/>
                <w:color w:val="auto"/>
              </w:rPr>
            </w:pPr>
            <w:r>
              <w:rPr>
                <w:rFonts w:ascii="Arial" w:cs="Arial" w:eastAsia="Arial" w:hAnsi="Arial"/>
                <w:sz w:val="10"/>
                <w:szCs w:val="10"/>
                <w:color w:val="auto"/>
              </w:rPr>
              <w:t>CMO</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136</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3.16 %</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 %</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188</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3.12 %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 %</w:t>
            </w:r>
          </w:p>
        </w:tc>
      </w:tr>
      <w:tr>
        <w:trPr>
          <w:trHeight w:val="142"/>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Interest-only strips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3.15 %</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 %</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5.60 %</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w:t>
            </w:r>
          </w:p>
        </w:tc>
      </w:tr>
      <w:tr>
        <w:trPr>
          <w:trHeight w:val="128"/>
        </w:trPr>
        <w:tc>
          <w:tcPr>
            <w:tcW w:w="3780" w:type="dxa"/>
            <w:vAlign w:val="bottom"/>
            <w:gridSpan w:val="2"/>
          </w:tcPr>
          <w:p>
            <w:pPr>
              <w:ind w:left="160"/>
              <w:spacing w:after="0"/>
              <w:rPr>
                <w:sz w:val="20"/>
                <w:szCs w:val="20"/>
                <w:color w:val="auto"/>
              </w:rPr>
            </w:pPr>
            <w:r>
              <w:rPr>
                <w:rFonts w:ascii="Arial" w:cs="Arial" w:eastAsia="Arial" w:hAnsi="Arial"/>
                <w:sz w:val="10"/>
                <w:szCs w:val="10"/>
                <w:color w:val="auto"/>
              </w:rPr>
              <w:t>Principal-only strips</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 %</w:t>
            </w: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 %</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43</w:t>
            </w:r>
          </w:p>
        </w:tc>
        <w:tc>
          <w:tcPr>
            <w:tcW w:w="8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 %</w:t>
            </w:r>
          </w:p>
        </w:tc>
        <w:tc>
          <w:tcPr>
            <w:tcW w:w="660" w:type="dxa"/>
            <w:vAlign w:val="bottom"/>
          </w:tcPr>
          <w:p>
            <w:pPr>
              <w:jc w:val="right"/>
              <w:spacing w:after="0"/>
              <w:rPr>
                <w:sz w:val="20"/>
                <w:szCs w:val="20"/>
                <w:color w:val="auto"/>
              </w:rPr>
            </w:pPr>
            <w:r>
              <w:rPr>
                <w:rFonts w:ascii="Arial" w:cs="Arial" w:eastAsia="Arial" w:hAnsi="Arial"/>
                <w:sz w:val="10"/>
                <w:szCs w:val="10"/>
                <w:color w:val="auto"/>
              </w:rPr>
              <w:t>— %</w:t>
            </w:r>
          </w:p>
        </w:tc>
      </w:tr>
      <w:tr>
        <w:trPr>
          <w:trHeight w:val="131"/>
        </w:trPr>
        <w:tc>
          <w:tcPr>
            <w:tcW w:w="378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0"/>
                <w:szCs w:val="10"/>
                <w:color w:val="auto"/>
              </w:rPr>
              <w:t>Total CMO Agency RMBS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2.82 %</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268</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4.08 %</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1 %</w:t>
            </w:r>
          </w:p>
        </w:tc>
      </w:tr>
      <w:tr>
        <w:trPr>
          <w:trHeight w:val="117"/>
        </w:trPr>
        <w:tc>
          <w:tcPr>
            <w:tcW w:w="378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0"/>
                <w:szCs w:val="10"/>
                <w:color w:val="auto"/>
              </w:rPr>
              <w:t>Total Agency RMBS and TBA securities</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66,472</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59,791</w:t>
            </w:r>
          </w:p>
        </w:tc>
        <w:tc>
          <w:tcPr>
            <w:tcW w:w="10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3.79 %</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97 %</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79,027</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79,744</w:t>
            </w: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2.85 %</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98 %</w:t>
            </w:r>
          </w:p>
        </w:tc>
      </w:tr>
      <w:tr>
        <w:trPr>
          <w:trHeight w:val="131"/>
        </w:trPr>
        <w:tc>
          <w:tcPr>
            <w:tcW w:w="3780" w:type="dxa"/>
            <w:vAlign w:val="bottom"/>
            <w:gridSpan w:val="2"/>
            <w:shd w:val="clear" w:color="auto" w:fill="CCEEFF"/>
          </w:tcPr>
          <w:p>
            <w:pPr>
              <w:spacing w:after="0" w:line="131" w:lineRule="exact"/>
              <w:rPr>
                <w:sz w:val="20"/>
                <w:szCs w:val="20"/>
                <w:color w:val="auto"/>
              </w:rPr>
            </w:pPr>
            <w:r>
              <w:rPr>
                <w:rFonts w:ascii="Arial" w:cs="Arial" w:eastAsia="Arial" w:hAnsi="Arial"/>
                <w:sz w:val="10"/>
                <w:szCs w:val="10"/>
                <w:color w:val="auto"/>
              </w:rPr>
              <w:t xml:space="preserve">Non-Agency RMBS </w:t>
            </w:r>
            <w:r>
              <w:rPr>
                <w:rFonts w:ascii="Arial" w:cs="Arial" w:eastAsia="Arial" w:hAnsi="Arial"/>
                <w:sz w:val="12"/>
                <w:szCs w:val="12"/>
                <w:color w:val="auto"/>
                <w:vertAlign w:val="superscript"/>
              </w:rPr>
              <w:t>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767</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1 %</w:t>
            </w:r>
          </w:p>
        </w:tc>
      </w:tr>
      <w:tr>
        <w:trPr>
          <w:trHeight w:val="128"/>
        </w:trPr>
        <w:tc>
          <w:tcPr>
            <w:tcW w:w="3780" w:type="dxa"/>
            <w:vAlign w:val="bottom"/>
            <w:gridSpan w:val="2"/>
          </w:tcPr>
          <w:p>
            <w:pPr>
              <w:spacing w:after="0"/>
              <w:rPr>
                <w:sz w:val="20"/>
                <w:szCs w:val="20"/>
                <w:color w:val="auto"/>
              </w:rPr>
            </w:pPr>
            <w:r>
              <w:rPr>
                <w:rFonts w:ascii="Arial" w:cs="Arial" w:eastAsia="Arial" w:hAnsi="Arial"/>
                <w:sz w:val="10"/>
                <w:szCs w:val="10"/>
                <w:color w:val="auto"/>
              </w:rPr>
              <w:t>CMBS</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621</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5.06 %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514</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3.60 %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1 %</w:t>
            </w:r>
          </w:p>
        </w:tc>
      </w:tr>
      <w:tr>
        <w:trPr>
          <w:trHeight w:val="135"/>
        </w:trPr>
        <w:tc>
          <w:tcPr>
            <w:tcW w:w="37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CRT</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860</w:t>
            </w:r>
          </w:p>
        </w:tc>
        <w:tc>
          <w:tcPr>
            <w:tcW w:w="10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6.93 %</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1 %</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955</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974</w:t>
            </w:r>
          </w:p>
        </w:tc>
        <w:tc>
          <w:tcPr>
            <w:tcW w:w="8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3.74 %</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1 %</w:t>
            </w:r>
          </w:p>
        </w:tc>
      </w:tr>
      <w:tr>
        <w:trPr>
          <w:trHeight w:val="131"/>
        </w:trPr>
        <w:tc>
          <w:tcPr>
            <w:tcW w:w="3780" w:type="dxa"/>
            <w:vAlign w:val="bottom"/>
            <w:gridSpan w:val="2"/>
          </w:tcPr>
          <w:p>
            <w:pPr>
              <w:spacing w:after="0"/>
              <w:rPr>
                <w:sz w:val="20"/>
                <w:szCs w:val="20"/>
                <w:color w:val="auto"/>
              </w:rPr>
            </w:pPr>
            <w:r>
              <w:rPr>
                <w:rFonts w:ascii="Arial" w:cs="Arial" w:eastAsia="Arial" w:hAnsi="Arial"/>
                <w:sz w:val="10"/>
                <w:szCs w:val="10"/>
                <w:color w:val="auto"/>
              </w:rPr>
              <w:t>Total investment portfolio</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68,278</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61,494</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3.84 %</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81,250</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81,999</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2.85 %</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TBA securities are presented net of long and short positions. For further details of our TBA securities refer to Note 5 of our Consolidated Financial Statements in this Form 10-Q.</w:t>
      </w:r>
    </w:p>
    <w:p>
      <w:pPr>
        <w:ind w:left="420" w:right="20" w:hanging="212"/>
        <w:spacing w:after="0" w:line="241" w:lineRule="auto"/>
        <w:tabs>
          <w:tab w:leader="none" w:pos="4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September 30, 2022 non-Agency RMBS balance includes mortgage credit investment fund limited partnership interest totaling approximately $27 million reported in non-Agency securities on the accompanying consolidated balance sheets. Average coupon excludes limited partnership interest. December 31, 2021 balance includes $0.4 billion of forward settling non-Agency securities reported in derivative assets/(liabilities) on the accompanying consolidated balance sheets.</w:t>
      </w:r>
    </w:p>
    <w:p>
      <w:pPr>
        <w:spacing w:after="0" w:line="10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TBA and forward settling securities are recorded as derivative instruments in our accompanying consolidated financial statements, and our TBA dollar roll transactions represent a form of off-balance sheet financing. As of September 30, 2022 and December 31, 2021, our TBA position and forward settling securities had a net carrying value of $(1.2) billion and $(44) million, respectively, reported in derivative assets/(liabilities)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September 30, 2022 and December 31, 2021, the weighted average yield on our investment securities (excluding TBA and forward settling securities) was 3.14% and 2.43%, respectively.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30" w:name="page31"/>
    <w:bookmarkEnd w:id="30"/>
    <w:p>
      <w:pPr>
        <w:ind w:left="280"/>
        <w:spacing w:after="0"/>
        <w:rPr>
          <w:sz w:val="20"/>
          <w:szCs w:val="20"/>
          <w:color w:val="auto"/>
        </w:rPr>
      </w:pPr>
      <w:r>
        <w:rPr>
          <w:rFonts w:ascii="Arial" w:cs="Arial" w:eastAsia="Arial" w:hAnsi="Arial"/>
          <w:sz w:val="12"/>
          <w:szCs w:val="12"/>
          <w:color w:val="auto"/>
        </w:rPr>
        <w:t>The following tables summarize certain characteristics of our fixed rate Agency RMBS portfolio, inclusive of TBA securities, as of September 30, 2022 and December 31, 2021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September 30, 2022</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Includes Net TBA Position</w:t>
            </w: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w w:val="87"/>
              </w:rPr>
              <w:t>Excludes Net TBA Position</w:t>
            </w: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w w:val="96"/>
              </w:rPr>
              <w:t>Weighted Average</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Fixed Rate Agency RMBS and TBA Securities</w:t>
            </w:r>
          </w:p>
        </w:tc>
        <w:tc>
          <w:tcPr>
            <w:tcW w:w="12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Par Value</w:t>
            </w:r>
          </w:p>
        </w:tc>
        <w:tc>
          <w:tcPr>
            <w:tcW w:w="160" w:type="dxa"/>
            <w:vAlign w:val="bottom"/>
          </w:tcPr>
          <w:p>
            <w:pPr>
              <w:spacing w:after="0"/>
              <w:rPr>
                <w:sz w:val="9"/>
                <w:szCs w:val="9"/>
                <w:color w:val="auto"/>
              </w:rPr>
            </w:pPr>
          </w:p>
        </w:tc>
        <w:tc>
          <w:tcPr>
            <w:tcW w:w="900" w:type="dxa"/>
            <w:vAlign w:val="bottom"/>
            <w:gridSpan w:val="2"/>
          </w:tcPr>
          <w:p>
            <w:pPr>
              <w:jc w:val="center"/>
              <w:ind w:right="260"/>
              <w:spacing w:after="0" w:line="110" w:lineRule="exact"/>
              <w:rPr>
                <w:sz w:val="20"/>
                <w:szCs w:val="20"/>
                <w:color w:val="auto"/>
              </w:rPr>
            </w:pPr>
            <w:r>
              <w:rPr>
                <w:rFonts w:ascii="Arial" w:cs="Arial" w:eastAsia="Arial" w:hAnsi="Arial"/>
                <w:sz w:val="10"/>
                <w:szCs w:val="10"/>
                <w:b w:val="1"/>
                <w:bCs w:val="1"/>
                <w:color w:val="auto"/>
                <w:w w:val="89"/>
              </w:rPr>
              <w:t>Amortized</w:t>
            </w:r>
          </w:p>
        </w:tc>
        <w:tc>
          <w:tcPr>
            <w:tcW w:w="1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11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 xml:space="preserve">Specified Pool % </w:t>
            </w:r>
            <w:r>
              <w:rPr>
                <w:rFonts w:ascii="Arial" w:cs="Arial" w:eastAsia="Arial" w:hAnsi="Arial"/>
                <w:sz w:val="12"/>
                <w:szCs w:val="12"/>
                <w:b w:val="1"/>
                <w:bCs w:val="1"/>
                <w:color w:val="auto"/>
                <w:vertAlign w:val="superscript"/>
              </w:rPr>
              <w:t>1</w:t>
            </w:r>
          </w:p>
        </w:tc>
        <w:tc>
          <w:tcPr>
            <w:tcW w:w="1180" w:type="dxa"/>
            <w:vAlign w:val="bottom"/>
            <w:gridSpan w:val="2"/>
          </w:tcPr>
          <w:p>
            <w:pPr>
              <w:jc w:val="center"/>
              <w:ind w:right="100"/>
              <w:spacing w:after="0" w:line="110" w:lineRule="exact"/>
              <w:rPr>
                <w:sz w:val="20"/>
                <w:szCs w:val="20"/>
                <w:color w:val="auto"/>
              </w:rPr>
            </w:pPr>
            <w:r>
              <w:rPr>
                <w:rFonts w:ascii="Arial" w:cs="Arial" w:eastAsia="Arial" w:hAnsi="Arial"/>
                <w:sz w:val="10"/>
                <w:szCs w:val="10"/>
                <w:b w:val="1"/>
                <w:bCs w:val="1"/>
                <w:color w:val="auto"/>
                <w:w w:val="89"/>
              </w:rPr>
              <w:t>Amortized</w:t>
            </w:r>
          </w:p>
        </w:tc>
        <w:tc>
          <w:tcPr>
            <w:tcW w:w="580" w:type="dxa"/>
            <w:vAlign w:val="bottom"/>
            <w:vMerge w:val="restart"/>
          </w:tcPr>
          <w:p>
            <w:pPr>
              <w:jc w:val="center"/>
              <w:ind w:left="52"/>
              <w:spacing w:after="0"/>
              <w:rPr>
                <w:sz w:val="20"/>
                <w:szCs w:val="20"/>
                <w:color w:val="auto"/>
              </w:rPr>
            </w:pPr>
            <w:r>
              <w:rPr>
                <w:rFonts w:ascii="Arial" w:cs="Arial" w:eastAsia="Arial" w:hAnsi="Arial"/>
                <w:sz w:val="10"/>
                <w:szCs w:val="10"/>
                <w:b w:val="1"/>
                <w:bCs w:val="1"/>
                <w:color w:val="auto"/>
                <w:w w:val="89"/>
              </w:rPr>
              <w:t xml:space="preserve">WAC </w:t>
            </w:r>
            <w:r>
              <w:rPr>
                <w:rFonts w:ascii="Arial" w:cs="Arial" w:eastAsia="Arial" w:hAnsi="Arial"/>
                <w:sz w:val="12"/>
                <w:szCs w:val="12"/>
                <w:b w:val="1"/>
                <w:bCs w:val="1"/>
                <w:color w:val="auto"/>
                <w:w w:val="89"/>
                <w:vertAlign w:val="superscript"/>
              </w:rPr>
              <w:t>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rPr>
              <w:t xml:space="preserve">Yield </w:t>
            </w:r>
            <w:r>
              <w:rPr>
                <w:rFonts w:ascii="Arial" w:cs="Arial" w:eastAsia="Arial" w:hAnsi="Arial"/>
                <w:sz w:val="12"/>
                <w:szCs w:val="12"/>
                <w:b w:val="1"/>
                <w:bCs w:val="1"/>
                <w:color w:val="auto"/>
                <w:vertAlign w:val="superscript"/>
              </w:rPr>
              <w:t>3</w:t>
            </w:r>
          </w:p>
        </w:tc>
        <w:tc>
          <w:tcPr>
            <w:tcW w:w="9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Age (Months)</w:t>
            </w:r>
          </w:p>
        </w:tc>
        <w:tc>
          <w:tcPr>
            <w:tcW w:w="9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83"/>
              </w:rPr>
              <w:t>Projected</w:t>
            </w:r>
          </w:p>
        </w:tc>
        <w:tc>
          <w:tcPr>
            <w:tcW w:w="0" w:type="dxa"/>
            <w:vAlign w:val="bottom"/>
          </w:tcPr>
          <w:p>
            <w:pPr>
              <w:spacing w:after="0"/>
              <w:rPr>
                <w:sz w:val="1"/>
                <w:szCs w:val="1"/>
                <w:color w:val="auto"/>
              </w:rPr>
            </w:pPr>
          </w:p>
        </w:tc>
      </w:tr>
      <w:tr>
        <w:trPr>
          <w:trHeight w:val="134"/>
        </w:trPr>
        <w:tc>
          <w:tcPr>
            <w:tcW w:w="2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Cost</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1"/>
              </w:rPr>
              <w:t>Cost Basis</w:t>
            </w: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0"/>
                <w:szCs w:val="10"/>
                <w:b w:val="1"/>
                <w:bCs w:val="1"/>
                <w:color w:val="auto"/>
                <w:w w:val="91"/>
              </w:rPr>
              <w:t xml:space="preserve">CPR </w:t>
            </w:r>
            <w:r>
              <w:rPr>
                <w:rFonts w:ascii="Arial" w:cs="Arial" w:eastAsia="Arial" w:hAnsi="Arial"/>
                <w:sz w:val="12"/>
                <w:szCs w:val="12"/>
                <w:b w:val="1"/>
                <w:bCs w:val="1"/>
                <w:color w:val="auto"/>
                <w:w w:val="91"/>
                <w:vertAlign w:val="superscript"/>
              </w:rPr>
              <w:t>3</w:t>
            </w:r>
          </w:p>
        </w:tc>
        <w:tc>
          <w:tcPr>
            <w:tcW w:w="0" w:type="dxa"/>
            <w:vAlign w:val="bottom"/>
          </w:tcPr>
          <w:p>
            <w:pPr>
              <w:spacing w:after="0"/>
              <w:rPr>
                <w:sz w:val="1"/>
                <w:szCs w:val="1"/>
                <w:color w:val="auto"/>
              </w:rPr>
            </w:pPr>
          </w:p>
        </w:tc>
      </w:tr>
      <w:tr>
        <w:trPr>
          <w:trHeight w:val="124"/>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Fixed rate</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2"/>
          </w:tcPr>
          <w:p>
            <w:pPr>
              <w:ind w:left="160"/>
              <w:spacing w:after="0"/>
              <w:rPr>
                <w:sz w:val="20"/>
                <w:szCs w:val="20"/>
                <w:color w:val="auto"/>
              </w:rPr>
            </w:pPr>
            <w:r>
              <w:rPr>
                <w:rFonts w:ascii="Arial" w:cs="Arial" w:eastAsia="Arial" w:hAnsi="Arial"/>
                <w:sz w:val="10"/>
                <w:szCs w:val="10"/>
                <w:color w:val="auto"/>
              </w:rPr>
              <w:t>≤ 15-year: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2.5%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100%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105.2%</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2.97%</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1.30%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33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8%</w:t>
            </w:r>
          </w:p>
        </w:tc>
        <w:tc>
          <w:tcPr>
            <w:tcW w:w="0" w:type="dxa"/>
            <w:vAlign w:val="bottom"/>
          </w:tcPr>
          <w:p>
            <w:pPr>
              <w:spacing w:after="0"/>
              <w:rPr>
                <w:sz w:val="1"/>
                <w:szCs w:val="1"/>
                <w:color w:val="auto"/>
              </w:rPr>
            </w:pPr>
          </w:p>
        </w:tc>
      </w:tr>
      <w:tr>
        <w:trPr>
          <w:trHeight w:val="128"/>
        </w:trPr>
        <w:tc>
          <w:tcPr>
            <w:tcW w:w="2360" w:type="dxa"/>
            <w:vAlign w:val="bottom"/>
          </w:tcPr>
          <w:p>
            <w:pPr>
              <w:ind w:left="220"/>
              <w:spacing w:after="0"/>
              <w:rPr>
                <w:sz w:val="20"/>
                <w:szCs w:val="20"/>
                <w:color w:val="auto"/>
              </w:rPr>
            </w:pPr>
            <w:r>
              <w:rPr>
                <w:rFonts w:ascii="Arial" w:cs="Arial" w:eastAsia="Arial" w:hAnsi="Arial"/>
                <w:sz w:val="10"/>
                <w:szCs w:val="10"/>
                <w:color w:val="auto"/>
              </w:rPr>
              <w:t>3.0% - 4.0%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1,435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1,470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1,369</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98%</w:t>
            </w:r>
          </w:p>
        </w:tc>
        <w:tc>
          <w:tcPr>
            <w:tcW w:w="20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102.2%</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3.98%</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2.74%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56</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11%</w:t>
            </w: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4.5%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102.8%</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5.03%</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95"/>
              </w:rPr>
              <w:t>142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17"/>
        </w:trPr>
        <w:tc>
          <w:tcPr>
            <w:tcW w:w="2460" w:type="dxa"/>
            <w:vAlign w:val="bottom"/>
            <w:tcBorders>
              <w:bottom w:val="single" w:sz="8" w:color="CCEEFF"/>
            </w:tcBorders>
            <w:gridSpan w:val="2"/>
          </w:tcPr>
          <w:p>
            <w:pPr>
              <w:ind w:left="140"/>
              <w:spacing w:after="0" w:line="107" w:lineRule="exact"/>
              <w:rPr>
                <w:sz w:val="20"/>
                <w:szCs w:val="20"/>
                <w:color w:val="auto"/>
              </w:rPr>
            </w:pPr>
            <w:r>
              <w:rPr>
                <w:rFonts w:ascii="Arial" w:cs="Arial" w:eastAsia="Arial" w:hAnsi="Arial"/>
                <w:sz w:val="10"/>
                <w:szCs w:val="10"/>
                <w:color w:val="auto"/>
              </w:rPr>
              <w:t>Total ≤ 15-year</w:t>
            </w: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1,757</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1,808</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1,661</w:t>
            </w:r>
          </w:p>
        </w:tc>
        <w:tc>
          <w:tcPr>
            <w:tcW w:w="10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98%</w:t>
            </w:r>
          </w:p>
        </w:tc>
        <w:tc>
          <w:tcPr>
            <w:tcW w:w="200" w:type="dxa"/>
            <w:vAlign w:val="bottom"/>
            <w:tcBorders>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8"/>
              </w:rPr>
              <w:t>102.8%</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0"/>
                <w:szCs w:val="10"/>
                <w:color w:val="auto"/>
                <w:w w:val="84"/>
              </w:rPr>
              <w:t>3.80%</w:t>
            </w:r>
          </w:p>
        </w:tc>
        <w:tc>
          <w:tcPr>
            <w:tcW w:w="10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0"/>
                <w:szCs w:val="10"/>
                <w:color w:val="auto"/>
              </w:rPr>
              <w:t>2.48%</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center"/>
              <w:ind w:right="112"/>
              <w:spacing w:after="0"/>
              <w:rPr>
                <w:sz w:val="20"/>
                <w:szCs w:val="20"/>
                <w:color w:val="auto"/>
              </w:rPr>
            </w:pPr>
            <w:r>
              <w:rPr>
                <w:rFonts w:ascii="Arial" w:cs="Arial" w:eastAsia="Arial" w:hAnsi="Arial"/>
                <w:sz w:val="10"/>
                <w:szCs w:val="10"/>
                <w:color w:val="auto"/>
                <w:w w:val="71"/>
              </w:rPr>
              <w:t>52</w:t>
            </w:r>
          </w:p>
        </w:tc>
        <w:tc>
          <w:tcPr>
            <w:tcW w:w="10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11%</w:t>
            </w:r>
          </w:p>
        </w:tc>
        <w:tc>
          <w:tcPr>
            <w:tcW w:w="0" w:type="dxa"/>
            <w:vAlign w:val="bottom"/>
          </w:tcPr>
          <w:p>
            <w:pPr>
              <w:spacing w:after="0"/>
              <w:rPr>
                <w:sz w:val="1"/>
                <w:szCs w:val="1"/>
                <w:color w:val="auto"/>
              </w:rPr>
            </w:pPr>
          </w:p>
        </w:tc>
      </w:tr>
      <w:tr>
        <w:trPr>
          <w:trHeight w:val="122"/>
        </w:trPr>
        <w:tc>
          <w:tcPr>
            <w:tcW w:w="24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0"/>
                <w:szCs w:val="10"/>
                <w:color w:val="auto"/>
              </w:rPr>
              <w:t>20-year:</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2"/>
          </w:tcPr>
          <w:p>
            <w:pPr>
              <w:ind w:left="220"/>
              <w:spacing w:after="0"/>
              <w:rPr>
                <w:sz w:val="20"/>
                <w:szCs w:val="20"/>
                <w:color w:val="auto"/>
              </w:rPr>
            </w:pPr>
            <w:r>
              <w:rPr>
                <w:rFonts w:ascii="Arial" w:cs="Arial" w:eastAsia="Arial" w:hAnsi="Arial"/>
                <w:sz w:val="10"/>
                <w:szCs w:val="10"/>
                <w:color w:val="auto"/>
              </w:rPr>
              <w:t>≤ 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1,338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1,134</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color w:val="auto"/>
                <w:w w:val="95"/>
              </w:rPr>
              <w:t>—%</w:t>
            </w: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103.6%</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2.98%</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1.60%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24</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96"/>
              </w:rPr>
              <w:t>5%</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3.0% - 4.0%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102.8%</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4.14%</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2.91%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87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28"/>
        </w:trPr>
        <w:tc>
          <w:tcPr>
            <w:tcW w:w="2460" w:type="dxa"/>
            <w:vAlign w:val="bottom"/>
            <w:gridSpan w:val="2"/>
          </w:tcPr>
          <w:p>
            <w:pPr>
              <w:ind w:left="220"/>
              <w:spacing w:after="0"/>
              <w:rPr>
                <w:sz w:val="20"/>
                <w:szCs w:val="20"/>
                <w:color w:val="auto"/>
              </w:rPr>
            </w:pPr>
            <w:r>
              <w:rPr>
                <w:rFonts w:ascii="Arial" w:cs="Arial" w:eastAsia="Arial" w:hAnsi="Arial"/>
                <w:sz w:val="10"/>
                <w:szCs w:val="10"/>
                <w:color w:val="auto"/>
              </w:rPr>
              <w:t>≥ 4.5%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99%</w:t>
            </w:r>
          </w:p>
        </w:tc>
        <w:tc>
          <w:tcPr>
            <w:tcW w:w="20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105.2%</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5.00%</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3.18%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71</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12%</w:t>
            </w:r>
          </w:p>
        </w:tc>
        <w:tc>
          <w:tcPr>
            <w:tcW w:w="0" w:type="dxa"/>
            <w:vAlign w:val="bottom"/>
          </w:tcPr>
          <w:p>
            <w:pPr>
              <w:spacing w:after="0"/>
              <w:rPr>
                <w:sz w:val="1"/>
                <w:szCs w:val="1"/>
                <w:color w:val="auto"/>
              </w:rPr>
            </w:pPr>
          </w:p>
        </w:tc>
      </w:tr>
      <w:tr>
        <w:trPr>
          <w:trHeight w:val="131"/>
        </w:trPr>
        <w:tc>
          <w:tcPr>
            <w:tcW w:w="2460" w:type="dxa"/>
            <w:vAlign w:val="bottom"/>
            <w:tcBorders>
              <w:top w:val="single" w:sz="8" w:color="CCEEFF"/>
            </w:tcBorders>
            <w:gridSpan w:val="2"/>
            <w:shd w:val="clear" w:color="auto" w:fill="CCEEFF"/>
          </w:tcPr>
          <w:p>
            <w:pPr>
              <w:ind w:left="140"/>
              <w:spacing w:after="0" w:line="114" w:lineRule="exact"/>
              <w:rPr>
                <w:sz w:val="20"/>
                <w:szCs w:val="20"/>
                <w:color w:val="auto"/>
              </w:rPr>
            </w:pPr>
            <w:r>
              <w:rPr>
                <w:rFonts w:ascii="Arial" w:cs="Arial" w:eastAsia="Arial" w:hAnsi="Arial"/>
                <w:sz w:val="10"/>
                <w:szCs w:val="10"/>
                <w:color w:val="auto"/>
              </w:rPr>
              <w:t>Total 20-year:</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1,686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1,465</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20%</w:t>
            </w:r>
          </w:p>
        </w:tc>
        <w:tc>
          <w:tcPr>
            <w:tcW w:w="2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103.6%</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center"/>
              <w:ind w:left="52"/>
              <w:spacing w:after="0"/>
              <w:rPr>
                <w:sz w:val="20"/>
                <w:szCs w:val="20"/>
                <w:color w:val="auto"/>
              </w:rPr>
            </w:pPr>
            <w:r>
              <w:rPr>
                <w:rFonts w:ascii="Arial" w:cs="Arial" w:eastAsia="Arial" w:hAnsi="Arial"/>
                <w:sz w:val="10"/>
                <w:szCs w:val="10"/>
                <w:color w:val="auto"/>
                <w:w w:val="84"/>
              </w:rPr>
              <w:t>3.26%</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0"/>
                <w:szCs w:val="10"/>
                <w:color w:val="auto"/>
              </w:rPr>
              <w:t>1.88%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center"/>
              <w:ind w:right="112"/>
              <w:spacing w:after="0"/>
              <w:rPr>
                <w:sz w:val="20"/>
                <w:szCs w:val="20"/>
                <w:color w:val="auto"/>
              </w:rPr>
            </w:pPr>
            <w:r>
              <w:rPr>
                <w:rFonts w:ascii="Arial" w:cs="Arial" w:eastAsia="Arial" w:hAnsi="Arial"/>
                <w:sz w:val="10"/>
                <w:szCs w:val="10"/>
                <w:color w:val="auto"/>
                <w:w w:val="71"/>
              </w:rPr>
              <w:t>36</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6"/>
              </w:rPr>
              <w:t>6%</w:t>
            </w:r>
          </w:p>
        </w:tc>
        <w:tc>
          <w:tcPr>
            <w:tcW w:w="0" w:type="dxa"/>
            <w:vAlign w:val="bottom"/>
          </w:tcPr>
          <w:p>
            <w:pPr>
              <w:spacing w:after="0"/>
              <w:rPr>
                <w:sz w:val="1"/>
                <w:szCs w:val="1"/>
                <w:color w:val="auto"/>
              </w:rPr>
            </w:pPr>
          </w:p>
        </w:tc>
      </w:tr>
      <w:tr>
        <w:trPr>
          <w:trHeight w:val="108"/>
        </w:trPr>
        <w:tc>
          <w:tcPr>
            <w:tcW w:w="2460" w:type="dxa"/>
            <w:vAlign w:val="bottom"/>
            <w:gridSpan w:val="2"/>
          </w:tcPr>
          <w:p>
            <w:pPr>
              <w:ind w:left="140"/>
              <w:spacing w:after="0" w:line="102" w:lineRule="exact"/>
              <w:rPr>
                <w:sz w:val="20"/>
                <w:szCs w:val="20"/>
                <w:color w:val="auto"/>
              </w:rPr>
            </w:pPr>
            <w:r>
              <w:rPr>
                <w:rFonts w:ascii="Arial" w:cs="Arial" w:eastAsia="Arial" w:hAnsi="Arial"/>
                <w:sz w:val="10"/>
                <w:szCs w:val="10"/>
                <w:color w:val="auto"/>
              </w:rPr>
              <w:t>30-year: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2.5%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7,112</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3.01%</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17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6%</w:t>
            </w:r>
          </w:p>
        </w:tc>
        <w:tc>
          <w:tcPr>
            <w:tcW w:w="0" w:type="dxa"/>
            <w:vAlign w:val="bottom"/>
          </w:tcPr>
          <w:p>
            <w:pPr>
              <w:spacing w:after="0"/>
              <w:rPr>
                <w:sz w:val="1"/>
                <w:szCs w:val="1"/>
                <w:color w:val="auto"/>
              </w:rPr>
            </w:pPr>
          </w:p>
        </w:tc>
      </w:tr>
      <w:tr>
        <w:trPr>
          <w:trHeight w:val="128"/>
        </w:trPr>
        <w:tc>
          <w:tcPr>
            <w:tcW w:w="2360" w:type="dxa"/>
            <w:vAlign w:val="bottom"/>
          </w:tcPr>
          <w:p>
            <w:pPr>
              <w:ind w:left="220"/>
              <w:spacing w:after="0"/>
              <w:rPr>
                <w:sz w:val="20"/>
                <w:szCs w:val="20"/>
                <w:color w:val="auto"/>
              </w:rPr>
            </w:pPr>
            <w:r>
              <w:rPr>
                <w:rFonts w:ascii="Arial" w:cs="Arial" w:eastAsia="Arial" w:hAnsi="Arial"/>
                <w:sz w:val="10"/>
                <w:szCs w:val="10"/>
                <w:color w:val="auto"/>
              </w:rPr>
              <w:t>3.0% - 4.0%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28,068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28,906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25,798</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62%</w:t>
            </w:r>
          </w:p>
        </w:tc>
        <w:tc>
          <w:tcPr>
            <w:tcW w:w="20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103.7%</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4.15%</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3.01%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57</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96"/>
              </w:rPr>
              <w:t>7%</w:t>
            </w: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4.5%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23,444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32%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103.6%</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5.32%</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4.02%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23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7%</w:t>
            </w:r>
          </w:p>
        </w:tc>
        <w:tc>
          <w:tcPr>
            <w:tcW w:w="0" w:type="dxa"/>
            <w:vAlign w:val="bottom"/>
          </w:tcPr>
          <w:p>
            <w:pPr>
              <w:spacing w:after="0"/>
              <w:rPr>
                <w:sz w:val="1"/>
                <w:szCs w:val="1"/>
                <w:color w:val="auto"/>
              </w:rPr>
            </w:pPr>
          </w:p>
        </w:tc>
      </w:tr>
      <w:tr>
        <w:trPr>
          <w:trHeight w:val="117"/>
        </w:trPr>
        <w:tc>
          <w:tcPr>
            <w:tcW w:w="2460" w:type="dxa"/>
            <w:vAlign w:val="bottom"/>
            <w:tcBorders>
              <w:bottom w:val="single" w:sz="8" w:color="CCEEFF"/>
            </w:tcBorders>
            <w:gridSpan w:val="2"/>
          </w:tcPr>
          <w:p>
            <w:pPr>
              <w:ind w:left="140"/>
              <w:spacing w:after="0" w:line="107" w:lineRule="exact"/>
              <w:rPr>
                <w:sz w:val="20"/>
                <w:szCs w:val="20"/>
                <w:color w:val="auto"/>
              </w:rPr>
            </w:pPr>
            <w:r>
              <w:rPr>
                <w:rFonts w:ascii="Arial" w:cs="Arial" w:eastAsia="Arial" w:hAnsi="Arial"/>
                <w:sz w:val="10"/>
                <w:szCs w:val="10"/>
                <w:color w:val="auto"/>
              </w:rPr>
              <w:t>Total 30-year</w:t>
            </w: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60,996</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62,589</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56,354</w:t>
            </w:r>
          </w:p>
        </w:tc>
        <w:tc>
          <w:tcPr>
            <w:tcW w:w="10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47%</w:t>
            </w:r>
          </w:p>
        </w:tc>
        <w:tc>
          <w:tcPr>
            <w:tcW w:w="200" w:type="dxa"/>
            <w:vAlign w:val="bottom"/>
            <w:tcBorders>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8"/>
              </w:rPr>
              <w:t>103.3%</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0"/>
                <w:szCs w:val="10"/>
                <w:color w:val="auto"/>
                <w:w w:val="84"/>
              </w:rPr>
              <w:t>4.23%</w:t>
            </w:r>
          </w:p>
        </w:tc>
        <w:tc>
          <w:tcPr>
            <w:tcW w:w="10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0"/>
                <w:szCs w:val="10"/>
                <w:color w:val="auto"/>
              </w:rPr>
              <w:t>3.08%</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center"/>
              <w:ind w:right="112"/>
              <w:spacing w:after="0"/>
              <w:rPr>
                <w:sz w:val="20"/>
                <w:szCs w:val="20"/>
                <w:color w:val="auto"/>
              </w:rPr>
            </w:pPr>
            <w:r>
              <w:rPr>
                <w:rFonts w:ascii="Arial" w:cs="Arial" w:eastAsia="Arial" w:hAnsi="Arial"/>
                <w:sz w:val="10"/>
                <w:szCs w:val="10"/>
                <w:color w:val="auto"/>
                <w:w w:val="71"/>
              </w:rPr>
              <w:t>40</w:t>
            </w:r>
          </w:p>
        </w:tc>
        <w:tc>
          <w:tcPr>
            <w:tcW w:w="10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96"/>
              </w:rPr>
              <w:t>7%</w:t>
            </w:r>
          </w:p>
        </w:tc>
        <w:tc>
          <w:tcPr>
            <w:tcW w:w="0" w:type="dxa"/>
            <w:vAlign w:val="bottom"/>
          </w:tcPr>
          <w:p>
            <w:pPr>
              <w:spacing w:after="0"/>
              <w:rPr>
                <w:sz w:val="1"/>
                <w:szCs w:val="1"/>
                <w:color w:val="auto"/>
              </w:rPr>
            </w:pPr>
          </w:p>
        </w:tc>
      </w:tr>
      <w:tr>
        <w:trPr>
          <w:trHeight w:val="147"/>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Total fixed rate</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64,439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66,143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59,480</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48%</w:t>
            </w:r>
          </w:p>
        </w:tc>
        <w:tc>
          <w:tcPr>
            <w:tcW w:w="2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103.3%</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0"/>
                <w:szCs w:val="10"/>
                <w:color w:val="auto"/>
                <w:w w:val="84"/>
              </w:rPr>
              <w:t>4.18%</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0"/>
                <w:szCs w:val="10"/>
                <w:color w:val="auto"/>
              </w:rPr>
              <w:t>3.01%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center"/>
              <w:ind w:right="112"/>
              <w:spacing w:after="0"/>
              <w:rPr>
                <w:sz w:val="20"/>
                <w:szCs w:val="20"/>
                <w:color w:val="auto"/>
              </w:rPr>
            </w:pPr>
            <w:r>
              <w:rPr>
                <w:rFonts w:ascii="Arial" w:cs="Arial" w:eastAsia="Arial" w:hAnsi="Arial"/>
                <w:sz w:val="10"/>
                <w:szCs w:val="10"/>
                <w:color w:val="auto"/>
                <w:w w:val="71"/>
              </w:rPr>
              <w:t>40</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6"/>
              </w:rPr>
              <w:t>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jc w:val="both"/>
        <w:ind w:left="420" w:hanging="212"/>
        <w:spacing w:after="0" w:line="237" w:lineRule="auto"/>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2022, lower balance specified pools had a weighted average original loan balance of $123,000 and $136,000 for 15-year and 30-year securities, respectively, and HARP pools had a weighted average original LTV of 128% and 138% for 15-year and 30-year securities, respectively.</w:t>
      </w:r>
    </w:p>
    <w:p>
      <w:pPr>
        <w:ind w:left="420" w:hanging="212"/>
        <w:spacing w:after="0"/>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WAC represents the weighted average coupon of the underlying collateral.</w:t>
      </w:r>
    </w:p>
    <w:p>
      <w:pPr>
        <w:spacing w:after="0" w:line="2" w:lineRule="exact"/>
        <w:rPr>
          <w:rFonts w:ascii="Arial" w:cs="Arial" w:eastAsia="Arial" w:hAnsi="Arial"/>
          <w:sz w:val="10"/>
          <w:szCs w:val="10"/>
          <w:color w:val="auto"/>
        </w:rPr>
      </w:pPr>
    </w:p>
    <w:p>
      <w:pPr>
        <w:ind w:left="420" w:hanging="212"/>
        <w:spacing w:after="0"/>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Portfolio yield incorporates a projected life CPR based on forward rate assumptions as of September 30, 2022.</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December 31, 2021</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Includes Net TBA Position</w:t>
            </w: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w w:val="87"/>
              </w:rPr>
              <w:t>Excludes Net TBA Position</w:t>
            </w: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w w:val="96"/>
              </w:rPr>
              <w:t>Weighted Average</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Fixed Rate Agency RMBS and TBA Securities</w:t>
            </w:r>
          </w:p>
        </w:tc>
        <w:tc>
          <w:tcPr>
            <w:tcW w:w="12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Par Value</w:t>
            </w:r>
          </w:p>
        </w:tc>
        <w:tc>
          <w:tcPr>
            <w:tcW w:w="160" w:type="dxa"/>
            <w:vAlign w:val="bottom"/>
          </w:tcPr>
          <w:p>
            <w:pPr>
              <w:spacing w:after="0"/>
              <w:rPr>
                <w:sz w:val="6"/>
                <w:szCs w:val="6"/>
                <w:color w:val="auto"/>
              </w:rPr>
            </w:pPr>
          </w:p>
        </w:tc>
        <w:tc>
          <w:tcPr>
            <w:tcW w:w="900" w:type="dxa"/>
            <w:vAlign w:val="bottom"/>
            <w:gridSpan w:val="2"/>
          </w:tcPr>
          <w:p>
            <w:pPr>
              <w:jc w:val="center"/>
              <w:ind w:right="260"/>
              <w:spacing w:after="0" w:line="72" w:lineRule="exact"/>
              <w:rPr>
                <w:sz w:val="20"/>
                <w:szCs w:val="20"/>
                <w:color w:val="auto"/>
              </w:rPr>
            </w:pPr>
            <w:r>
              <w:rPr>
                <w:rFonts w:ascii="Arial" w:cs="Arial" w:eastAsia="Arial" w:hAnsi="Arial"/>
                <w:sz w:val="8"/>
                <w:szCs w:val="8"/>
                <w:b w:val="1"/>
                <w:bCs w:val="1"/>
                <w:color w:val="auto"/>
              </w:rPr>
              <w:t>Amortized</w:t>
            </w:r>
          </w:p>
        </w:tc>
        <w:tc>
          <w:tcPr>
            <w:tcW w:w="1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11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 xml:space="preserve">Specified Pool % </w:t>
            </w:r>
            <w:r>
              <w:rPr>
                <w:rFonts w:ascii="Arial" w:cs="Arial" w:eastAsia="Arial" w:hAnsi="Arial"/>
                <w:sz w:val="12"/>
                <w:szCs w:val="12"/>
                <w:b w:val="1"/>
                <w:bCs w:val="1"/>
                <w:color w:val="auto"/>
                <w:vertAlign w:val="superscript"/>
              </w:rPr>
              <w:t>1</w:t>
            </w:r>
          </w:p>
        </w:tc>
        <w:tc>
          <w:tcPr>
            <w:tcW w:w="11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rPr>
              <w:t>Amortized</w:t>
            </w:r>
          </w:p>
        </w:tc>
        <w:tc>
          <w:tcPr>
            <w:tcW w:w="580" w:type="dxa"/>
            <w:vAlign w:val="bottom"/>
            <w:vMerge w:val="restart"/>
          </w:tcPr>
          <w:p>
            <w:pPr>
              <w:jc w:val="center"/>
              <w:ind w:left="52"/>
              <w:spacing w:after="0"/>
              <w:rPr>
                <w:sz w:val="20"/>
                <w:szCs w:val="20"/>
                <w:color w:val="auto"/>
              </w:rPr>
            </w:pPr>
            <w:r>
              <w:rPr>
                <w:rFonts w:ascii="Arial" w:cs="Arial" w:eastAsia="Arial" w:hAnsi="Arial"/>
                <w:sz w:val="10"/>
                <w:szCs w:val="10"/>
                <w:b w:val="1"/>
                <w:bCs w:val="1"/>
                <w:color w:val="auto"/>
                <w:w w:val="89"/>
              </w:rPr>
              <w:t xml:space="preserve">WAC </w:t>
            </w:r>
            <w:r>
              <w:rPr>
                <w:rFonts w:ascii="Arial" w:cs="Arial" w:eastAsia="Arial" w:hAnsi="Arial"/>
                <w:sz w:val="12"/>
                <w:szCs w:val="12"/>
                <w:b w:val="1"/>
                <w:bCs w:val="1"/>
                <w:color w:val="auto"/>
                <w:w w:val="89"/>
                <w:vertAlign w:val="superscript"/>
              </w:rPr>
              <w:t>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rPr>
              <w:t xml:space="preserve">Yield </w:t>
            </w:r>
            <w:r>
              <w:rPr>
                <w:rFonts w:ascii="Arial" w:cs="Arial" w:eastAsia="Arial" w:hAnsi="Arial"/>
                <w:sz w:val="12"/>
                <w:szCs w:val="12"/>
                <w:b w:val="1"/>
                <w:bCs w:val="1"/>
                <w:color w:val="auto"/>
                <w:vertAlign w:val="superscript"/>
              </w:rPr>
              <w:t>3</w:t>
            </w:r>
          </w:p>
        </w:tc>
        <w:tc>
          <w:tcPr>
            <w:tcW w:w="9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Age (Months)</w:t>
            </w:r>
          </w:p>
        </w:tc>
        <w:tc>
          <w:tcPr>
            <w:tcW w:w="900" w:type="dxa"/>
            <w:vAlign w:val="bottom"/>
          </w:tcPr>
          <w:p>
            <w:pPr>
              <w:jc w:val="center"/>
              <w:spacing w:after="0" w:line="72" w:lineRule="exact"/>
              <w:rPr>
                <w:sz w:val="20"/>
                <w:szCs w:val="20"/>
                <w:color w:val="auto"/>
              </w:rPr>
            </w:pPr>
            <w:r>
              <w:rPr>
                <w:rFonts w:ascii="Arial" w:cs="Arial" w:eastAsia="Arial" w:hAnsi="Arial"/>
                <w:sz w:val="8"/>
                <w:szCs w:val="8"/>
                <w:b w:val="1"/>
                <w:bCs w:val="1"/>
                <w:color w:val="auto"/>
              </w:rPr>
              <w:t>Projected</w:t>
            </w:r>
          </w:p>
        </w:tc>
        <w:tc>
          <w:tcPr>
            <w:tcW w:w="0" w:type="dxa"/>
            <w:vAlign w:val="bottom"/>
          </w:tcPr>
          <w:p>
            <w:pPr>
              <w:spacing w:after="0"/>
              <w:rPr>
                <w:sz w:val="1"/>
                <w:szCs w:val="1"/>
                <w:color w:val="auto"/>
              </w:rPr>
            </w:pPr>
          </w:p>
        </w:tc>
      </w:tr>
      <w:tr>
        <w:trPr>
          <w:trHeight w:val="135"/>
        </w:trPr>
        <w:tc>
          <w:tcPr>
            <w:tcW w:w="2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Cost</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1"/>
              </w:rPr>
              <w:t>Cost Basis</w:t>
            </w: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5"/>
              </w:rPr>
              <w:t xml:space="preserve">CPR </w:t>
            </w:r>
            <w:r>
              <w:rPr>
                <w:rFonts w:ascii="Arial" w:cs="Arial" w:eastAsia="Arial" w:hAnsi="Arial"/>
                <w:sz w:val="6"/>
                <w:szCs w:val="6"/>
                <w:b w:val="1"/>
                <w:bCs w:val="1"/>
                <w:color w:val="auto"/>
                <w:w w:val="95"/>
              </w:rPr>
              <w:t>3</w:t>
            </w:r>
          </w:p>
        </w:tc>
        <w:tc>
          <w:tcPr>
            <w:tcW w:w="0" w:type="dxa"/>
            <w:vAlign w:val="bottom"/>
          </w:tcPr>
          <w:p>
            <w:pPr>
              <w:spacing w:after="0"/>
              <w:rPr>
                <w:sz w:val="1"/>
                <w:szCs w:val="1"/>
                <w:color w:val="auto"/>
              </w:rPr>
            </w:pPr>
          </w:p>
        </w:tc>
      </w:tr>
      <w:tr>
        <w:trPr>
          <w:trHeight w:val="124"/>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Fixed rate</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2"/>
          </w:tcPr>
          <w:p>
            <w:pPr>
              <w:ind w:left="140"/>
              <w:spacing w:after="0"/>
              <w:rPr>
                <w:sz w:val="20"/>
                <w:szCs w:val="20"/>
                <w:color w:val="auto"/>
              </w:rPr>
            </w:pPr>
            <w:r>
              <w:rPr>
                <w:rFonts w:ascii="Arial" w:cs="Arial" w:eastAsia="Arial" w:hAnsi="Arial"/>
                <w:sz w:val="10"/>
                <w:szCs w:val="10"/>
                <w:color w:val="auto"/>
              </w:rPr>
              <w:t>≤ 15-year: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2.5%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2.97%</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25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28"/>
        </w:trPr>
        <w:tc>
          <w:tcPr>
            <w:tcW w:w="2360" w:type="dxa"/>
            <w:vAlign w:val="bottom"/>
          </w:tcPr>
          <w:p>
            <w:pPr>
              <w:ind w:left="220"/>
              <w:spacing w:after="0"/>
              <w:rPr>
                <w:sz w:val="20"/>
                <w:szCs w:val="20"/>
                <w:color w:val="auto"/>
              </w:rPr>
            </w:pPr>
            <w:r>
              <w:rPr>
                <w:rFonts w:ascii="Arial" w:cs="Arial" w:eastAsia="Arial" w:hAnsi="Arial"/>
                <w:sz w:val="10"/>
                <w:szCs w:val="10"/>
                <w:color w:val="auto"/>
              </w:rPr>
              <w:t>3.0% - 4.0%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2,176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2,262</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98%</w:t>
            </w:r>
          </w:p>
        </w:tc>
        <w:tc>
          <w:tcPr>
            <w:tcW w:w="20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102.0%</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3.97%</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2.66%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53</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17%</w:t>
            </w: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4.5%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102.8%</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5.01%</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2.67%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95"/>
              </w:rPr>
              <w:t>133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21%</w:t>
            </w:r>
          </w:p>
        </w:tc>
        <w:tc>
          <w:tcPr>
            <w:tcW w:w="0" w:type="dxa"/>
            <w:vAlign w:val="bottom"/>
          </w:tcPr>
          <w:p>
            <w:pPr>
              <w:spacing w:after="0"/>
              <w:rPr>
                <w:sz w:val="1"/>
                <w:szCs w:val="1"/>
                <w:color w:val="auto"/>
              </w:rPr>
            </w:pPr>
          </w:p>
        </w:tc>
      </w:tr>
      <w:tr>
        <w:trPr>
          <w:trHeight w:val="117"/>
        </w:trPr>
        <w:tc>
          <w:tcPr>
            <w:tcW w:w="2460" w:type="dxa"/>
            <w:vAlign w:val="bottom"/>
            <w:tcBorders>
              <w:bottom w:val="single" w:sz="8" w:color="CCEEFF"/>
            </w:tcBorders>
            <w:gridSpan w:val="2"/>
          </w:tcPr>
          <w:p>
            <w:pPr>
              <w:ind w:left="140"/>
              <w:spacing w:after="0" w:line="107" w:lineRule="exact"/>
              <w:rPr>
                <w:sz w:val="20"/>
                <w:szCs w:val="20"/>
                <w:color w:val="auto"/>
              </w:rPr>
            </w:pPr>
            <w:r>
              <w:rPr>
                <w:rFonts w:ascii="Arial" w:cs="Arial" w:eastAsia="Arial" w:hAnsi="Arial"/>
                <w:sz w:val="10"/>
                <w:szCs w:val="10"/>
                <w:color w:val="auto"/>
              </w:rPr>
              <w:t>Total ≤ 15-year</w:t>
            </w: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4,547</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4,626</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4,711</w:t>
            </w:r>
          </w:p>
        </w:tc>
        <w:tc>
          <w:tcPr>
            <w:tcW w:w="10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55%</w:t>
            </w:r>
          </w:p>
        </w:tc>
        <w:tc>
          <w:tcPr>
            <w:tcW w:w="200" w:type="dxa"/>
            <w:vAlign w:val="bottom"/>
            <w:tcBorders>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8"/>
              </w:rPr>
              <w:t>102.5%</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0"/>
                <w:szCs w:val="10"/>
                <w:color w:val="auto"/>
                <w:w w:val="84"/>
              </w:rPr>
              <w:t>3.82%</w:t>
            </w:r>
          </w:p>
        </w:tc>
        <w:tc>
          <w:tcPr>
            <w:tcW w:w="10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0"/>
                <w:szCs w:val="10"/>
                <w:color w:val="auto"/>
              </w:rPr>
              <w:t>2.44%</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center"/>
              <w:ind w:right="112"/>
              <w:spacing w:after="0"/>
              <w:rPr>
                <w:sz w:val="20"/>
                <w:szCs w:val="20"/>
                <w:color w:val="auto"/>
              </w:rPr>
            </w:pPr>
            <w:r>
              <w:rPr>
                <w:rFonts w:ascii="Arial" w:cs="Arial" w:eastAsia="Arial" w:hAnsi="Arial"/>
                <w:sz w:val="10"/>
                <w:szCs w:val="10"/>
                <w:color w:val="auto"/>
                <w:w w:val="71"/>
              </w:rPr>
              <w:t>49</w:t>
            </w:r>
          </w:p>
        </w:tc>
        <w:tc>
          <w:tcPr>
            <w:tcW w:w="10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22"/>
        </w:trPr>
        <w:tc>
          <w:tcPr>
            <w:tcW w:w="24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0"/>
                <w:szCs w:val="10"/>
                <w:color w:val="auto"/>
              </w:rPr>
              <w:t>20-year:</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2"/>
          </w:tcPr>
          <w:p>
            <w:pPr>
              <w:ind w:left="220"/>
              <w:spacing w:after="0"/>
              <w:rPr>
                <w:sz w:val="20"/>
                <w:szCs w:val="20"/>
                <w:color w:val="auto"/>
              </w:rPr>
            </w:pPr>
            <w:r>
              <w:rPr>
                <w:rFonts w:ascii="Arial" w:cs="Arial" w:eastAsia="Arial" w:hAnsi="Arial"/>
                <w:sz w:val="10"/>
                <w:szCs w:val="10"/>
                <w:color w:val="auto"/>
              </w:rPr>
              <w:t>≤ 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1,472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1,496</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color w:val="auto"/>
                <w:w w:val="95"/>
              </w:rPr>
              <w:t>—%</w:t>
            </w: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103.4%</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2.98%</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1.44%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15</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11%</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3.0% - 4.0%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102.5%</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4.15%</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2.88%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79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14%</w:t>
            </w:r>
          </w:p>
        </w:tc>
        <w:tc>
          <w:tcPr>
            <w:tcW w:w="0" w:type="dxa"/>
            <w:vAlign w:val="bottom"/>
          </w:tcPr>
          <w:p>
            <w:pPr>
              <w:spacing w:after="0"/>
              <w:rPr>
                <w:sz w:val="1"/>
                <w:szCs w:val="1"/>
                <w:color w:val="auto"/>
              </w:rPr>
            </w:pPr>
          </w:p>
        </w:tc>
      </w:tr>
      <w:tr>
        <w:trPr>
          <w:trHeight w:val="128"/>
        </w:trPr>
        <w:tc>
          <w:tcPr>
            <w:tcW w:w="2460" w:type="dxa"/>
            <w:vAlign w:val="bottom"/>
            <w:gridSpan w:val="2"/>
          </w:tcPr>
          <w:p>
            <w:pPr>
              <w:ind w:left="220"/>
              <w:spacing w:after="0"/>
              <w:rPr>
                <w:sz w:val="20"/>
                <w:szCs w:val="20"/>
                <w:color w:val="auto"/>
              </w:rPr>
            </w:pPr>
            <w:r>
              <w:rPr>
                <w:rFonts w:ascii="Arial" w:cs="Arial" w:eastAsia="Arial" w:hAnsi="Arial"/>
                <w:sz w:val="10"/>
                <w:szCs w:val="10"/>
                <w:color w:val="auto"/>
              </w:rPr>
              <w:t>≥ 4.5%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5"/>
              </w:rPr>
              <w:t>100%</w:t>
            </w:r>
          </w:p>
        </w:tc>
        <w:tc>
          <w:tcPr>
            <w:tcW w:w="20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104.7%</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5.00%</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3.13%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63</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31"/>
        </w:trPr>
        <w:tc>
          <w:tcPr>
            <w:tcW w:w="2460" w:type="dxa"/>
            <w:vAlign w:val="bottom"/>
            <w:tcBorders>
              <w:top w:val="single" w:sz="8" w:color="CCEEFF"/>
            </w:tcBorders>
            <w:gridSpan w:val="2"/>
            <w:shd w:val="clear" w:color="auto" w:fill="CCEEFF"/>
          </w:tcPr>
          <w:p>
            <w:pPr>
              <w:ind w:left="140"/>
              <w:spacing w:after="0" w:line="114" w:lineRule="exact"/>
              <w:rPr>
                <w:sz w:val="20"/>
                <w:szCs w:val="20"/>
                <w:color w:val="auto"/>
              </w:rPr>
            </w:pPr>
            <w:r>
              <w:rPr>
                <w:rFonts w:ascii="Arial" w:cs="Arial" w:eastAsia="Arial" w:hAnsi="Arial"/>
                <w:sz w:val="10"/>
                <w:szCs w:val="10"/>
                <w:color w:val="auto"/>
              </w:rPr>
              <w:t>Total 20-year:</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1,884</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1,948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1,942</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21%</w:t>
            </w:r>
          </w:p>
        </w:tc>
        <w:tc>
          <w:tcPr>
            <w:tcW w:w="2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103.3%</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center"/>
              <w:ind w:left="52"/>
              <w:spacing w:after="0"/>
              <w:rPr>
                <w:sz w:val="20"/>
                <w:szCs w:val="20"/>
                <w:color w:val="auto"/>
              </w:rPr>
            </w:pPr>
            <w:r>
              <w:rPr>
                <w:rFonts w:ascii="Arial" w:cs="Arial" w:eastAsia="Arial" w:hAnsi="Arial"/>
                <w:sz w:val="10"/>
                <w:szCs w:val="10"/>
                <w:color w:val="auto"/>
                <w:w w:val="84"/>
              </w:rPr>
              <w:t>3.29%</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0"/>
                <w:szCs w:val="10"/>
                <w:color w:val="auto"/>
              </w:rPr>
              <w:t>1.77%</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center"/>
              <w:ind w:right="112"/>
              <w:spacing w:after="0"/>
              <w:rPr>
                <w:sz w:val="20"/>
                <w:szCs w:val="20"/>
                <w:color w:val="auto"/>
              </w:rPr>
            </w:pPr>
            <w:r>
              <w:rPr>
                <w:rFonts w:ascii="Arial" w:cs="Arial" w:eastAsia="Arial" w:hAnsi="Arial"/>
                <w:sz w:val="10"/>
                <w:szCs w:val="10"/>
                <w:color w:val="auto"/>
                <w:w w:val="71"/>
              </w:rPr>
              <w:t>28</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12%</w:t>
            </w:r>
          </w:p>
        </w:tc>
        <w:tc>
          <w:tcPr>
            <w:tcW w:w="0" w:type="dxa"/>
            <w:vAlign w:val="bottom"/>
          </w:tcPr>
          <w:p>
            <w:pPr>
              <w:spacing w:after="0"/>
              <w:rPr>
                <w:sz w:val="1"/>
                <w:szCs w:val="1"/>
                <w:color w:val="auto"/>
              </w:rPr>
            </w:pPr>
          </w:p>
        </w:tc>
      </w:tr>
      <w:tr>
        <w:trPr>
          <w:trHeight w:val="108"/>
        </w:trPr>
        <w:tc>
          <w:tcPr>
            <w:tcW w:w="2460" w:type="dxa"/>
            <w:vAlign w:val="bottom"/>
            <w:gridSpan w:val="2"/>
          </w:tcPr>
          <w:p>
            <w:pPr>
              <w:ind w:left="140"/>
              <w:spacing w:after="0" w:line="102" w:lineRule="exact"/>
              <w:rPr>
                <w:sz w:val="20"/>
                <w:szCs w:val="20"/>
                <w:color w:val="auto"/>
              </w:rPr>
            </w:pPr>
            <w:r>
              <w:rPr>
                <w:rFonts w:ascii="Arial" w:cs="Arial" w:eastAsia="Arial" w:hAnsi="Arial"/>
                <w:sz w:val="10"/>
                <w:szCs w:val="10"/>
                <w:color w:val="auto"/>
              </w:rPr>
              <w:t>30-year: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2.5%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43,195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44,005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43,762</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102.1%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3.00%</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1.94%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7%</w:t>
            </w:r>
          </w:p>
        </w:tc>
        <w:tc>
          <w:tcPr>
            <w:tcW w:w="0" w:type="dxa"/>
            <w:vAlign w:val="bottom"/>
          </w:tcPr>
          <w:p>
            <w:pPr>
              <w:spacing w:after="0"/>
              <w:rPr>
                <w:sz w:val="1"/>
                <w:szCs w:val="1"/>
                <w:color w:val="auto"/>
              </w:rPr>
            </w:pPr>
          </w:p>
        </w:tc>
      </w:tr>
      <w:tr>
        <w:trPr>
          <w:trHeight w:val="128"/>
        </w:trPr>
        <w:tc>
          <w:tcPr>
            <w:tcW w:w="2360" w:type="dxa"/>
            <w:vAlign w:val="bottom"/>
          </w:tcPr>
          <w:p>
            <w:pPr>
              <w:ind w:left="220"/>
              <w:spacing w:after="0"/>
              <w:rPr>
                <w:sz w:val="20"/>
                <w:szCs w:val="20"/>
                <w:color w:val="auto"/>
              </w:rPr>
            </w:pPr>
            <w:r>
              <w:rPr>
                <w:rFonts w:ascii="Arial" w:cs="Arial" w:eastAsia="Arial" w:hAnsi="Arial"/>
                <w:sz w:val="10"/>
                <w:szCs w:val="10"/>
                <w:color w:val="auto"/>
              </w:rPr>
              <w:t>3.0% - 4.0%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22,258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23,270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23,930</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73%</w:t>
            </w:r>
          </w:p>
        </w:tc>
        <w:tc>
          <w:tcPr>
            <w:tcW w:w="20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color w:val="auto"/>
                <w:w w:val="88"/>
              </w:rPr>
              <w:t>104.7%</w:t>
            </w:r>
          </w:p>
        </w:tc>
        <w:tc>
          <w:tcPr>
            <w:tcW w:w="120" w:type="dxa"/>
            <w:vAlign w:val="bottom"/>
          </w:tcPr>
          <w:p>
            <w:pPr>
              <w:spacing w:after="0"/>
              <w:rPr>
                <w:sz w:val="11"/>
                <w:szCs w:val="11"/>
                <w:color w:val="auto"/>
              </w:rPr>
            </w:pPr>
          </w:p>
        </w:tc>
        <w:tc>
          <w:tcPr>
            <w:tcW w:w="580" w:type="dxa"/>
            <w:vAlign w:val="bottom"/>
          </w:tcPr>
          <w:p>
            <w:pPr>
              <w:jc w:val="center"/>
              <w:ind w:left="52"/>
              <w:spacing w:after="0"/>
              <w:rPr>
                <w:sz w:val="20"/>
                <w:szCs w:val="20"/>
                <w:color w:val="auto"/>
              </w:rPr>
            </w:pPr>
            <w:r>
              <w:rPr>
                <w:rFonts w:ascii="Arial" w:cs="Arial" w:eastAsia="Arial" w:hAnsi="Arial"/>
                <w:sz w:val="10"/>
                <w:szCs w:val="10"/>
                <w:color w:val="auto"/>
                <w:w w:val="84"/>
              </w:rPr>
              <w:t>4.24%</w:t>
            </w:r>
          </w:p>
        </w:tc>
        <w:tc>
          <w:tcPr>
            <w:tcW w:w="960" w:type="dxa"/>
            <w:vAlign w:val="bottom"/>
            <w:gridSpan w:val="3"/>
          </w:tcPr>
          <w:p>
            <w:pPr>
              <w:ind w:left="480"/>
              <w:spacing w:after="0"/>
              <w:rPr>
                <w:sz w:val="20"/>
                <w:szCs w:val="20"/>
                <w:color w:val="auto"/>
              </w:rPr>
            </w:pPr>
            <w:r>
              <w:rPr>
                <w:rFonts w:ascii="Arial" w:cs="Arial" w:eastAsia="Arial" w:hAnsi="Arial"/>
                <w:sz w:val="10"/>
                <w:szCs w:val="10"/>
                <w:color w:val="auto"/>
              </w:rPr>
              <w:t>2.69%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0"/>
                <w:szCs w:val="10"/>
                <w:color w:val="auto"/>
                <w:w w:val="71"/>
              </w:rPr>
              <w:t>72</w:t>
            </w:r>
          </w:p>
        </w:tc>
        <w:tc>
          <w:tcPr>
            <w:tcW w:w="1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4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4.5%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5,084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106.0%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4"/>
              </w:rPr>
              <w:t>5.02%</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71"/>
              </w:rPr>
              <w:t>53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17"/>
        </w:trPr>
        <w:tc>
          <w:tcPr>
            <w:tcW w:w="2460" w:type="dxa"/>
            <w:vAlign w:val="bottom"/>
            <w:tcBorders>
              <w:bottom w:val="single" w:sz="8" w:color="CCEEFF"/>
            </w:tcBorders>
            <w:gridSpan w:val="2"/>
          </w:tcPr>
          <w:p>
            <w:pPr>
              <w:ind w:left="140"/>
              <w:spacing w:after="0" w:line="107" w:lineRule="exact"/>
              <w:rPr>
                <w:sz w:val="20"/>
                <w:szCs w:val="20"/>
                <w:color w:val="auto"/>
              </w:rPr>
            </w:pPr>
            <w:r>
              <w:rPr>
                <w:rFonts w:ascii="Arial" w:cs="Arial" w:eastAsia="Arial" w:hAnsi="Arial"/>
                <w:sz w:val="10"/>
                <w:szCs w:val="10"/>
                <w:color w:val="auto"/>
              </w:rPr>
              <w:t>Total 30-year</w:t>
            </w: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70,059</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72,156</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72,776</w:t>
            </w:r>
          </w:p>
        </w:tc>
        <w:tc>
          <w:tcPr>
            <w:tcW w:w="10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40%</w:t>
            </w:r>
          </w:p>
        </w:tc>
        <w:tc>
          <w:tcPr>
            <w:tcW w:w="200" w:type="dxa"/>
            <w:vAlign w:val="bottom"/>
            <w:tcBorders>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8"/>
              </w:rPr>
              <w:t>103.5%</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0"/>
                <w:szCs w:val="10"/>
                <w:color w:val="auto"/>
                <w:w w:val="84"/>
              </w:rPr>
              <w:t>3.71%</w:t>
            </w:r>
          </w:p>
        </w:tc>
        <w:tc>
          <w:tcPr>
            <w:tcW w:w="10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0"/>
                <w:szCs w:val="10"/>
                <w:color w:val="auto"/>
              </w:rPr>
              <w:t>2.36%</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center"/>
              <w:ind w:right="112"/>
              <w:spacing w:after="0"/>
              <w:rPr>
                <w:sz w:val="20"/>
                <w:szCs w:val="20"/>
                <w:color w:val="auto"/>
              </w:rPr>
            </w:pPr>
            <w:r>
              <w:rPr>
                <w:rFonts w:ascii="Arial" w:cs="Arial" w:eastAsia="Arial" w:hAnsi="Arial"/>
                <w:sz w:val="10"/>
                <w:szCs w:val="10"/>
                <w:color w:val="auto"/>
                <w:w w:val="71"/>
              </w:rPr>
              <w:t>38</w:t>
            </w:r>
          </w:p>
        </w:tc>
        <w:tc>
          <w:tcPr>
            <w:tcW w:w="10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89"/>
              </w:rPr>
              <w:t>11%</w:t>
            </w:r>
          </w:p>
        </w:tc>
        <w:tc>
          <w:tcPr>
            <w:tcW w:w="0" w:type="dxa"/>
            <w:vAlign w:val="bottom"/>
          </w:tcPr>
          <w:p>
            <w:pPr>
              <w:spacing w:after="0"/>
              <w:rPr>
                <w:sz w:val="1"/>
                <w:szCs w:val="1"/>
                <w:color w:val="auto"/>
              </w:rPr>
            </w:pPr>
          </w:p>
        </w:tc>
      </w:tr>
      <w:tr>
        <w:trPr>
          <w:trHeight w:val="147"/>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Total fixed rate</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76,490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78,730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79,429</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41%</w:t>
            </w:r>
          </w:p>
        </w:tc>
        <w:tc>
          <w:tcPr>
            <w:tcW w:w="2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103.5%</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0"/>
                <w:szCs w:val="10"/>
                <w:color w:val="auto"/>
                <w:w w:val="84"/>
              </w:rPr>
              <w:t>3.70%</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0"/>
                <w:szCs w:val="10"/>
                <w:color w:val="auto"/>
              </w:rPr>
              <w:t>2.34%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center"/>
              <w:ind w:right="112"/>
              <w:spacing w:after="0"/>
              <w:rPr>
                <w:sz w:val="20"/>
                <w:szCs w:val="20"/>
                <w:color w:val="auto"/>
              </w:rPr>
            </w:pPr>
            <w:r>
              <w:rPr>
                <w:rFonts w:ascii="Arial" w:cs="Arial" w:eastAsia="Arial" w:hAnsi="Arial"/>
                <w:sz w:val="10"/>
                <w:szCs w:val="10"/>
                <w:color w:val="auto"/>
                <w:w w:val="71"/>
              </w:rPr>
              <w:t>38</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31" w:name="page32"/>
    <w:bookmarkEnd w:id="31"/>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hanging="212"/>
        <w:spacing w:after="0" w:line="243" w:lineRule="auto"/>
        <w:tabs>
          <w:tab w:leader="none" w:pos="420" w:val="left"/>
        </w:tabs>
        <w:numPr>
          <w:ilvl w:val="0"/>
          <w:numId w:val="24"/>
        </w:numPr>
        <w:rPr>
          <w:rFonts w:ascii="Arial" w:cs="Arial" w:eastAsia="Arial" w:hAnsi="Arial"/>
          <w:sz w:val="10"/>
          <w:szCs w:val="10"/>
          <w:color w:val="auto"/>
        </w:rPr>
      </w:pPr>
      <w:r>
        <w:rPr>
          <w:rFonts w:ascii="Arial" w:cs="Arial" w:eastAsia="Arial" w:hAnsi="Arial"/>
          <w:sz w:val="10"/>
          <w:szCs w:val="10"/>
          <w:color w:val="auto"/>
        </w:rPr>
        <w:t>See Note 1 of preceding table for specified pool composition. As of December 31, 2021, lower balance specified pools had a weighted average original loan balance of $119,000 and $117,000 for 15-year and 30-year securities, respectively, and HARP pools had a weighted average original LTV of 127% and 138% for 15-year and 30-year securities, respectively.</w:t>
      </w:r>
    </w:p>
    <w:p>
      <w:pPr>
        <w:ind w:left="420" w:hanging="212"/>
        <w:spacing w:after="0" w:line="232" w:lineRule="auto"/>
        <w:tabs>
          <w:tab w:leader="none" w:pos="420" w:val="left"/>
        </w:tabs>
        <w:numPr>
          <w:ilvl w:val="0"/>
          <w:numId w:val="24"/>
        </w:numPr>
        <w:rPr>
          <w:rFonts w:ascii="Arial" w:cs="Arial" w:eastAsia="Arial" w:hAnsi="Arial"/>
          <w:sz w:val="10"/>
          <w:szCs w:val="10"/>
          <w:color w:val="auto"/>
        </w:rPr>
      </w:pPr>
      <w:r>
        <w:rPr>
          <w:rFonts w:ascii="Arial" w:cs="Arial" w:eastAsia="Arial" w:hAnsi="Arial"/>
          <w:sz w:val="10"/>
          <w:szCs w:val="10"/>
          <w:color w:val="auto"/>
        </w:rPr>
        <w:t>WAC represents the weighted average coupon of the underlying collateral.</w:t>
      </w:r>
    </w:p>
    <w:p>
      <w:pPr>
        <w:ind w:left="420" w:hanging="212"/>
        <w:spacing w:after="0" w:line="236" w:lineRule="auto"/>
        <w:tabs>
          <w:tab w:leader="none" w:pos="420" w:val="left"/>
        </w:tabs>
        <w:numPr>
          <w:ilvl w:val="0"/>
          <w:numId w:val="24"/>
        </w:numPr>
        <w:rPr>
          <w:rFonts w:ascii="Arial" w:cs="Arial" w:eastAsia="Arial" w:hAnsi="Arial"/>
          <w:sz w:val="10"/>
          <w:szCs w:val="10"/>
          <w:color w:val="auto"/>
        </w:rPr>
      </w:pPr>
      <w:r>
        <w:rPr>
          <w:rFonts w:ascii="Arial" w:cs="Arial" w:eastAsia="Arial" w:hAnsi="Arial"/>
          <w:sz w:val="10"/>
          <w:szCs w:val="10"/>
          <w:color w:val="auto"/>
        </w:rPr>
        <w:t>Portfolio yield incorporates a projected life CPR based on forward rate assumptions as of December 31, 2021.</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0"/>
          <w:szCs w:val="10"/>
          <w:color w:val="auto"/>
        </w:rPr>
        <w:t>For additional details regarding our CRT and non-Agency securities, including credit ratings, as of September 30, 2022 and December 31, 2021, please refer to Note 3 of our Consolidated Financial Statements in this Form 10-Q.</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Financial Measures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addition to the results presented in accordance with GAAP, our results of operations discussed below include certain non-GAAP financial information, including "economic interest income," "economic interest expense," "net spread and dollar roll income" and "net spread and dollar roll income, excluding 'catch-up' premium amortization, available to common stockholders," "estimated taxable income (loss)" and the related per common share measures and certain financial metrics derived from such non-GAAP information.</w:t>
      </w:r>
    </w:p>
    <w:p>
      <w:pPr>
        <w:spacing w:after="0" w:line="8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available to common stockholders" is measured as comprehensive income (loss) available (attributable) to common stockholders (GAAP measure) adjusted to: (i) exclude gains/losses on investment securities recognized through net income or other comprehensive income and gains/losses on derivative instruments and other securities (GAAP measures) and (ii) include interest rate swap periodic income/cost and TBA dollar roll income. As defined "Net spread and dollar roll income, excluding 'catch-up' premium amortization, available to common stockholders" includes (i) the components of "economic interest income" and "economic interest expense" less (ii) total operating expenses and dividends on preferred stock (GAAP measures).</w:t>
      </w:r>
    </w:p>
    <w:p>
      <w:pPr>
        <w:spacing w:after="0" w:line="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Specifically, in the case "net spread and dollar roll income, excluding 'catch-up' premium amortization,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 In the case of "estimated taxable income (loss)", we believe it is meaningful information because it directly relates to the amount of dividends that we are required to distribute to maintain our REIT qualification status.</w:t>
      </w:r>
    </w:p>
    <w:p>
      <w:pPr>
        <w:spacing w:after="0" w:line="9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0"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i w:val="1"/>
          <w:iCs w:val="1"/>
          <w:color w:val="auto"/>
        </w:rPr>
        <w:t>Selected Financial Data</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selected financial data is derived from our interim consolidated financial statements and the notes thereto. The tables below present our condensed consolidated balance sheets as of September 30, 2022 and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December 31, 2021 and condensed consolidated statements of comprehensive income and key statistics for the three and nine months ended September 30, 2022 and 2021 (in millions, except per share amounts):</w:t>
      </w:r>
    </w:p>
    <w:p>
      <w:pPr>
        <w:spacing w:after="0" w:line="29" w:lineRule="exact"/>
        <w:rPr>
          <w:sz w:val="20"/>
          <w:szCs w:val="20"/>
          <w:color w:val="auto"/>
        </w:rPr>
      </w:pPr>
    </w:p>
    <w:tbl>
      <w:tblPr>
        <w:tblLayout w:type="fixed"/>
        <w:tblInd w:w="720" w:type="dxa"/>
        <w:tblCellMar>
          <w:top w:w="0" w:type="dxa"/>
          <w:left w:w="0" w:type="dxa"/>
          <w:bottom w:w="0" w:type="dxa"/>
          <w:right w:w="0" w:type="dxa"/>
        </w:tblCellMar>
      </w:tblPr>
      <w:tr>
        <w:trPr>
          <w:trHeight w:val="123"/>
        </w:trPr>
        <w:tc>
          <w:tcPr>
            <w:tcW w:w="45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September 30,</w:t>
            </w:r>
          </w:p>
        </w:tc>
        <w:tc>
          <w:tcPr>
            <w:tcW w:w="240" w:type="dxa"/>
            <w:vAlign w:val="bottom"/>
          </w:tcPr>
          <w:p>
            <w:pPr>
              <w:spacing w:after="0"/>
              <w:rPr>
                <w:sz w:val="10"/>
                <w:szCs w:val="10"/>
                <w:color w:val="auto"/>
              </w:rPr>
            </w:pPr>
          </w:p>
        </w:tc>
        <w:tc>
          <w:tcPr>
            <w:tcW w:w="1140" w:type="dxa"/>
            <w:vAlign w:val="bottom"/>
          </w:tcPr>
          <w:p>
            <w:pPr>
              <w:jc w:val="right"/>
              <w:ind w:right="367"/>
              <w:spacing w:after="0"/>
              <w:rPr>
                <w:sz w:val="20"/>
                <w:szCs w:val="20"/>
                <w:color w:val="auto"/>
              </w:rPr>
            </w:pPr>
            <w:r>
              <w:rPr>
                <w:rFonts w:ascii="Arial" w:cs="Arial" w:eastAsia="Arial" w:hAnsi="Arial"/>
                <w:sz w:val="10"/>
                <w:szCs w:val="10"/>
                <w:b w:val="1"/>
                <w:bCs w:val="1"/>
                <w:color w:val="auto"/>
              </w:rPr>
              <w:t>December 31,</w:t>
            </w:r>
          </w:p>
        </w:tc>
      </w:tr>
      <w:tr>
        <w:trPr>
          <w:trHeight w:val="14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Sheet Data</w:t>
            </w:r>
          </w:p>
        </w:tc>
        <w:tc>
          <w:tcPr>
            <w:tcW w:w="27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47"/>
              <w:spacing w:after="0"/>
              <w:rPr>
                <w:sz w:val="20"/>
                <w:szCs w:val="20"/>
                <w:color w:val="auto"/>
              </w:rPr>
            </w:pPr>
            <w:r>
              <w:rPr>
                <w:rFonts w:ascii="Arial" w:cs="Arial" w:eastAsia="Arial" w:hAnsi="Arial"/>
                <w:sz w:val="10"/>
                <w:szCs w:val="10"/>
                <w:b w:val="1"/>
                <w:bCs w:val="1"/>
                <w:color w:val="auto"/>
                <w:w w:val="89"/>
              </w:rPr>
              <w:t>2022</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2021</w:t>
            </w:r>
          </w:p>
        </w:tc>
      </w:tr>
      <w:tr>
        <w:trPr>
          <w:trHeight w:val="139"/>
        </w:trPr>
        <w:tc>
          <w:tcPr>
            <w:tcW w:w="45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(Unaudited)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securities, at fair value</w:t>
            </w:r>
          </w:p>
        </w:tc>
        <w:tc>
          <w:tcPr>
            <w:tcW w:w="27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54,421</w:t>
            </w:r>
          </w:p>
        </w:tc>
      </w:tr>
      <w:tr>
        <w:trPr>
          <w:trHeight w:val="142"/>
        </w:trPr>
        <w:tc>
          <w:tcPr>
            <w:tcW w:w="450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2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58,524</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68,149</w:t>
            </w:r>
          </w:p>
        </w:tc>
      </w:tr>
      <w:tr>
        <w:trPr>
          <w:trHeight w:val="146"/>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agreements and other debt</w:t>
            </w:r>
          </w:p>
        </w:tc>
        <w:tc>
          <w:tcPr>
            <w:tcW w:w="27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47,507</w:t>
            </w:r>
          </w:p>
        </w:tc>
      </w:tr>
      <w:tr>
        <w:trPr>
          <w:trHeight w:val="142"/>
        </w:trPr>
        <w:tc>
          <w:tcPr>
            <w:tcW w:w="4500" w:type="dxa"/>
            <w:vAlign w:val="bottom"/>
          </w:tcPr>
          <w:p>
            <w:pPr>
              <w:ind w:left="20"/>
              <w:spacing w:after="0"/>
              <w:rPr>
                <w:sz w:val="20"/>
                <w:szCs w:val="20"/>
                <w:color w:val="auto"/>
              </w:rPr>
            </w:pPr>
            <w:r>
              <w:rPr>
                <w:rFonts w:ascii="Arial" w:cs="Arial" w:eastAsia="Arial" w:hAnsi="Arial"/>
                <w:sz w:val="11"/>
                <w:szCs w:val="11"/>
                <w:color w:val="auto"/>
              </w:rPr>
              <w:t>Total liabilities</w:t>
            </w:r>
          </w:p>
        </w:tc>
        <w:tc>
          <w:tcPr>
            <w:tcW w:w="2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51,302</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57,858</w:t>
            </w:r>
          </w:p>
        </w:tc>
      </w:tr>
      <w:tr>
        <w:trPr>
          <w:trHeight w:val="146"/>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stockholders' equity</w:t>
            </w:r>
          </w:p>
        </w:tc>
        <w:tc>
          <w:tcPr>
            <w:tcW w:w="27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7,222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10,291</w:t>
            </w:r>
          </w:p>
        </w:tc>
      </w:tr>
      <w:tr>
        <w:trPr>
          <w:trHeight w:val="144"/>
        </w:trPr>
        <w:tc>
          <w:tcPr>
            <w:tcW w:w="4500" w:type="dxa"/>
            <w:vAlign w:val="bottom"/>
          </w:tcPr>
          <w:p>
            <w:pPr>
              <w:ind w:left="20"/>
              <w:spacing w:after="0" w:line="144" w:lineRule="exact"/>
              <w:rPr>
                <w:sz w:val="20"/>
                <w:szCs w:val="20"/>
                <w:color w:val="auto"/>
              </w:rPr>
            </w:pPr>
            <w:r>
              <w:rPr>
                <w:rFonts w:ascii="Arial" w:cs="Arial" w:eastAsia="Arial" w:hAnsi="Arial"/>
                <w:sz w:val="11"/>
                <w:szCs w:val="11"/>
                <w:color w:val="auto"/>
              </w:rPr>
              <w:t xml:space="preserve">Net book value per common share </w:t>
            </w:r>
            <w:r>
              <w:rPr>
                <w:rFonts w:ascii="Arial" w:cs="Arial" w:eastAsia="Arial" w:hAnsi="Arial"/>
                <w:sz w:val="14"/>
                <w:szCs w:val="14"/>
                <w:color w:val="auto"/>
                <w:vertAlign w:val="superscript"/>
              </w:rPr>
              <w:t>1</w:t>
            </w:r>
          </w:p>
        </w:tc>
        <w:tc>
          <w:tcPr>
            <w:tcW w:w="2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10.04</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16.76</w:t>
            </w:r>
          </w:p>
        </w:tc>
      </w:tr>
      <w:tr>
        <w:trPr>
          <w:trHeight w:val="144"/>
        </w:trPr>
        <w:tc>
          <w:tcPr>
            <w:tcW w:w="4500" w:type="dxa"/>
            <w:vAlign w:val="bottom"/>
            <w:shd w:val="clear" w:color="auto" w:fill="CCEEFF"/>
          </w:tcPr>
          <w:p>
            <w:pPr>
              <w:ind w:left="20"/>
              <w:spacing w:after="0" w:line="144" w:lineRule="exact"/>
              <w:rPr>
                <w:sz w:val="20"/>
                <w:szCs w:val="20"/>
                <w:color w:val="auto"/>
              </w:rPr>
            </w:pPr>
            <w:r>
              <w:rPr>
                <w:rFonts w:ascii="Arial" w:cs="Arial" w:eastAsia="Arial" w:hAnsi="Arial"/>
                <w:sz w:val="11"/>
                <w:szCs w:val="11"/>
                <w:color w:val="auto"/>
              </w:rPr>
              <w:t xml:space="preserve">Tangible net book value per common share </w:t>
            </w:r>
            <w:r>
              <w:rPr>
                <w:rFonts w:ascii="Arial" w:cs="Arial" w:eastAsia="Arial" w:hAnsi="Arial"/>
                <w:sz w:val="14"/>
                <w:szCs w:val="14"/>
                <w:color w:val="auto"/>
                <w:vertAlign w:val="superscript"/>
              </w:rPr>
              <w:t>2</w:t>
            </w:r>
          </w:p>
        </w:tc>
        <w:tc>
          <w:tcPr>
            <w:tcW w:w="27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15.75</w:t>
            </w:r>
          </w:p>
        </w:tc>
      </w:tr>
    </w:tbl>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0"/>
                <w:szCs w:val="10"/>
                <w:b w:val="1"/>
                <w:bCs w:val="1"/>
                <w:color w:val="auto"/>
                <w:w w:val="86"/>
              </w:rPr>
              <w:t>Three Months Ended</w:t>
            </w:r>
          </w:p>
        </w:tc>
        <w:tc>
          <w:tcPr>
            <w:tcW w:w="680" w:type="dxa"/>
            <w:vAlign w:val="bottom"/>
          </w:tcPr>
          <w:p>
            <w:pPr>
              <w:spacing w:after="0"/>
              <w:rPr>
                <w:sz w:val="10"/>
                <w:szCs w:val="10"/>
                <w:color w:val="auto"/>
              </w:rPr>
            </w:pPr>
          </w:p>
        </w:tc>
        <w:tc>
          <w:tcPr>
            <w:tcW w:w="1620" w:type="dxa"/>
            <w:vAlign w:val="bottom"/>
          </w:tcPr>
          <w:p>
            <w:pPr>
              <w:jc w:val="center"/>
              <w:ind w:right="632"/>
              <w:spacing w:after="0"/>
              <w:rPr>
                <w:sz w:val="20"/>
                <w:szCs w:val="20"/>
                <w:color w:val="auto"/>
              </w:rPr>
            </w:pPr>
            <w:r>
              <w:rPr>
                <w:rFonts w:ascii="Arial" w:cs="Arial" w:eastAsia="Arial" w:hAnsi="Arial"/>
                <w:sz w:val="10"/>
                <w:szCs w:val="10"/>
                <w:b w:val="1"/>
                <w:bCs w:val="1"/>
                <w:color w:val="auto"/>
                <w:w w:val="87"/>
              </w:rPr>
              <w:t>Nine Months Ended</w:t>
            </w:r>
          </w:p>
        </w:tc>
      </w:tr>
      <w:tr>
        <w:trPr>
          <w:trHeight w:val="124"/>
        </w:trPr>
        <w:tc>
          <w:tcPr>
            <w:tcW w:w="6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0"/>
                <w:szCs w:val="10"/>
                <w:b w:val="1"/>
                <w:bCs w:val="1"/>
                <w:color w:val="auto"/>
                <w:w w:val="84"/>
              </w:rPr>
              <w:t>September 30,</w:t>
            </w:r>
          </w:p>
        </w:tc>
        <w:tc>
          <w:tcPr>
            <w:tcW w:w="680" w:type="dxa"/>
            <w:vAlign w:val="bottom"/>
          </w:tcPr>
          <w:p>
            <w:pPr>
              <w:spacing w:after="0"/>
              <w:rPr>
                <w:sz w:val="10"/>
                <w:szCs w:val="10"/>
                <w:color w:val="auto"/>
              </w:rPr>
            </w:pPr>
          </w:p>
        </w:tc>
        <w:tc>
          <w:tcPr>
            <w:tcW w:w="1620" w:type="dxa"/>
            <w:vAlign w:val="bottom"/>
          </w:tcPr>
          <w:p>
            <w:pPr>
              <w:jc w:val="center"/>
              <w:ind w:right="632"/>
              <w:spacing w:after="0"/>
              <w:rPr>
                <w:sz w:val="20"/>
                <w:szCs w:val="20"/>
                <w:color w:val="auto"/>
              </w:rPr>
            </w:pPr>
            <w:r>
              <w:rPr>
                <w:rFonts w:ascii="Arial" w:cs="Arial" w:eastAsia="Arial" w:hAnsi="Arial"/>
                <w:sz w:val="10"/>
                <w:szCs w:val="10"/>
                <w:b w:val="1"/>
                <w:bCs w:val="1"/>
                <w:color w:val="auto"/>
                <w:w w:val="84"/>
              </w:rPr>
              <w:t>September 30,</w:t>
            </w:r>
          </w:p>
        </w:tc>
      </w:tr>
      <w:tr>
        <w:trPr>
          <w:trHeight w:val="123"/>
        </w:trPr>
        <w:tc>
          <w:tcPr>
            <w:tcW w:w="6640" w:type="dxa"/>
            <w:vAlign w:val="bottom"/>
          </w:tcPr>
          <w:p>
            <w:pPr>
              <w:spacing w:after="0"/>
              <w:rPr>
                <w:sz w:val="20"/>
                <w:szCs w:val="20"/>
                <w:color w:val="auto"/>
              </w:rPr>
            </w:pPr>
            <w:r>
              <w:rPr>
                <w:rFonts w:ascii="Arial" w:cs="Arial" w:eastAsia="Arial" w:hAnsi="Arial"/>
                <w:sz w:val="10"/>
                <w:szCs w:val="10"/>
                <w:b w:val="1"/>
                <w:bCs w:val="1"/>
                <w:color w:val="auto"/>
              </w:rPr>
              <w:t>Statement of Comprehensive Income Data (Unaudited)</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160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1620" w:type="dxa"/>
            <w:vAlign w:val="bottom"/>
            <w:tcBorders>
              <w:top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1,243</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1,099</w:t>
            </w:r>
          </w:p>
        </w:tc>
      </w:tr>
      <w:tr>
        <w:trPr>
          <w:trHeight w:val="142"/>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w:t>
            </w:r>
          </w:p>
        </w:tc>
      </w:tr>
      <w:tr>
        <w:trPr>
          <w:trHeight w:val="133"/>
        </w:trPr>
        <w:tc>
          <w:tcPr>
            <w:tcW w:w="66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4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w:t>
            </w:r>
          </w:p>
        </w:tc>
        <w:tc>
          <w:tcPr>
            <w:tcW w:w="10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1,039</w:t>
            </w:r>
          </w:p>
        </w:tc>
      </w:tr>
      <w:tr>
        <w:trPr>
          <w:trHeight w:val="133"/>
        </w:trPr>
        <w:tc>
          <w:tcPr>
            <w:tcW w:w="6640" w:type="dxa"/>
            <w:vAlign w:val="bottom"/>
            <w:gridSpan w:val="2"/>
          </w:tcPr>
          <w:p>
            <w:pPr>
              <w:spacing w:after="0"/>
              <w:rPr>
                <w:sz w:val="20"/>
                <w:szCs w:val="20"/>
                <w:color w:val="auto"/>
              </w:rPr>
            </w:pPr>
            <w:r>
              <w:rPr>
                <w:rFonts w:ascii="Arial" w:cs="Arial" w:eastAsia="Arial" w:hAnsi="Arial"/>
                <w:sz w:val="10"/>
                <w:szCs w:val="10"/>
                <w:color w:val="auto"/>
              </w:rPr>
              <w:t>Other gain (loss), net</w:t>
            </w: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(824)</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(2,631)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(195)</w:t>
            </w:r>
          </w:p>
        </w:tc>
      </w:tr>
      <w:tr>
        <w:trPr>
          <w:trHeight w:val="144"/>
        </w:trPr>
        <w:tc>
          <w:tcPr>
            <w:tcW w:w="66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expenses</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w:t>
            </w:r>
          </w:p>
        </w:tc>
      </w:tr>
      <w:tr>
        <w:trPr>
          <w:trHeight w:val="133"/>
        </w:trPr>
        <w:tc>
          <w:tcPr>
            <w:tcW w:w="664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(1,751)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776</w:t>
            </w:r>
          </w:p>
        </w:tc>
      </w:tr>
      <w:tr>
        <w:trPr>
          <w:trHeight w:val="144"/>
        </w:trPr>
        <w:tc>
          <w:tcPr>
            <w:tcW w:w="66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Dividends on preferred stock</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w:t>
            </w:r>
          </w:p>
        </w:tc>
      </w:tr>
      <w:tr>
        <w:trPr>
          <w:trHeight w:val="151"/>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Net income (loss) available (attributable) to common stockholders</w:t>
            </w: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701</w:t>
            </w:r>
          </w:p>
        </w:tc>
      </w:tr>
      <w:tr>
        <w:trPr>
          <w:trHeight w:val="153"/>
        </w:trPr>
        <w:tc>
          <w:tcPr>
            <w:tcW w:w="6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42"/>
        </w:trPr>
        <w:tc>
          <w:tcPr>
            <w:tcW w:w="664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2"/>
                <w:szCs w:val="12"/>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2"/>
                <w:szCs w:val="12"/>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(1,751)</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776</w:t>
            </w:r>
          </w:p>
        </w:tc>
      </w:tr>
      <w:tr>
        <w:trPr>
          <w:trHeight w:val="144"/>
        </w:trPr>
        <w:tc>
          <w:tcPr>
            <w:tcW w:w="66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comprehensive income (loss), net</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(1,108)</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w:t>
            </w:r>
          </w:p>
        </w:tc>
      </w:tr>
      <w:tr>
        <w:trPr>
          <w:trHeight w:val="133"/>
        </w:trPr>
        <w:tc>
          <w:tcPr>
            <w:tcW w:w="6640" w:type="dxa"/>
            <w:vAlign w:val="bottom"/>
            <w:gridSpan w:val="2"/>
          </w:tcPr>
          <w:p>
            <w:pPr>
              <w:spacing w:after="0"/>
              <w:rPr>
                <w:sz w:val="20"/>
                <w:szCs w:val="20"/>
                <w:color w:val="auto"/>
              </w:rPr>
            </w:pPr>
            <w:r>
              <w:rPr>
                <w:rFonts w:ascii="Arial" w:cs="Arial" w:eastAsia="Arial" w:hAnsi="Arial"/>
                <w:sz w:val="10"/>
                <w:szCs w:val="10"/>
                <w:color w:val="auto"/>
              </w:rPr>
              <w:t>Comprehensive income (loss)</w:t>
            </w:r>
          </w:p>
        </w:tc>
        <w:tc>
          <w:tcPr>
            <w:tcW w:w="4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(1,038)</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(2,859)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468</w:t>
            </w:r>
          </w:p>
        </w:tc>
      </w:tr>
      <w:tr>
        <w:trPr>
          <w:trHeight w:val="144"/>
        </w:trPr>
        <w:tc>
          <w:tcPr>
            <w:tcW w:w="66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Dividends on preferred stock</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w:t>
            </w:r>
          </w:p>
        </w:tc>
      </w:tr>
      <w:tr>
        <w:trPr>
          <w:trHeight w:val="151"/>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Comprehensive income (loss) available (attributable) to common stockholders</w:t>
            </w: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(1,064)</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w:t>
            </w:r>
          </w:p>
        </w:tc>
      </w:tr>
      <w:tr>
        <w:trPr>
          <w:trHeight w:val="153"/>
        </w:trPr>
        <w:tc>
          <w:tcPr>
            <w:tcW w:w="6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0"/>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Weighted average number of common shares outstanding - basic</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526.7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526.4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529.0</w:t>
            </w:r>
          </w:p>
        </w:tc>
      </w:tr>
      <w:tr>
        <w:trPr>
          <w:trHeight w:val="160"/>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Weighted average number of common shares outstanding - diluted</w:t>
            </w:r>
          </w:p>
        </w:tc>
        <w:tc>
          <w:tcPr>
            <w:tcW w:w="4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528.7</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528.6</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526.4</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530.8</w:t>
            </w:r>
          </w:p>
        </w:tc>
      </w:tr>
      <w:tr>
        <w:trPr>
          <w:trHeight w:val="160"/>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Net income (loss) per common share - basic</w:t>
            </w: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60"/>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Net income (loss) per common share - diluted</w:t>
            </w: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0.35</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r>
      <w:tr>
        <w:trPr>
          <w:trHeight w:val="160"/>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Comprehensive income (loss) per common share - basic</w:t>
            </w: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0.74</w:t>
            </w:r>
          </w:p>
        </w:tc>
      </w:tr>
      <w:tr>
        <w:trPr>
          <w:trHeight w:val="160"/>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Comprehensive income (loss) per common share - diluted</w:t>
            </w: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0.74</w:t>
            </w:r>
          </w:p>
        </w:tc>
      </w:tr>
      <w:tr>
        <w:trPr>
          <w:trHeight w:val="144"/>
        </w:trPr>
        <w:tc>
          <w:tcPr>
            <w:tcW w:w="6640" w:type="dxa"/>
            <w:vAlign w:val="bottom"/>
            <w:gridSpan w:val="2"/>
          </w:tcPr>
          <w:p>
            <w:pPr>
              <w:spacing w:after="0"/>
              <w:rPr>
                <w:sz w:val="20"/>
                <w:szCs w:val="20"/>
                <w:color w:val="auto"/>
              </w:rPr>
            </w:pPr>
            <w:r>
              <w:rPr>
                <w:rFonts w:ascii="Arial" w:cs="Arial" w:eastAsia="Arial" w:hAnsi="Arial"/>
                <w:sz w:val="10"/>
                <w:szCs w:val="10"/>
                <w:color w:val="auto"/>
              </w:rPr>
              <w:t>Dividends declared per common share</w:t>
            </w: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jc w:val="right"/>
              <w:ind w:right="247"/>
              <w:spacing w:after="0"/>
              <w:rPr>
                <w:sz w:val="20"/>
                <w:szCs w:val="20"/>
                <w:color w:val="auto"/>
              </w:rPr>
            </w:pPr>
            <w:r>
              <w:rPr>
                <w:rFonts w:ascii="Arial" w:cs="Arial" w:eastAsia="Arial" w:hAnsi="Arial"/>
                <w:sz w:val="10"/>
                <w:szCs w:val="10"/>
                <w:b w:val="1"/>
                <w:bCs w:val="1"/>
                <w:color w:val="auto"/>
                <w:w w:val="92"/>
              </w:rPr>
              <w:t>Three Months Ended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3"/>
          </w:tcPr>
          <w:p>
            <w:pPr>
              <w:jc w:val="right"/>
              <w:ind w:right="6"/>
              <w:spacing w:after="0"/>
              <w:rPr>
                <w:sz w:val="20"/>
                <w:szCs w:val="20"/>
                <w:color w:val="auto"/>
              </w:rPr>
            </w:pPr>
            <w:r>
              <w:rPr>
                <w:rFonts w:ascii="Arial" w:cs="Arial" w:eastAsia="Arial" w:hAnsi="Arial"/>
                <w:sz w:val="10"/>
                <w:szCs w:val="10"/>
                <w:b w:val="1"/>
                <w:bCs w:val="1"/>
                <w:color w:val="auto"/>
                <w:w w:val="96"/>
              </w:rPr>
              <w:t>Nine Months Ended</w:t>
            </w:r>
          </w:p>
        </w:tc>
        <w:tc>
          <w:tcPr>
            <w:tcW w:w="740" w:type="dxa"/>
            <w:vAlign w:val="bottom"/>
          </w:tcPr>
          <w:p>
            <w:pPr>
              <w:spacing w:after="0"/>
              <w:rPr>
                <w:sz w:val="10"/>
                <w:szCs w:val="10"/>
                <w:color w:val="auto"/>
              </w:rPr>
            </w:pPr>
          </w:p>
        </w:tc>
      </w:tr>
      <w:tr>
        <w:trPr>
          <w:trHeight w:val="123"/>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0"/>
                <w:szCs w:val="10"/>
                <w:b w:val="1"/>
                <w:bCs w:val="1"/>
                <w:color w:val="auto"/>
              </w:rPr>
              <w:t>September 30,</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0"/>
                <w:szCs w:val="10"/>
                <w:b w:val="1"/>
                <w:bCs w:val="1"/>
                <w:color w:val="auto"/>
              </w:rPr>
              <w:t>September 30,</w:t>
            </w:r>
          </w:p>
        </w:tc>
        <w:tc>
          <w:tcPr>
            <w:tcW w:w="740" w:type="dxa"/>
            <w:vAlign w:val="bottom"/>
            <w:tcBorders>
              <w:bottom w:val="single" w:sz="8" w:color="auto"/>
            </w:tcBorders>
          </w:tcPr>
          <w:p>
            <w:pPr>
              <w:spacing w:after="0"/>
              <w:rPr>
                <w:sz w:val="10"/>
                <w:szCs w:val="10"/>
                <w:color w:val="auto"/>
              </w:rPr>
            </w:pPr>
          </w:p>
        </w:tc>
      </w:tr>
      <w:tr>
        <w:trPr>
          <w:trHeight w:val="126"/>
        </w:trPr>
        <w:tc>
          <w:tcPr>
            <w:tcW w:w="6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Other Data (Unaudited) *</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w w:val="98"/>
              </w:rPr>
              <w:t>2021</w:t>
            </w:r>
          </w:p>
        </w:tc>
      </w:tr>
      <w:tr>
        <w:trPr>
          <w:trHeight w:val="139"/>
        </w:trPr>
        <w:tc>
          <w:tcPr>
            <w:tcW w:w="6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Average investment securities - at par</w:t>
            </w:r>
          </w:p>
        </w:tc>
        <w:tc>
          <w:tcPr>
            <w:tcW w:w="700" w:type="dxa"/>
            <w:vAlign w:val="bottom"/>
            <w:shd w:val="clear" w:color="auto" w:fill="CCEEFF"/>
          </w:tcPr>
          <w:p>
            <w:pPr>
              <w:jc w:val="right"/>
              <w:ind w:right="5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89"/>
              </w:rPr>
              <w:t>46,863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89"/>
              </w:rPr>
              <w:t>49,077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89"/>
              </w:rPr>
              <w:t>49,355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53,655</w:t>
            </w:r>
          </w:p>
        </w:tc>
      </w:tr>
      <w:tr>
        <w:trPr>
          <w:trHeight w:val="142"/>
        </w:trPr>
        <w:tc>
          <w:tcPr>
            <w:tcW w:w="6380" w:type="dxa"/>
            <w:vAlign w:val="bottom"/>
            <w:gridSpan w:val="2"/>
          </w:tcPr>
          <w:p>
            <w:pPr>
              <w:spacing w:after="0"/>
              <w:rPr>
                <w:sz w:val="20"/>
                <w:szCs w:val="20"/>
                <w:color w:val="auto"/>
              </w:rPr>
            </w:pPr>
            <w:r>
              <w:rPr>
                <w:rFonts w:ascii="Arial" w:cs="Arial" w:eastAsia="Arial" w:hAnsi="Arial"/>
                <w:sz w:val="10"/>
                <w:szCs w:val="10"/>
                <w:color w:val="auto"/>
              </w:rPr>
              <w:t>Average investment securities - at cost</w:t>
            </w:r>
          </w:p>
        </w:tc>
        <w:tc>
          <w:tcPr>
            <w:tcW w:w="700" w:type="dxa"/>
            <w:vAlign w:val="bottom"/>
          </w:tcPr>
          <w:p>
            <w:pPr>
              <w:jc w:val="right"/>
              <w:ind w:right="59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88"/>
              <w:spacing w:after="0"/>
              <w:rPr>
                <w:sz w:val="20"/>
                <w:szCs w:val="20"/>
                <w:color w:val="auto"/>
              </w:rPr>
            </w:pPr>
            <w:r>
              <w:rPr>
                <w:rFonts w:ascii="Arial" w:cs="Arial" w:eastAsia="Arial" w:hAnsi="Arial"/>
                <w:sz w:val="11"/>
                <w:szCs w:val="11"/>
                <w:color w:val="auto"/>
                <w:w w:val="89"/>
              </w:rPr>
              <w:t>48,362</w:t>
            </w:r>
          </w:p>
        </w:tc>
        <w:tc>
          <w:tcPr>
            <w:tcW w:w="80" w:type="dxa"/>
            <w:vAlign w:val="bottom"/>
          </w:tcPr>
          <w:p>
            <w:pPr>
              <w:spacing w:after="0"/>
              <w:rPr>
                <w:sz w:val="12"/>
                <w:szCs w:val="12"/>
                <w:color w:val="auto"/>
              </w:rPr>
            </w:pPr>
          </w:p>
        </w:tc>
        <w:tc>
          <w:tcPr>
            <w:tcW w:w="700" w:type="dxa"/>
            <w:vAlign w:val="bottom"/>
          </w:tcPr>
          <w:p>
            <w:pPr>
              <w:jc w:val="right"/>
              <w:ind w:right="56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w w:val="89"/>
              </w:rPr>
              <w:t>50,866</w:t>
            </w:r>
          </w:p>
        </w:tc>
        <w:tc>
          <w:tcPr>
            <w:tcW w:w="80" w:type="dxa"/>
            <w:vAlign w:val="bottom"/>
          </w:tcPr>
          <w:p>
            <w:pPr>
              <w:spacing w:after="0"/>
              <w:rPr>
                <w:sz w:val="12"/>
                <w:szCs w:val="12"/>
                <w:color w:val="auto"/>
              </w:rPr>
            </w:pPr>
          </w:p>
        </w:tc>
        <w:tc>
          <w:tcPr>
            <w:tcW w:w="720" w:type="dxa"/>
            <w:vAlign w:val="bottom"/>
          </w:tcPr>
          <w:p>
            <w:pPr>
              <w:jc w:val="right"/>
              <w:ind w:right="58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8"/>
              <w:spacing w:after="0"/>
              <w:rPr>
                <w:sz w:val="20"/>
                <w:szCs w:val="20"/>
                <w:color w:val="auto"/>
              </w:rPr>
            </w:pPr>
            <w:r>
              <w:rPr>
                <w:rFonts w:ascii="Arial" w:cs="Arial" w:eastAsia="Arial" w:hAnsi="Arial"/>
                <w:sz w:val="11"/>
                <w:szCs w:val="11"/>
                <w:color w:val="auto"/>
                <w:w w:val="89"/>
              </w:rPr>
              <w:t>50,897</w:t>
            </w:r>
          </w:p>
        </w:tc>
        <w:tc>
          <w:tcPr>
            <w:tcW w:w="8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55,579</w:t>
            </w:r>
          </w:p>
        </w:tc>
      </w:tr>
      <w:tr>
        <w:trPr>
          <w:trHeight w:val="146"/>
        </w:trPr>
        <w:tc>
          <w:tcPr>
            <w:tcW w:w="6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Average net TBA dollar roll position - at cost</w:t>
            </w:r>
          </w:p>
        </w:tc>
        <w:tc>
          <w:tcPr>
            <w:tcW w:w="700" w:type="dxa"/>
            <w:vAlign w:val="bottom"/>
            <w:shd w:val="clear" w:color="auto" w:fill="CCEEFF"/>
          </w:tcPr>
          <w:p>
            <w:pPr>
              <w:jc w:val="right"/>
              <w:ind w:right="5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89"/>
              </w:rPr>
              <w:t>20,331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89"/>
              </w:rPr>
              <w:t>30,312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89"/>
              </w:rPr>
              <w:t>21,184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30,132</w:t>
            </w:r>
          </w:p>
        </w:tc>
      </w:tr>
      <w:tr>
        <w:trPr>
          <w:trHeight w:val="142"/>
        </w:trPr>
        <w:tc>
          <w:tcPr>
            <w:tcW w:w="6380" w:type="dxa"/>
            <w:vAlign w:val="bottom"/>
            <w:gridSpan w:val="2"/>
          </w:tcPr>
          <w:p>
            <w:pPr>
              <w:spacing w:after="0"/>
              <w:rPr>
                <w:sz w:val="20"/>
                <w:szCs w:val="20"/>
                <w:color w:val="auto"/>
              </w:rPr>
            </w:pPr>
            <w:r>
              <w:rPr>
                <w:rFonts w:ascii="Arial" w:cs="Arial" w:eastAsia="Arial" w:hAnsi="Arial"/>
                <w:sz w:val="10"/>
                <w:szCs w:val="10"/>
                <w:color w:val="auto"/>
              </w:rPr>
              <w:t>Average total assets - at fair value</w:t>
            </w:r>
          </w:p>
        </w:tc>
        <w:tc>
          <w:tcPr>
            <w:tcW w:w="700" w:type="dxa"/>
            <w:vAlign w:val="bottom"/>
          </w:tcPr>
          <w:p>
            <w:pPr>
              <w:jc w:val="right"/>
              <w:ind w:right="59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88"/>
              <w:spacing w:after="0"/>
              <w:rPr>
                <w:sz w:val="20"/>
                <w:szCs w:val="20"/>
                <w:color w:val="auto"/>
              </w:rPr>
            </w:pPr>
            <w:r>
              <w:rPr>
                <w:rFonts w:ascii="Arial" w:cs="Arial" w:eastAsia="Arial" w:hAnsi="Arial"/>
                <w:sz w:val="11"/>
                <w:szCs w:val="11"/>
                <w:color w:val="auto"/>
                <w:w w:val="89"/>
              </w:rPr>
              <w:t>58,701</w:t>
            </w:r>
          </w:p>
        </w:tc>
        <w:tc>
          <w:tcPr>
            <w:tcW w:w="80" w:type="dxa"/>
            <w:vAlign w:val="bottom"/>
          </w:tcPr>
          <w:p>
            <w:pPr>
              <w:spacing w:after="0"/>
              <w:rPr>
                <w:sz w:val="12"/>
                <w:szCs w:val="12"/>
                <w:color w:val="auto"/>
              </w:rPr>
            </w:pPr>
          </w:p>
        </w:tc>
        <w:tc>
          <w:tcPr>
            <w:tcW w:w="700" w:type="dxa"/>
            <w:vAlign w:val="bottom"/>
          </w:tcPr>
          <w:p>
            <w:pPr>
              <w:jc w:val="right"/>
              <w:ind w:right="56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w w:val="89"/>
              </w:rPr>
              <w:t>68,472</w:t>
            </w:r>
          </w:p>
        </w:tc>
        <w:tc>
          <w:tcPr>
            <w:tcW w:w="80" w:type="dxa"/>
            <w:vAlign w:val="bottom"/>
          </w:tcPr>
          <w:p>
            <w:pPr>
              <w:spacing w:after="0"/>
              <w:rPr>
                <w:sz w:val="12"/>
                <w:szCs w:val="12"/>
                <w:color w:val="auto"/>
              </w:rPr>
            </w:pPr>
          </w:p>
        </w:tc>
        <w:tc>
          <w:tcPr>
            <w:tcW w:w="720" w:type="dxa"/>
            <w:vAlign w:val="bottom"/>
          </w:tcPr>
          <w:p>
            <w:pPr>
              <w:jc w:val="right"/>
              <w:ind w:right="58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8"/>
              <w:spacing w:after="0"/>
              <w:rPr>
                <w:sz w:val="20"/>
                <w:szCs w:val="20"/>
                <w:color w:val="auto"/>
              </w:rPr>
            </w:pPr>
            <w:r>
              <w:rPr>
                <w:rFonts w:ascii="Arial" w:cs="Arial" w:eastAsia="Arial" w:hAnsi="Arial"/>
                <w:sz w:val="11"/>
                <w:szCs w:val="11"/>
                <w:color w:val="auto"/>
                <w:w w:val="89"/>
              </w:rPr>
              <w:t>63,619</w:t>
            </w:r>
          </w:p>
        </w:tc>
        <w:tc>
          <w:tcPr>
            <w:tcW w:w="8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74,952</w:t>
            </w:r>
          </w:p>
        </w:tc>
      </w:tr>
      <w:tr>
        <w:trPr>
          <w:trHeight w:val="146"/>
        </w:trPr>
        <w:tc>
          <w:tcPr>
            <w:tcW w:w="6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Average repurchase agreements and other debt outstanding </w:t>
            </w:r>
            <w:r>
              <w:rPr>
                <w:rFonts w:ascii="Arial" w:cs="Arial" w:eastAsia="Arial" w:hAnsi="Arial"/>
                <w:sz w:val="12"/>
                <w:szCs w:val="12"/>
                <w:color w:val="auto"/>
                <w:vertAlign w:val="superscript"/>
              </w:rPr>
              <w:t>3</w:t>
            </w:r>
          </w:p>
        </w:tc>
        <w:tc>
          <w:tcPr>
            <w:tcW w:w="700" w:type="dxa"/>
            <w:vAlign w:val="bottom"/>
            <w:shd w:val="clear" w:color="auto" w:fill="CCEEFF"/>
          </w:tcPr>
          <w:p>
            <w:pPr>
              <w:jc w:val="right"/>
              <w:ind w:right="5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89"/>
              </w:rPr>
              <w:t>40,530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89"/>
              </w:rPr>
              <w:t>45,847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89"/>
              </w:rPr>
              <w:t>43,344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50,909</w:t>
            </w:r>
          </w:p>
        </w:tc>
      </w:tr>
      <w:tr>
        <w:trPr>
          <w:trHeight w:val="144"/>
        </w:trPr>
        <w:tc>
          <w:tcPr>
            <w:tcW w:w="6380" w:type="dxa"/>
            <w:vAlign w:val="bottom"/>
            <w:gridSpan w:val="2"/>
          </w:tcPr>
          <w:p>
            <w:pPr>
              <w:spacing w:after="0"/>
              <w:rPr>
                <w:sz w:val="20"/>
                <w:szCs w:val="20"/>
                <w:color w:val="auto"/>
              </w:rPr>
            </w:pPr>
            <w:r>
              <w:rPr>
                <w:rFonts w:ascii="Arial" w:cs="Arial" w:eastAsia="Arial" w:hAnsi="Arial"/>
                <w:sz w:val="10"/>
                <w:szCs w:val="10"/>
                <w:color w:val="auto"/>
              </w:rPr>
              <w:t xml:space="preserve">Average stockholders' equity </w:t>
            </w:r>
            <w:r>
              <w:rPr>
                <w:rFonts w:ascii="Arial" w:cs="Arial" w:eastAsia="Arial" w:hAnsi="Arial"/>
                <w:sz w:val="12"/>
                <w:szCs w:val="12"/>
                <w:color w:val="auto"/>
                <w:vertAlign w:val="superscript"/>
              </w:rPr>
              <w:t>4</w:t>
            </w:r>
          </w:p>
        </w:tc>
        <w:tc>
          <w:tcPr>
            <w:tcW w:w="700" w:type="dxa"/>
            <w:vAlign w:val="bottom"/>
          </w:tcPr>
          <w:p>
            <w:pPr>
              <w:jc w:val="right"/>
              <w:ind w:right="59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88"/>
              <w:spacing w:after="0"/>
              <w:rPr>
                <w:sz w:val="20"/>
                <w:szCs w:val="20"/>
                <w:color w:val="auto"/>
              </w:rPr>
            </w:pPr>
            <w:r>
              <w:rPr>
                <w:rFonts w:ascii="Arial" w:cs="Arial" w:eastAsia="Arial" w:hAnsi="Arial"/>
                <w:sz w:val="11"/>
                <w:szCs w:val="11"/>
                <w:color w:val="auto"/>
              </w:rPr>
              <w:t>8,040</w:t>
            </w:r>
          </w:p>
        </w:tc>
        <w:tc>
          <w:tcPr>
            <w:tcW w:w="80" w:type="dxa"/>
            <w:vAlign w:val="bottom"/>
          </w:tcPr>
          <w:p>
            <w:pPr>
              <w:spacing w:after="0"/>
              <w:rPr>
                <w:sz w:val="12"/>
                <w:szCs w:val="12"/>
                <w:color w:val="auto"/>
              </w:rPr>
            </w:pPr>
          </w:p>
        </w:tc>
        <w:tc>
          <w:tcPr>
            <w:tcW w:w="700" w:type="dxa"/>
            <w:vAlign w:val="bottom"/>
          </w:tcPr>
          <w:p>
            <w:pPr>
              <w:jc w:val="right"/>
              <w:ind w:right="56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w w:val="89"/>
              </w:rPr>
              <w:t>10,638</w:t>
            </w:r>
          </w:p>
        </w:tc>
        <w:tc>
          <w:tcPr>
            <w:tcW w:w="80" w:type="dxa"/>
            <w:vAlign w:val="bottom"/>
          </w:tcPr>
          <w:p>
            <w:pPr>
              <w:spacing w:after="0"/>
              <w:rPr>
                <w:sz w:val="12"/>
                <w:szCs w:val="12"/>
                <w:color w:val="auto"/>
              </w:rPr>
            </w:pPr>
          </w:p>
        </w:tc>
        <w:tc>
          <w:tcPr>
            <w:tcW w:w="720" w:type="dxa"/>
            <w:vAlign w:val="bottom"/>
          </w:tcPr>
          <w:p>
            <w:pPr>
              <w:jc w:val="right"/>
              <w:ind w:right="587"/>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8"/>
              <w:spacing w:after="0"/>
              <w:rPr>
                <w:sz w:val="20"/>
                <w:szCs w:val="20"/>
                <w:color w:val="auto"/>
              </w:rPr>
            </w:pPr>
            <w:r>
              <w:rPr>
                <w:rFonts w:ascii="Arial" w:cs="Arial" w:eastAsia="Arial" w:hAnsi="Arial"/>
                <w:sz w:val="11"/>
                <w:szCs w:val="11"/>
                <w:color w:val="auto"/>
              </w:rPr>
              <w:t>8,748</w:t>
            </w:r>
          </w:p>
        </w:tc>
        <w:tc>
          <w:tcPr>
            <w:tcW w:w="8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11,018</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2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Average tangible net book value "at risk" leverage </w:t>
            </w:r>
            <w:r>
              <w:rPr>
                <w:rFonts w:ascii="Arial" w:cs="Arial" w:eastAsia="Arial" w:hAnsi="Arial"/>
                <w:sz w:val="12"/>
                <w:szCs w:val="12"/>
                <w:color w:val="auto"/>
                <w:vertAlign w:val="superscript"/>
              </w:rPr>
              <w:t>5</w:t>
            </w:r>
          </w:p>
        </w:tc>
        <w:tc>
          <w:tcPr>
            <w:tcW w:w="28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8.1:1</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7.5:1</w:t>
            </w:r>
          </w:p>
        </w:tc>
        <w:tc>
          <w:tcPr>
            <w:tcW w:w="12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8.1:1</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7.7:1</w:t>
            </w:r>
          </w:p>
        </w:tc>
      </w:tr>
      <w:tr>
        <w:trPr>
          <w:trHeight w:val="144"/>
        </w:trPr>
        <w:tc>
          <w:tcPr>
            <w:tcW w:w="5120" w:type="dxa"/>
            <w:vAlign w:val="bottom"/>
          </w:tcPr>
          <w:p>
            <w:pPr>
              <w:spacing w:after="0"/>
              <w:rPr>
                <w:sz w:val="20"/>
                <w:szCs w:val="20"/>
                <w:color w:val="auto"/>
              </w:rPr>
            </w:pPr>
            <w:r>
              <w:rPr>
                <w:rFonts w:ascii="Arial" w:cs="Arial" w:eastAsia="Arial" w:hAnsi="Arial"/>
                <w:sz w:val="10"/>
                <w:szCs w:val="10"/>
                <w:color w:val="auto"/>
              </w:rPr>
              <w:t xml:space="preserve">Tangible net book value "at risk" leverage </w:t>
            </w:r>
            <w:r>
              <w:rPr>
                <w:rFonts w:ascii="Arial" w:cs="Arial" w:eastAsia="Arial" w:hAnsi="Arial"/>
                <w:sz w:val="10"/>
                <w:szCs w:val="10"/>
                <w:i w:val="1"/>
                <w:iCs w:val="1"/>
                <w:color w:val="auto"/>
              </w:rPr>
              <w:t>(as of period end)</w:t>
            </w:r>
            <w:r>
              <w:rPr>
                <w:rFonts w:ascii="Arial" w:cs="Arial" w:eastAsia="Arial" w:hAnsi="Arial"/>
                <w:sz w:val="10"/>
                <w:szCs w:val="10"/>
                <w:color w:val="auto"/>
              </w:rPr>
              <w:t xml:space="preserve"> </w:t>
            </w:r>
            <w:r>
              <w:rPr>
                <w:rFonts w:ascii="Arial" w:cs="Arial" w:eastAsia="Arial" w:hAnsi="Arial"/>
                <w:sz w:val="12"/>
                <w:szCs w:val="12"/>
                <w:color w:val="auto"/>
                <w:vertAlign w:val="superscript"/>
              </w:rPr>
              <w:t>6</w:t>
            </w:r>
          </w:p>
        </w:tc>
        <w:tc>
          <w:tcPr>
            <w:tcW w:w="2860" w:type="dxa"/>
            <w:vAlign w:val="bottom"/>
          </w:tcPr>
          <w:p>
            <w:pPr>
              <w:jc w:val="right"/>
              <w:ind w:right="406"/>
              <w:spacing w:after="0"/>
              <w:rPr>
                <w:sz w:val="20"/>
                <w:szCs w:val="20"/>
                <w:color w:val="auto"/>
              </w:rPr>
            </w:pPr>
            <w:r>
              <w:rPr>
                <w:rFonts w:ascii="Arial" w:cs="Arial" w:eastAsia="Arial" w:hAnsi="Arial"/>
                <w:sz w:val="11"/>
                <w:szCs w:val="11"/>
                <w:color w:val="auto"/>
              </w:rPr>
              <w:t>8.7:1</w:t>
            </w:r>
          </w:p>
        </w:tc>
        <w:tc>
          <w:tcPr>
            <w:tcW w:w="1240" w:type="dxa"/>
            <w:vAlign w:val="bottom"/>
          </w:tcPr>
          <w:p>
            <w:pPr>
              <w:jc w:val="right"/>
              <w:ind w:right="406"/>
              <w:spacing w:after="0"/>
              <w:rPr>
                <w:sz w:val="20"/>
                <w:szCs w:val="20"/>
                <w:color w:val="auto"/>
              </w:rPr>
            </w:pPr>
            <w:r>
              <w:rPr>
                <w:rFonts w:ascii="Arial" w:cs="Arial" w:eastAsia="Arial" w:hAnsi="Arial"/>
                <w:sz w:val="11"/>
                <w:szCs w:val="11"/>
                <w:color w:val="auto"/>
              </w:rPr>
              <w:t>7.5:1</w:t>
            </w:r>
          </w:p>
        </w:tc>
        <w:tc>
          <w:tcPr>
            <w:tcW w:w="1280" w:type="dxa"/>
            <w:vAlign w:val="bottom"/>
          </w:tcPr>
          <w:p>
            <w:pPr>
              <w:jc w:val="right"/>
              <w:ind w:right="426"/>
              <w:spacing w:after="0"/>
              <w:rPr>
                <w:sz w:val="20"/>
                <w:szCs w:val="20"/>
                <w:color w:val="auto"/>
              </w:rPr>
            </w:pPr>
            <w:r>
              <w:rPr>
                <w:rFonts w:ascii="Arial" w:cs="Arial" w:eastAsia="Arial" w:hAnsi="Arial"/>
                <w:sz w:val="11"/>
                <w:szCs w:val="11"/>
                <w:color w:val="auto"/>
              </w:rPr>
              <w:t>8.7:1</w:t>
            </w:r>
          </w:p>
        </w:tc>
        <w:tc>
          <w:tcPr>
            <w:tcW w:w="800" w:type="dxa"/>
            <w:vAlign w:val="bottom"/>
          </w:tcPr>
          <w:p>
            <w:pPr>
              <w:jc w:val="right"/>
              <w:spacing w:after="0"/>
              <w:rPr>
                <w:sz w:val="20"/>
                <w:szCs w:val="20"/>
                <w:color w:val="auto"/>
              </w:rPr>
            </w:pPr>
            <w:r>
              <w:rPr>
                <w:rFonts w:ascii="Arial" w:cs="Arial" w:eastAsia="Arial" w:hAnsi="Arial"/>
                <w:sz w:val="11"/>
                <w:szCs w:val="11"/>
                <w:color w:val="auto"/>
              </w:rPr>
              <w:t>7.5:1</w:t>
            </w:r>
          </w:p>
        </w:tc>
      </w:tr>
      <w:tr>
        <w:trPr>
          <w:trHeight w:val="144"/>
        </w:trPr>
        <w:tc>
          <w:tcPr>
            <w:tcW w:w="512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Economic return on tangible common equity - unannualized </w:t>
            </w:r>
            <w:r>
              <w:rPr>
                <w:rFonts w:ascii="Arial" w:cs="Arial" w:eastAsia="Arial" w:hAnsi="Arial"/>
                <w:sz w:val="12"/>
                <w:szCs w:val="12"/>
                <w:color w:val="auto"/>
                <w:vertAlign w:val="superscript"/>
              </w:rPr>
              <w:t>7</w:t>
            </w:r>
          </w:p>
        </w:tc>
        <w:tc>
          <w:tcPr>
            <w:tcW w:w="28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(17.4)%</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2.3 %</w:t>
            </w:r>
          </w:p>
        </w:tc>
        <w:tc>
          <w:tcPr>
            <w:tcW w:w="12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(35.5)%</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4.7 %</w:t>
            </w:r>
          </w:p>
        </w:tc>
      </w:tr>
      <w:tr>
        <w:trPr>
          <w:trHeight w:val="142"/>
        </w:trPr>
        <w:tc>
          <w:tcPr>
            <w:tcW w:w="5120" w:type="dxa"/>
            <w:vAlign w:val="bottom"/>
          </w:tcPr>
          <w:p>
            <w:pPr>
              <w:spacing w:after="0"/>
              <w:rPr>
                <w:sz w:val="20"/>
                <w:szCs w:val="20"/>
                <w:color w:val="auto"/>
              </w:rPr>
            </w:pPr>
            <w:r>
              <w:rPr>
                <w:rFonts w:ascii="Arial" w:cs="Arial" w:eastAsia="Arial" w:hAnsi="Arial"/>
                <w:sz w:val="10"/>
                <w:szCs w:val="10"/>
                <w:color w:val="auto"/>
              </w:rPr>
              <w:t>Expenses % of average total assets - annualized</w:t>
            </w:r>
          </w:p>
        </w:tc>
        <w:tc>
          <w:tcPr>
            <w:tcW w:w="2860" w:type="dxa"/>
            <w:vAlign w:val="bottom"/>
          </w:tcPr>
          <w:p>
            <w:pPr>
              <w:jc w:val="right"/>
              <w:ind w:right="406"/>
              <w:spacing w:after="0"/>
              <w:rPr>
                <w:sz w:val="20"/>
                <w:szCs w:val="20"/>
                <w:color w:val="auto"/>
              </w:rPr>
            </w:pPr>
            <w:r>
              <w:rPr>
                <w:rFonts w:ascii="Arial" w:cs="Arial" w:eastAsia="Arial" w:hAnsi="Arial"/>
                <w:sz w:val="11"/>
                <w:szCs w:val="11"/>
                <w:color w:val="auto"/>
              </w:rPr>
              <w:t>0.13 %</w:t>
            </w:r>
          </w:p>
        </w:tc>
        <w:tc>
          <w:tcPr>
            <w:tcW w:w="1240" w:type="dxa"/>
            <w:vAlign w:val="bottom"/>
          </w:tcPr>
          <w:p>
            <w:pPr>
              <w:jc w:val="right"/>
              <w:ind w:right="406"/>
              <w:spacing w:after="0"/>
              <w:rPr>
                <w:sz w:val="20"/>
                <w:szCs w:val="20"/>
                <w:color w:val="auto"/>
              </w:rPr>
            </w:pPr>
            <w:r>
              <w:rPr>
                <w:rFonts w:ascii="Arial" w:cs="Arial" w:eastAsia="Arial" w:hAnsi="Arial"/>
                <w:sz w:val="11"/>
                <w:szCs w:val="11"/>
                <w:color w:val="auto"/>
              </w:rPr>
              <w:t>0.13 %</w:t>
            </w:r>
          </w:p>
        </w:tc>
        <w:tc>
          <w:tcPr>
            <w:tcW w:w="1280" w:type="dxa"/>
            <w:vAlign w:val="bottom"/>
          </w:tcPr>
          <w:p>
            <w:pPr>
              <w:jc w:val="right"/>
              <w:ind w:right="426"/>
              <w:spacing w:after="0"/>
              <w:rPr>
                <w:sz w:val="20"/>
                <w:szCs w:val="20"/>
                <w:color w:val="auto"/>
              </w:rPr>
            </w:pPr>
            <w:r>
              <w:rPr>
                <w:rFonts w:ascii="Arial" w:cs="Arial" w:eastAsia="Arial" w:hAnsi="Arial"/>
                <w:sz w:val="11"/>
                <w:szCs w:val="11"/>
                <w:color w:val="auto"/>
              </w:rPr>
              <w:t>0.13 %</w:t>
            </w:r>
          </w:p>
        </w:tc>
        <w:tc>
          <w:tcPr>
            <w:tcW w:w="800" w:type="dxa"/>
            <w:vAlign w:val="bottom"/>
          </w:tcPr>
          <w:p>
            <w:pPr>
              <w:jc w:val="right"/>
              <w:spacing w:after="0"/>
              <w:rPr>
                <w:sz w:val="20"/>
                <w:szCs w:val="20"/>
                <w:color w:val="auto"/>
              </w:rPr>
            </w:pPr>
            <w:r>
              <w:rPr>
                <w:rFonts w:ascii="Arial" w:cs="Arial" w:eastAsia="Arial" w:hAnsi="Arial"/>
                <w:sz w:val="11"/>
                <w:szCs w:val="11"/>
                <w:color w:val="auto"/>
              </w:rPr>
              <w:t>0.12 %</w:t>
            </w: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0"/>
                <w:szCs w:val="10"/>
                <w:color w:val="auto"/>
              </w:rPr>
              <w:t>Expenses % of average assets, including average net TBA position - annualized</w:t>
            </w:r>
          </w:p>
        </w:tc>
        <w:tc>
          <w:tcPr>
            <w:tcW w:w="286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0.10 %</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0.09 %</w:t>
            </w:r>
          </w:p>
        </w:tc>
        <w:tc>
          <w:tcPr>
            <w:tcW w:w="128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rPr>
              <w:t>0.09 %</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0.09 %</w:t>
            </w:r>
          </w:p>
        </w:tc>
      </w:tr>
      <w:tr>
        <w:trPr>
          <w:trHeight w:val="140"/>
        </w:trPr>
        <w:tc>
          <w:tcPr>
            <w:tcW w:w="5120" w:type="dxa"/>
            <w:vAlign w:val="bottom"/>
          </w:tcPr>
          <w:p>
            <w:pPr>
              <w:spacing w:after="0"/>
              <w:rPr>
                <w:sz w:val="20"/>
                <w:szCs w:val="20"/>
                <w:color w:val="auto"/>
              </w:rPr>
            </w:pPr>
            <w:r>
              <w:rPr>
                <w:rFonts w:ascii="Arial" w:cs="Arial" w:eastAsia="Arial" w:hAnsi="Arial"/>
                <w:sz w:val="10"/>
                <w:szCs w:val="10"/>
                <w:color w:val="auto"/>
              </w:rPr>
              <w:t>Expenses % of average stockholders' equity - annualized</w:t>
            </w:r>
          </w:p>
        </w:tc>
        <w:tc>
          <w:tcPr>
            <w:tcW w:w="2860" w:type="dxa"/>
            <w:vAlign w:val="bottom"/>
          </w:tcPr>
          <w:p>
            <w:pPr>
              <w:jc w:val="right"/>
              <w:ind w:right="406"/>
              <w:spacing w:after="0"/>
              <w:rPr>
                <w:sz w:val="20"/>
                <w:szCs w:val="20"/>
                <w:color w:val="auto"/>
              </w:rPr>
            </w:pPr>
            <w:r>
              <w:rPr>
                <w:rFonts w:ascii="Arial" w:cs="Arial" w:eastAsia="Arial" w:hAnsi="Arial"/>
                <w:sz w:val="11"/>
                <w:szCs w:val="11"/>
                <w:color w:val="auto"/>
              </w:rPr>
              <w:t>0.95 %</w:t>
            </w:r>
          </w:p>
        </w:tc>
        <w:tc>
          <w:tcPr>
            <w:tcW w:w="1240" w:type="dxa"/>
            <w:vAlign w:val="bottom"/>
          </w:tcPr>
          <w:p>
            <w:pPr>
              <w:jc w:val="right"/>
              <w:ind w:right="406"/>
              <w:spacing w:after="0"/>
              <w:rPr>
                <w:sz w:val="20"/>
                <w:szCs w:val="20"/>
                <w:color w:val="auto"/>
              </w:rPr>
            </w:pPr>
            <w:r>
              <w:rPr>
                <w:rFonts w:ascii="Arial" w:cs="Arial" w:eastAsia="Arial" w:hAnsi="Arial"/>
                <w:sz w:val="11"/>
                <w:szCs w:val="11"/>
                <w:color w:val="auto"/>
              </w:rPr>
              <w:t>0.83 %</w:t>
            </w:r>
          </w:p>
        </w:tc>
        <w:tc>
          <w:tcPr>
            <w:tcW w:w="1280" w:type="dxa"/>
            <w:vAlign w:val="bottom"/>
          </w:tcPr>
          <w:p>
            <w:pPr>
              <w:jc w:val="right"/>
              <w:ind w:right="426"/>
              <w:spacing w:after="0"/>
              <w:rPr>
                <w:sz w:val="20"/>
                <w:szCs w:val="20"/>
                <w:color w:val="auto"/>
              </w:rPr>
            </w:pPr>
            <w:r>
              <w:rPr>
                <w:rFonts w:ascii="Arial" w:cs="Arial" w:eastAsia="Arial" w:hAnsi="Arial"/>
                <w:sz w:val="11"/>
                <w:szCs w:val="11"/>
                <w:color w:val="auto"/>
              </w:rPr>
              <w:t>0.91 %</w:t>
            </w:r>
          </w:p>
        </w:tc>
        <w:tc>
          <w:tcPr>
            <w:tcW w:w="800" w:type="dxa"/>
            <w:vAlign w:val="bottom"/>
          </w:tcPr>
          <w:p>
            <w:pPr>
              <w:jc w:val="right"/>
              <w:spacing w:after="0"/>
              <w:rPr>
                <w:sz w:val="20"/>
                <w:szCs w:val="20"/>
                <w:color w:val="auto"/>
              </w:rPr>
            </w:pPr>
            <w:r>
              <w:rPr>
                <w:rFonts w:ascii="Arial" w:cs="Arial" w:eastAsia="Arial" w:hAnsi="Arial"/>
                <w:sz w:val="11"/>
                <w:szCs w:val="11"/>
                <w:color w:val="auto"/>
              </w:rPr>
              <w:t>0.82 %</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 Except as noted below, average numbers for each period are weighted based on days on our books and records.</w:t>
      </w:r>
    </w:p>
    <w:p>
      <w:pPr>
        <w:ind w:left="420" w:hanging="212"/>
        <w:spacing w:after="0" w:line="236"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Net book value per common share is calculated as total stockholders' equity, less preferred stock liquidation preference, divided by number of common shares outstanding as of period end.</w:t>
      </w:r>
    </w:p>
    <w:p>
      <w:pPr>
        <w:ind w:left="420" w:hanging="212"/>
        <w:spacing w:after="0"/>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Tangible net book value per common share excludes goodwill.</w:t>
      </w:r>
    </w:p>
    <w:p>
      <w:pPr>
        <w:spacing w:after="0" w:line="2" w:lineRule="exact"/>
        <w:rPr>
          <w:rFonts w:ascii="Arial" w:cs="Arial" w:eastAsia="Arial" w:hAnsi="Arial"/>
          <w:sz w:val="10"/>
          <w:szCs w:val="10"/>
          <w:color w:val="auto"/>
        </w:rPr>
      </w:pPr>
    </w:p>
    <w:p>
      <w:pPr>
        <w:ind w:left="420" w:hanging="212"/>
        <w:spacing w:after="0"/>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Amount excludes U.S. Treasury repurchase agreements and TBA contracts. Other debt includes debt of consolidated VIEs.</w:t>
      </w:r>
    </w:p>
    <w:p>
      <w:pPr>
        <w:spacing w:after="0" w:line="2" w:lineRule="exact"/>
        <w:rPr>
          <w:rFonts w:ascii="Arial" w:cs="Arial" w:eastAsia="Arial" w:hAnsi="Arial"/>
          <w:sz w:val="10"/>
          <w:szCs w:val="10"/>
          <w:color w:val="auto"/>
        </w:rPr>
      </w:pPr>
    </w:p>
    <w:p>
      <w:pPr>
        <w:ind w:left="420" w:hanging="212"/>
        <w:spacing w:after="0"/>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stockholders' equity calculated as average month-ended stockholders' equity during the period.</w:t>
      </w:r>
    </w:p>
    <w:p>
      <w:pPr>
        <w:spacing w:after="0" w:line="2" w:lineRule="exact"/>
        <w:rPr>
          <w:rFonts w:ascii="Arial" w:cs="Arial" w:eastAsia="Arial" w:hAnsi="Arial"/>
          <w:sz w:val="10"/>
          <w:szCs w:val="10"/>
          <w:color w:val="auto"/>
        </w:rPr>
      </w:pPr>
    </w:p>
    <w:p>
      <w:pPr>
        <w:ind w:left="420" w:hanging="212"/>
        <w:spacing w:after="0" w:line="234"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ind w:left="420" w:right="20" w:hanging="212"/>
        <w:spacing w:after="0" w:line="244"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ind w:left="420" w:hanging="212"/>
        <w:spacing w:after="0"/>
        <w:tabs>
          <w:tab w:leader="none" w:pos="420" w:val="left"/>
        </w:tabs>
        <w:numPr>
          <w:ilvl w:val="0"/>
          <w:numId w:val="25"/>
        </w:numPr>
        <w:rPr>
          <w:rFonts w:ascii="Arial" w:cs="Arial" w:eastAsia="Arial" w:hAnsi="Arial"/>
          <w:sz w:val="8"/>
          <w:szCs w:val="8"/>
          <w:color w:val="auto"/>
        </w:rPr>
      </w:pPr>
      <w:r>
        <w:rPr>
          <w:rFonts w:ascii="Arial" w:cs="Arial" w:eastAsia="Arial" w:hAnsi="Arial"/>
          <w:sz w:val="8"/>
          <w:szCs w:val="8"/>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Interest Income and Asset Yields</w:t>
      </w:r>
    </w:p>
    <w:p>
      <w:pPr>
        <w:spacing w:after="0" w:line="114"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The following table summarizes our economic interest income (a non-GAAP measure) for the three and nine months ended September 30, 2022 and 2021,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0"/>
                <w:szCs w:val="10"/>
                <w:b w:val="1"/>
                <w:bCs w:val="1"/>
                <w:color w:val="auto"/>
                <w:w w:val="85"/>
              </w:rPr>
              <w:t>Three Months Ended September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0"/>
                <w:szCs w:val="10"/>
                <w:b w:val="1"/>
                <w:bCs w:val="1"/>
                <w:color w:val="auto"/>
                <w:w w:val="88"/>
              </w:rPr>
              <w:t>Nine Months Ended September 30,</w:t>
            </w:r>
          </w:p>
        </w:tc>
        <w:tc>
          <w:tcPr>
            <w:tcW w:w="620" w:type="dxa"/>
            <w:vAlign w:val="bottom"/>
            <w:tcBorders>
              <w:bottom w:val="single" w:sz="8" w:color="auto"/>
            </w:tcBorders>
          </w:tcPr>
          <w:p>
            <w:pPr>
              <w:spacing w:after="0"/>
              <w:rPr>
                <w:sz w:val="11"/>
                <w:szCs w:val="11"/>
                <w:color w:val="auto"/>
              </w:rPr>
            </w:pPr>
          </w:p>
        </w:tc>
      </w:tr>
      <w:tr>
        <w:trPr>
          <w:trHeight w:val="127"/>
        </w:trPr>
        <w:tc>
          <w:tcPr>
            <w:tcW w:w="4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2022</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2022</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1"/>
                <w:szCs w:val="11"/>
                <w:color w:val="auto"/>
              </w:rPr>
            </w:pPr>
          </w:p>
        </w:tc>
      </w:tr>
      <w:tr>
        <w:trPr>
          <w:trHeight w:val="119"/>
        </w:trPr>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232"/>
              <w:spacing w:after="0"/>
              <w:rPr>
                <w:sz w:val="20"/>
                <w:szCs w:val="20"/>
                <w:color w:val="auto"/>
              </w:rPr>
            </w:pPr>
            <w:r>
              <w:rPr>
                <w:rFonts w:ascii="Arial" w:cs="Arial" w:eastAsia="Arial" w:hAnsi="Arial"/>
                <w:sz w:val="10"/>
                <w:szCs w:val="10"/>
                <w:b w:val="1"/>
                <w:bCs w:val="1"/>
                <w:color w:val="auto"/>
              </w:rPr>
              <w:t>Yield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Amount</w:t>
            </w:r>
          </w:p>
        </w:tc>
        <w:tc>
          <w:tcPr>
            <w:tcW w:w="600" w:type="dxa"/>
            <w:vAlign w:val="bottom"/>
          </w:tcPr>
          <w:p>
            <w:pPr>
              <w:jc w:val="right"/>
              <w:ind w:right="232"/>
              <w:spacing w:after="0"/>
              <w:rPr>
                <w:sz w:val="20"/>
                <w:szCs w:val="20"/>
                <w:color w:val="auto"/>
              </w:rPr>
            </w:pPr>
            <w:r>
              <w:rPr>
                <w:rFonts w:ascii="Arial" w:cs="Arial" w:eastAsia="Arial" w:hAnsi="Arial"/>
                <w:sz w:val="10"/>
                <w:szCs w:val="10"/>
                <w:b w:val="1"/>
                <w:bCs w:val="1"/>
                <w:color w:val="auto"/>
              </w:rPr>
              <w:t>Yield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0"/>
                <w:szCs w:val="10"/>
                <w:b w:val="1"/>
                <w:bCs w:val="1"/>
                <w:color w:val="auto"/>
              </w:rPr>
              <w:t>Amount</w:t>
            </w:r>
          </w:p>
        </w:tc>
        <w:tc>
          <w:tcPr>
            <w:tcW w:w="720" w:type="dxa"/>
            <w:vAlign w:val="bottom"/>
          </w:tcPr>
          <w:p>
            <w:pPr>
              <w:jc w:val="right"/>
              <w:ind w:right="252"/>
              <w:spacing w:after="0"/>
              <w:rPr>
                <w:sz w:val="20"/>
                <w:szCs w:val="20"/>
                <w:color w:val="auto"/>
              </w:rPr>
            </w:pPr>
            <w:r>
              <w:rPr>
                <w:rFonts w:ascii="Arial" w:cs="Arial" w:eastAsia="Arial" w:hAnsi="Arial"/>
                <w:sz w:val="10"/>
                <w:szCs w:val="10"/>
                <w:b w:val="1"/>
                <w:bCs w:val="1"/>
                <w:color w:val="auto"/>
              </w:rPr>
              <w:t>Yield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0"/>
                <w:szCs w:val="10"/>
                <w:b w:val="1"/>
                <w:bCs w:val="1"/>
                <w:color w:val="auto"/>
              </w:rPr>
              <w:t>Amount</w:t>
            </w:r>
          </w:p>
        </w:tc>
        <w:tc>
          <w:tcPr>
            <w:tcW w:w="620" w:type="dxa"/>
            <w:vAlign w:val="bottom"/>
          </w:tcPr>
          <w:p>
            <w:pPr>
              <w:jc w:val="right"/>
              <w:ind w:right="252"/>
              <w:spacing w:after="0"/>
              <w:rPr>
                <w:sz w:val="20"/>
                <w:szCs w:val="20"/>
                <w:color w:val="auto"/>
              </w:rPr>
            </w:pPr>
            <w:r>
              <w:rPr>
                <w:rFonts w:ascii="Arial" w:cs="Arial" w:eastAsia="Arial" w:hAnsi="Arial"/>
                <w:sz w:val="10"/>
                <w:szCs w:val="10"/>
                <w:b w:val="1"/>
                <w:bCs w:val="1"/>
                <w:color w:val="auto"/>
              </w:rPr>
              <w:t>Yield</w:t>
            </w:r>
          </w:p>
        </w:tc>
      </w:tr>
      <w:tr>
        <w:trPr>
          <w:trHeight w:val="118"/>
        </w:trPr>
        <w:tc>
          <w:tcPr>
            <w:tcW w:w="4420" w:type="dxa"/>
            <w:vAlign w:val="bottom"/>
          </w:tcPr>
          <w:p>
            <w:pPr>
              <w:spacing w:after="0" w:line="109" w:lineRule="exact"/>
              <w:rPr>
                <w:sz w:val="20"/>
                <w:szCs w:val="20"/>
                <w:color w:val="auto"/>
              </w:rPr>
            </w:pPr>
            <w:r>
              <w:rPr>
                <w:rFonts w:ascii="Arial" w:cs="Arial" w:eastAsia="Arial" w:hAnsi="Arial"/>
                <w:sz w:val="10"/>
                <w:szCs w:val="10"/>
                <w:color w:val="auto"/>
              </w:rPr>
              <w:t>Interest income:</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43"/>
        </w:trPr>
        <w:tc>
          <w:tcPr>
            <w:tcW w:w="4420" w:type="dxa"/>
            <w:vAlign w:val="bottom"/>
            <w:shd w:val="clear" w:color="auto" w:fill="CCEEFF"/>
          </w:tcPr>
          <w:p>
            <w:pPr>
              <w:ind w:left="60"/>
              <w:spacing w:after="0"/>
              <w:rPr>
                <w:sz w:val="20"/>
                <w:szCs w:val="20"/>
                <w:color w:val="auto"/>
              </w:rPr>
            </w:pPr>
            <w:r>
              <w:rPr>
                <w:rFonts w:ascii="Arial" w:cs="Arial" w:eastAsia="Arial" w:hAnsi="Arial"/>
                <w:sz w:val="10"/>
                <w:szCs w:val="10"/>
                <w:color w:val="auto"/>
              </w:rPr>
              <w:t>Cash/coupon interest income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399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1,330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3.31 %</w:t>
            </w:r>
          </w:p>
        </w:tc>
      </w:tr>
      <w:tr>
        <w:trPr>
          <w:trHeight w:val="128"/>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Net premium amortization benefit (cost)</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(106)</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0.02 %</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(231)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(0.67)%</w:t>
            </w:r>
          </w:p>
        </w:tc>
      </w:tr>
      <w:tr>
        <w:trPr>
          <w:trHeight w:val="131"/>
        </w:trPr>
        <w:tc>
          <w:tcPr>
            <w:tcW w:w="44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Interest income (GAAP measure)</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373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293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1,243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1,099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2.64 %</w:t>
            </w:r>
          </w:p>
        </w:tc>
      </w:tr>
      <w:tr>
        <w:trPr>
          <w:trHeight w:val="128"/>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Estimated "catch-up" premium amortization cost (benefit) due to change in CPR forecast</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(18)</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0.02 %</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(243)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(140)</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(0.34)%</w:t>
            </w:r>
          </w:p>
        </w:tc>
      </w:tr>
      <w:tr>
        <w:trPr>
          <w:trHeight w:val="131"/>
        </w:trPr>
        <w:tc>
          <w:tcPr>
            <w:tcW w:w="44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Interest income, excluding "catch-up" premium amortization</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355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2.94 %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295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2.30 %</w:t>
            </w:r>
          </w:p>
        </w:tc>
      </w:tr>
      <w:tr>
        <w:trPr>
          <w:trHeight w:val="135"/>
        </w:trPr>
        <w:tc>
          <w:tcPr>
            <w:tcW w:w="442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0"/>
                <w:szCs w:val="10"/>
                <w:color w:val="auto"/>
              </w:rPr>
              <w:t xml:space="preserve">TBA dollar roll income - implied interest income </w:t>
            </w:r>
            <w:r>
              <w:rPr>
                <w:rFonts w:ascii="Arial" w:cs="Arial" w:eastAsia="Arial" w:hAnsi="Arial"/>
                <w:sz w:val="12"/>
                <w:szCs w:val="12"/>
                <w:color w:val="auto"/>
                <w:vertAlign w:val="superscript"/>
              </w:rPr>
              <w:t>1,2</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4.18 %</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142</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1.88 %</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516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3.24 %</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1.75 %</w:t>
            </w:r>
          </w:p>
        </w:tc>
      </w:tr>
      <w:tr>
        <w:trPr>
          <w:trHeight w:val="140"/>
        </w:trPr>
        <w:tc>
          <w:tcPr>
            <w:tcW w:w="442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0"/>
                <w:szCs w:val="10"/>
                <w:color w:val="auto"/>
              </w:rPr>
              <w:t xml:space="preserve">Economic interest income, excluding "catch-up" amortization (non-GAAP measure) </w:t>
            </w:r>
            <w:r>
              <w:rPr>
                <w:rFonts w:ascii="Arial" w:cs="Arial" w:eastAsia="Arial" w:hAnsi="Arial"/>
                <w:sz w:val="12"/>
                <w:szCs w:val="12"/>
                <w:color w:val="auto"/>
                <w:vertAlign w:val="superscript"/>
              </w:rPr>
              <w:t>3</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568</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3.31 %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437</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2.16 %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1,516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1,356</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2.11 %</w:t>
            </w:r>
          </w:p>
        </w:tc>
      </w:tr>
      <w:tr>
        <w:trPr>
          <w:trHeight w:val="126"/>
        </w:trPr>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5"/>
        </w:trPr>
        <w:tc>
          <w:tcPr>
            <w:tcW w:w="4420" w:type="dxa"/>
            <w:vAlign w:val="bottom"/>
            <w:shd w:val="clear" w:color="auto" w:fill="CCEEFF"/>
          </w:tcPr>
          <w:p>
            <w:pPr>
              <w:spacing w:after="0"/>
              <w:rPr>
                <w:sz w:val="20"/>
                <w:szCs w:val="20"/>
                <w:color w:val="auto"/>
              </w:rPr>
            </w:pPr>
            <w:r>
              <w:rPr>
                <w:rFonts w:ascii="Arial" w:cs="Arial" w:eastAsia="Arial" w:hAnsi="Arial"/>
                <w:sz w:val="10"/>
                <w:szCs w:val="10"/>
                <w:color w:val="auto"/>
              </w:rPr>
              <w:t>Weighted average actual portfolio CPR for investment securities held during the period</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28"/>
        </w:trPr>
        <w:tc>
          <w:tcPr>
            <w:tcW w:w="4420" w:type="dxa"/>
            <w:vAlign w:val="bottom"/>
          </w:tcPr>
          <w:p>
            <w:pPr>
              <w:spacing w:after="0"/>
              <w:rPr>
                <w:sz w:val="20"/>
                <w:szCs w:val="20"/>
                <w:color w:val="auto"/>
              </w:rPr>
            </w:pPr>
            <w:r>
              <w:rPr>
                <w:rFonts w:ascii="Arial" w:cs="Arial" w:eastAsia="Arial" w:hAnsi="Arial"/>
                <w:sz w:val="10"/>
                <w:szCs w:val="10"/>
                <w:color w:val="auto"/>
                <w:w w:val="98"/>
              </w:rPr>
              <w:t>Weighted average projected CPR for the remaining life of investment securities held as of period end</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7.0 %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10.7 %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10.7 %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2"/>
        </w:trPr>
        <w:tc>
          <w:tcPr>
            <w:tcW w:w="442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30-year fixed rate mortgage rate as of period end </w:t>
            </w:r>
            <w:r>
              <w:rPr>
                <w:rFonts w:ascii="Arial" w:cs="Arial" w:eastAsia="Arial" w:hAnsi="Arial"/>
                <w:sz w:val="12"/>
                <w:szCs w:val="12"/>
                <w:color w:val="auto"/>
                <w:vertAlign w:val="superscript"/>
              </w:rPr>
              <w:t>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3.18 %</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1"/>
        </w:trPr>
        <w:tc>
          <w:tcPr>
            <w:tcW w:w="4420" w:type="dxa"/>
            <w:vAlign w:val="bottom"/>
          </w:tcPr>
          <w:p>
            <w:pPr>
              <w:spacing w:after="0"/>
              <w:rPr>
                <w:sz w:val="20"/>
                <w:szCs w:val="20"/>
                <w:color w:val="auto"/>
              </w:rPr>
            </w:pPr>
            <w:r>
              <w:rPr>
                <w:rFonts w:ascii="Arial" w:cs="Arial" w:eastAsia="Arial" w:hAnsi="Arial"/>
                <w:sz w:val="10"/>
                <w:szCs w:val="10"/>
                <w:color w:val="auto"/>
              </w:rPr>
              <w:t xml:space="preserve">10-year U.S. Treasury rate as of period end </w:t>
            </w:r>
            <w:r>
              <w:rPr>
                <w:rFonts w:ascii="Arial" w:cs="Arial" w:eastAsia="Arial" w:hAnsi="Arial"/>
                <w:sz w:val="12"/>
                <w:szCs w:val="12"/>
                <w:color w:val="auto"/>
                <w:vertAlign w:val="superscript"/>
              </w:rPr>
              <w:t>4</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3.83 %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1.49 %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3.83 %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1.49 %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4" w:name="page35"/>
    <w:bookmarkEnd w:id="34"/>
    <w:p>
      <w:pPr>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Reported in gain (loss) on derivatives instruments and other securities, net in the accompanying consolidated statements of operations.</w:t>
      </w:r>
    </w:p>
    <w:p>
      <w:pPr>
        <w:jc w:val="both"/>
        <w:ind w:left="420" w:hanging="212"/>
        <w:spacing w:after="0" w:line="241" w:lineRule="auto"/>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 xml:space="preserve">Implied interest income from TBA dollar roll transactions is computed as the sum of (i) TBA dollar roll income and (ii) estimated TBA implied funding cost (see </w:t>
      </w:r>
      <w:r>
        <w:rPr>
          <w:rFonts w:ascii="Arial" w:cs="Arial" w:eastAsia="Arial" w:hAnsi="Arial"/>
          <w:sz w:val="10"/>
          <w:szCs w:val="10"/>
          <w:i w:val="1"/>
          <w:iCs w:val="1"/>
          <w:color w:val="auto"/>
        </w:rPr>
        <w:t>Economic Interest Expense and Aggregate Cost of Funds</w:t>
      </w:r>
      <w:r>
        <w:rPr>
          <w:rFonts w:ascii="Arial" w:cs="Arial" w:eastAsia="Arial" w:hAnsi="Arial"/>
          <w:sz w:val="10"/>
          <w:szCs w:val="10"/>
          <w:color w:val="auto"/>
        </w:rPr>
        <w:t xml:space="preserve"> 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0"/>
          <w:szCs w:val="10"/>
          <w:color w:val="auto"/>
        </w:rPr>
      </w:pPr>
    </w:p>
    <w:p>
      <w:pPr>
        <w:ind w:left="420" w:hanging="212"/>
        <w:spacing w:after="0"/>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combined asset yield is calculated on a weighted average basis based on our average investment and TBA balances outstanding during the period and their respective yields.</w:t>
      </w:r>
    </w:p>
    <w:p>
      <w:pPr>
        <w:spacing w:after="0" w:line="2" w:lineRule="exact"/>
        <w:rPr>
          <w:rFonts w:ascii="Arial" w:cs="Arial" w:eastAsia="Arial" w:hAnsi="Arial"/>
          <w:sz w:val="10"/>
          <w:szCs w:val="10"/>
          <w:color w:val="auto"/>
        </w:rPr>
      </w:pPr>
    </w:p>
    <w:p>
      <w:pPr>
        <w:ind w:left="420" w:hanging="212"/>
        <w:spacing w:after="0"/>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Source: Bloomberg</w:t>
      </w:r>
    </w:p>
    <w:p>
      <w:pPr>
        <w:spacing w:after="0" w:line="100"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The principal elements impacting our economic interest income are the size of our average investment portfolio and the yield on our securities. The following table includes a summary of the estimated impact of each of these elements on our economic interest income for the three and nine months ended September 30, 2022 compared to the prior year period (in millions):</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5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Periods ended September 30, 2022 vs. September 30,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Due to Change in Average</w:t>
            </w:r>
          </w:p>
        </w:tc>
        <w:tc>
          <w:tcPr>
            <w:tcW w:w="88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Three months ended:</w:t>
            </w:r>
          </w:p>
        </w:tc>
        <w:tc>
          <w:tcPr>
            <w:tcW w:w="1140" w:type="dxa"/>
            <w:vAlign w:val="bottom"/>
          </w:tcPr>
          <w:p>
            <w:pPr>
              <w:jc w:val="right"/>
              <w:ind w:right="72"/>
              <w:spacing w:after="0" w:line="94" w:lineRule="exact"/>
              <w:rPr>
                <w:sz w:val="20"/>
                <w:szCs w:val="20"/>
                <w:color w:val="auto"/>
              </w:rPr>
            </w:pPr>
            <w:r>
              <w:rPr>
                <w:rFonts w:ascii="Arial" w:cs="Arial" w:eastAsia="Arial" w:hAnsi="Arial"/>
                <w:sz w:val="10"/>
                <w:szCs w:val="10"/>
                <w:b w:val="1"/>
                <w:bCs w:val="1"/>
                <w:color w:val="auto"/>
              </w:rPr>
              <w:t>Total Increase /</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right"/>
              <w:spacing w:after="0" w:line="94" w:lineRule="exact"/>
              <w:rPr>
                <w:sz w:val="20"/>
                <w:szCs w:val="20"/>
                <w:color w:val="auto"/>
              </w:rPr>
            </w:pPr>
            <w:r>
              <w:rPr>
                <w:rFonts w:ascii="Arial" w:cs="Arial" w:eastAsia="Arial" w:hAnsi="Arial"/>
                <w:sz w:val="10"/>
                <w:szCs w:val="10"/>
                <w:b w:val="1"/>
                <w:bCs w:val="1"/>
                <w:color w:val="auto"/>
              </w:rPr>
              <w:t>Portfolio</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jc w:val="right"/>
              <w:ind w:right="552"/>
              <w:spacing w:after="0" w:line="94" w:lineRule="exact"/>
              <w:rPr>
                <w:sz w:val="20"/>
                <w:szCs w:val="20"/>
                <w:color w:val="auto"/>
              </w:rPr>
            </w:pPr>
            <w:r>
              <w:rPr>
                <w:rFonts w:ascii="Arial" w:cs="Arial" w:eastAsia="Arial" w:hAnsi="Arial"/>
                <w:sz w:val="10"/>
                <w:szCs w:val="10"/>
                <w:b w:val="1"/>
                <w:bCs w:val="1"/>
                <w:color w:val="auto"/>
                <w:w w:val="95"/>
              </w:rPr>
              <w:t>Asset</w:t>
            </w:r>
          </w:p>
        </w:tc>
        <w:tc>
          <w:tcPr>
            <w:tcW w:w="0" w:type="dxa"/>
            <w:vAlign w:val="bottom"/>
          </w:tcPr>
          <w:p>
            <w:pPr>
              <w:spacing w:after="0"/>
              <w:rPr>
                <w:sz w:val="1"/>
                <w:szCs w:val="1"/>
                <w:color w:val="auto"/>
              </w:rPr>
            </w:pPr>
          </w:p>
        </w:tc>
      </w:tr>
      <w:tr>
        <w:trPr>
          <w:trHeight w:val="127"/>
        </w:trPr>
        <w:tc>
          <w:tcPr>
            <w:tcW w:w="6820" w:type="dxa"/>
            <w:vAlign w:val="bottom"/>
            <w:gridSpan w:val="2"/>
            <w:vMerge w:val="continue"/>
          </w:tcPr>
          <w:p>
            <w:pPr>
              <w:spacing w:after="0"/>
              <w:rPr>
                <w:sz w:val="11"/>
                <w:szCs w:val="11"/>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b w:val="1"/>
                <w:bCs w:val="1"/>
                <w:color w:val="auto"/>
              </w:rPr>
              <w:t>(Decrease)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b w:val="1"/>
                <w:bCs w:val="1"/>
                <w:color w:val="auto"/>
              </w:rPr>
              <w:t>Size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jc w:val="right"/>
              <w:ind w:right="552"/>
              <w:spacing w:after="0"/>
              <w:rPr>
                <w:sz w:val="20"/>
                <w:szCs w:val="20"/>
                <w:color w:val="auto"/>
              </w:rPr>
            </w:pPr>
            <w:r>
              <w:rPr>
                <w:rFonts w:ascii="Arial" w:cs="Arial" w:eastAsia="Arial" w:hAnsi="Arial"/>
                <w:sz w:val="10"/>
                <w:szCs w:val="10"/>
                <w:b w:val="1"/>
                <w:bCs w:val="1"/>
                <w:color w:val="auto"/>
              </w:rPr>
              <w:t>Yield</w:t>
            </w:r>
          </w:p>
        </w:tc>
        <w:tc>
          <w:tcPr>
            <w:tcW w:w="0" w:type="dxa"/>
            <w:vAlign w:val="bottom"/>
          </w:tcPr>
          <w:p>
            <w:pPr>
              <w:spacing w:after="0"/>
              <w:rPr>
                <w:sz w:val="1"/>
                <w:szCs w:val="1"/>
                <w:color w:val="auto"/>
              </w:rPr>
            </w:pPr>
          </w:p>
        </w:tc>
      </w:tr>
      <w:tr>
        <w:trPr>
          <w:trHeight w:val="128"/>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Interest Income (GAAP measure)</w:t>
            </w: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center"/>
              <w:ind w:left="252"/>
              <w:spacing w:after="0"/>
              <w:rPr>
                <w:sz w:val="20"/>
                <w:szCs w:val="20"/>
                <w:color w:val="auto"/>
              </w:rPr>
            </w:pPr>
            <w:r>
              <w:rPr>
                <w:rFonts w:ascii="Arial" w:cs="Arial" w:eastAsia="Arial" w:hAnsi="Arial"/>
                <w:sz w:val="10"/>
                <w:szCs w:val="10"/>
                <w:color w:val="auto"/>
                <w:w w:val="89"/>
              </w:rPr>
              <w:t>(14)</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128"/>
        </w:trPr>
        <w:tc>
          <w:tcPr>
            <w:tcW w:w="6820" w:type="dxa"/>
            <w:vAlign w:val="bottom"/>
            <w:gridSpan w:val="2"/>
          </w:tcPr>
          <w:p>
            <w:pPr>
              <w:spacing w:after="0"/>
              <w:rPr>
                <w:sz w:val="20"/>
                <w:szCs w:val="20"/>
                <w:color w:val="auto"/>
              </w:rPr>
            </w:pPr>
            <w:r>
              <w:rPr>
                <w:rFonts w:ascii="Arial" w:cs="Arial" w:eastAsia="Arial" w:hAnsi="Arial"/>
                <w:sz w:val="10"/>
                <w:szCs w:val="10"/>
                <w:color w:val="auto"/>
              </w:rPr>
              <w:t>Estimated "catch-up" premium amortization due to change in CPR forecast</w:t>
            </w:r>
          </w:p>
        </w:tc>
        <w:tc>
          <w:tcPr>
            <w:tcW w:w="1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gridSpan w:val="2"/>
          </w:tcPr>
          <w:p>
            <w:pPr>
              <w:jc w:val="center"/>
              <w:ind w:left="192"/>
              <w:spacing w:after="0"/>
              <w:rPr>
                <w:sz w:val="20"/>
                <w:szCs w:val="20"/>
                <w:color w:val="auto"/>
              </w:rPr>
            </w:pPr>
            <w:r>
              <w:rPr>
                <w:rFonts w:ascii="Arial" w:cs="Arial" w:eastAsia="Arial" w:hAnsi="Arial"/>
                <w:sz w:val="10"/>
                <w:szCs w:val="10"/>
                <w:color w:val="auto"/>
                <w:w w:val="99"/>
              </w:rPr>
              <w:t>—</w:t>
            </w:r>
          </w:p>
        </w:tc>
        <w:tc>
          <w:tcPr>
            <w:tcW w:w="5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31"/>
        </w:trPr>
        <w:tc>
          <w:tcPr>
            <w:tcW w:w="682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0"/>
                <w:szCs w:val="10"/>
                <w:color w:val="auto"/>
              </w:rPr>
              <w:t>Interest income, excluding "catch-up" premium amortization</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ind w:left="252"/>
              <w:spacing w:after="0"/>
              <w:rPr>
                <w:sz w:val="20"/>
                <w:szCs w:val="20"/>
                <w:color w:val="auto"/>
              </w:rPr>
            </w:pPr>
            <w:r>
              <w:rPr>
                <w:rFonts w:ascii="Arial" w:cs="Arial" w:eastAsia="Arial" w:hAnsi="Arial"/>
                <w:sz w:val="10"/>
                <w:szCs w:val="10"/>
                <w:color w:val="auto"/>
                <w:w w:val="89"/>
              </w:rPr>
              <w:t>(14)</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28"/>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TBA dollar roll income - implied interest income</w:t>
            </w: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color w:val="auto"/>
                <w:w w:val="89"/>
              </w:rPr>
              <w:t>(47)</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47"/>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Economic interest income, excluding "catch-up" amortization (non-GAAP measure)</w:t>
            </w:r>
          </w:p>
        </w:tc>
        <w:tc>
          <w:tcPr>
            <w:tcW w:w="114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0"/>
                <w:szCs w:val="10"/>
                <w:color w:val="auto"/>
                <w:w w:val="89"/>
              </w:rPr>
              <w:t>(61)</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Due to Change in Average</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Nine months ended:</w:t>
            </w:r>
          </w:p>
        </w:tc>
        <w:tc>
          <w:tcPr>
            <w:tcW w:w="1120" w:type="dxa"/>
            <w:vAlign w:val="bottom"/>
          </w:tcPr>
          <w:p>
            <w:pPr>
              <w:jc w:val="right"/>
              <w:ind w:right="52"/>
              <w:spacing w:after="0" w:line="94" w:lineRule="exact"/>
              <w:rPr>
                <w:sz w:val="20"/>
                <w:szCs w:val="20"/>
                <w:color w:val="auto"/>
              </w:rPr>
            </w:pPr>
            <w:r>
              <w:rPr>
                <w:rFonts w:ascii="Arial" w:cs="Arial" w:eastAsia="Arial" w:hAnsi="Arial"/>
                <w:sz w:val="10"/>
                <w:szCs w:val="10"/>
                <w:b w:val="1"/>
                <w:bCs w:val="1"/>
                <w:color w:val="auto"/>
              </w:rPr>
              <w:t>Total Increase /</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right"/>
              <w:spacing w:after="0" w:line="94" w:lineRule="exact"/>
              <w:rPr>
                <w:sz w:val="20"/>
                <w:szCs w:val="20"/>
                <w:color w:val="auto"/>
              </w:rPr>
            </w:pPr>
            <w:r>
              <w:rPr>
                <w:rFonts w:ascii="Arial" w:cs="Arial" w:eastAsia="Arial" w:hAnsi="Arial"/>
                <w:sz w:val="10"/>
                <w:szCs w:val="10"/>
                <w:b w:val="1"/>
                <w:bCs w:val="1"/>
                <w:color w:val="auto"/>
              </w:rPr>
              <w:t>Portfolio</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ind w:left="60"/>
              <w:spacing w:after="0" w:line="94" w:lineRule="exact"/>
              <w:rPr>
                <w:sz w:val="20"/>
                <w:szCs w:val="20"/>
                <w:color w:val="auto"/>
              </w:rPr>
            </w:pPr>
            <w:r>
              <w:rPr>
                <w:rFonts w:ascii="Arial" w:cs="Arial" w:eastAsia="Arial" w:hAnsi="Arial"/>
                <w:sz w:val="10"/>
                <w:szCs w:val="10"/>
                <w:b w:val="1"/>
                <w:bCs w:val="1"/>
                <w:color w:val="auto"/>
              </w:rPr>
              <w:t>Asset</w:t>
            </w:r>
          </w:p>
        </w:tc>
        <w:tc>
          <w:tcPr>
            <w:tcW w:w="0" w:type="dxa"/>
            <w:vAlign w:val="bottom"/>
          </w:tcPr>
          <w:p>
            <w:pPr>
              <w:spacing w:after="0"/>
              <w:rPr>
                <w:sz w:val="1"/>
                <w:szCs w:val="1"/>
                <w:color w:val="auto"/>
              </w:rPr>
            </w:pPr>
          </w:p>
        </w:tc>
      </w:tr>
      <w:tr>
        <w:trPr>
          <w:trHeight w:val="127"/>
        </w:trPr>
        <w:tc>
          <w:tcPr>
            <w:tcW w:w="6820" w:type="dxa"/>
            <w:vAlign w:val="bottom"/>
            <w:gridSpan w:val="2"/>
            <w:vMerge w:val="continue"/>
          </w:tcPr>
          <w:p>
            <w:pPr>
              <w:spacing w:after="0"/>
              <w:rPr>
                <w:sz w:val="11"/>
                <w:szCs w:val="11"/>
                <w:color w:val="auto"/>
              </w:rPr>
            </w:pPr>
          </w:p>
        </w:tc>
        <w:tc>
          <w:tcPr>
            <w:tcW w:w="1120" w:type="dxa"/>
            <w:vAlign w:val="bottom"/>
          </w:tcPr>
          <w:p>
            <w:pPr>
              <w:jc w:val="right"/>
              <w:ind w:right="152"/>
              <w:spacing w:after="0"/>
              <w:rPr>
                <w:sz w:val="20"/>
                <w:szCs w:val="20"/>
                <w:color w:val="auto"/>
              </w:rPr>
            </w:pPr>
            <w:r>
              <w:rPr>
                <w:rFonts w:ascii="Arial" w:cs="Arial" w:eastAsia="Arial" w:hAnsi="Arial"/>
                <w:sz w:val="10"/>
                <w:szCs w:val="10"/>
                <w:b w:val="1"/>
                <w:bCs w:val="1"/>
                <w:color w:val="auto"/>
              </w:rPr>
              <w:t>(Decrease)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b w:val="1"/>
                <w:bCs w:val="1"/>
                <w:color w:val="auto"/>
              </w:rPr>
              <w:t>Size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Yield</w:t>
            </w:r>
          </w:p>
        </w:tc>
        <w:tc>
          <w:tcPr>
            <w:tcW w:w="0" w:type="dxa"/>
            <w:vAlign w:val="bottom"/>
          </w:tcPr>
          <w:p>
            <w:pPr>
              <w:spacing w:after="0"/>
              <w:rPr>
                <w:sz w:val="1"/>
                <w:szCs w:val="1"/>
                <w:color w:val="auto"/>
              </w:rPr>
            </w:pPr>
          </w:p>
        </w:tc>
      </w:tr>
      <w:tr>
        <w:trPr>
          <w:trHeight w:val="128"/>
        </w:trPr>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Interest Income (GAAP measure)</w:t>
            </w: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center"/>
              <w:ind w:left="612"/>
              <w:spacing w:after="0"/>
              <w:rPr>
                <w:sz w:val="20"/>
                <w:szCs w:val="20"/>
                <w:color w:val="auto"/>
              </w:rPr>
            </w:pPr>
            <w:r>
              <w:rPr>
                <w:rFonts w:ascii="Arial" w:cs="Arial" w:eastAsia="Arial" w:hAnsi="Arial"/>
                <w:sz w:val="10"/>
                <w:szCs w:val="10"/>
                <w:color w:val="auto"/>
                <w:w w:val="83"/>
              </w:rPr>
              <w:t>237</w:t>
            </w:r>
          </w:p>
        </w:tc>
        <w:tc>
          <w:tcPr>
            <w:tcW w:w="0" w:type="dxa"/>
            <w:vAlign w:val="bottom"/>
          </w:tcPr>
          <w:p>
            <w:pPr>
              <w:spacing w:after="0"/>
              <w:rPr>
                <w:sz w:val="1"/>
                <w:szCs w:val="1"/>
                <w:color w:val="auto"/>
              </w:rPr>
            </w:pPr>
          </w:p>
        </w:tc>
      </w:tr>
      <w:tr>
        <w:trPr>
          <w:trHeight w:val="128"/>
        </w:trPr>
        <w:tc>
          <w:tcPr>
            <w:tcW w:w="6820" w:type="dxa"/>
            <w:vAlign w:val="bottom"/>
            <w:gridSpan w:val="2"/>
          </w:tcPr>
          <w:p>
            <w:pPr>
              <w:spacing w:after="0"/>
              <w:rPr>
                <w:sz w:val="20"/>
                <w:szCs w:val="20"/>
                <w:color w:val="auto"/>
              </w:rPr>
            </w:pPr>
            <w:r>
              <w:rPr>
                <w:rFonts w:ascii="Arial" w:cs="Arial" w:eastAsia="Arial" w:hAnsi="Arial"/>
                <w:sz w:val="10"/>
                <w:szCs w:val="10"/>
                <w:color w:val="auto"/>
              </w:rPr>
              <w:t>Estimated "catch-up" premium amortization due to change in CPR forecast</w:t>
            </w:r>
          </w:p>
        </w:tc>
        <w:tc>
          <w:tcPr>
            <w:tcW w:w="1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(103)</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880" w:type="dxa"/>
            <w:vAlign w:val="bottom"/>
          </w:tcPr>
          <w:p>
            <w:pPr>
              <w:jc w:val="center"/>
              <w:ind w:left="592"/>
              <w:spacing w:after="0"/>
              <w:rPr>
                <w:sz w:val="20"/>
                <w:szCs w:val="20"/>
                <w:color w:val="auto"/>
              </w:rPr>
            </w:pPr>
            <w:r>
              <w:rPr>
                <w:rFonts w:ascii="Arial" w:cs="Arial" w:eastAsia="Arial" w:hAnsi="Arial"/>
                <w:sz w:val="10"/>
                <w:szCs w:val="10"/>
                <w:color w:val="auto"/>
                <w:w w:val="85"/>
              </w:rPr>
              <w:t>(103)</w:t>
            </w:r>
          </w:p>
        </w:tc>
        <w:tc>
          <w:tcPr>
            <w:tcW w:w="0" w:type="dxa"/>
            <w:vAlign w:val="bottom"/>
          </w:tcPr>
          <w:p>
            <w:pPr>
              <w:spacing w:after="0"/>
              <w:rPr>
                <w:sz w:val="1"/>
                <w:szCs w:val="1"/>
                <w:color w:val="auto"/>
              </w:rPr>
            </w:pPr>
          </w:p>
        </w:tc>
      </w:tr>
      <w:tr>
        <w:trPr>
          <w:trHeight w:val="131"/>
        </w:trPr>
        <w:tc>
          <w:tcPr>
            <w:tcW w:w="682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0"/>
                <w:szCs w:val="10"/>
                <w:color w:val="auto"/>
              </w:rPr>
              <w:t>Interest income, excluding "catch-up" premium amortization</w:t>
            </w:r>
          </w:p>
        </w:tc>
        <w:tc>
          <w:tcPr>
            <w:tcW w:w="1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ind w:left="612"/>
              <w:spacing w:after="0"/>
              <w:rPr>
                <w:sz w:val="20"/>
                <w:szCs w:val="20"/>
                <w:color w:val="auto"/>
              </w:rPr>
            </w:pPr>
            <w:r>
              <w:rPr>
                <w:rFonts w:ascii="Arial" w:cs="Arial" w:eastAsia="Arial" w:hAnsi="Arial"/>
                <w:sz w:val="10"/>
                <w:szCs w:val="10"/>
                <w:color w:val="auto"/>
                <w:w w:val="83"/>
              </w:rPr>
              <w:t>134</w:t>
            </w:r>
          </w:p>
        </w:tc>
        <w:tc>
          <w:tcPr>
            <w:tcW w:w="0" w:type="dxa"/>
            <w:vAlign w:val="bottom"/>
          </w:tcPr>
          <w:p>
            <w:pPr>
              <w:spacing w:after="0"/>
              <w:rPr>
                <w:sz w:val="1"/>
                <w:szCs w:val="1"/>
                <w:color w:val="auto"/>
              </w:rPr>
            </w:pPr>
          </w:p>
        </w:tc>
      </w:tr>
      <w:tr>
        <w:trPr>
          <w:trHeight w:val="128"/>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TBA dollar roll income - implied interest income</w:t>
            </w:r>
          </w:p>
        </w:tc>
        <w:tc>
          <w:tcPr>
            <w:tcW w:w="1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w:t>
            </w: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left="612"/>
              <w:spacing w:after="0"/>
              <w:rPr>
                <w:sz w:val="20"/>
                <w:szCs w:val="20"/>
                <w:color w:val="auto"/>
              </w:rPr>
            </w:pPr>
            <w:r>
              <w:rPr>
                <w:rFonts w:ascii="Arial" w:cs="Arial" w:eastAsia="Arial" w:hAnsi="Arial"/>
                <w:sz w:val="10"/>
                <w:szCs w:val="10"/>
                <w:color w:val="auto"/>
                <w:w w:val="83"/>
              </w:rPr>
              <w:t>237</w:t>
            </w:r>
          </w:p>
        </w:tc>
        <w:tc>
          <w:tcPr>
            <w:tcW w:w="0" w:type="dxa"/>
            <w:vAlign w:val="bottom"/>
          </w:tcPr>
          <w:p>
            <w:pPr>
              <w:spacing w:after="0"/>
              <w:rPr>
                <w:sz w:val="1"/>
                <w:szCs w:val="1"/>
                <w:color w:val="auto"/>
              </w:rPr>
            </w:pPr>
          </w:p>
        </w:tc>
      </w:tr>
      <w:tr>
        <w:trPr>
          <w:trHeight w:val="147"/>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Economic interest income, excluding "catch-up" amortization (non-GAAP measure)</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160</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(211)</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0"/>
                <w:szCs w:val="10"/>
                <w:color w:val="auto"/>
                <w:w w:val="83"/>
              </w:rPr>
              <w:t>371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Our average investment portfolio, inclusive of TBAs (at cost), decreased 15% and 16% for the three and nine months ended September 30, 2022, respectively, compared to the prior year period, due to a decline in stockholders' equity. The average yield on our investment portfolio, including TBA implied asset yields and excluding "catch-up" premium amortization, increased 115 and 69 basis points, respectively, due to changes in asset composition and slower CPR projections.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Leverage</w:t>
      </w:r>
    </w:p>
    <w:p>
      <w:pPr>
        <w:spacing w:after="0" w:line="114" w:lineRule="exact"/>
        <w:rPr>
          <w:sz w:val="20"/>
          <w:szCs w:val="20"/>
          <w:color w:val="auto"/>
        </w:rPr>
      </w:pPr>
    </w:p>
    <w:p>
      <w:pPr>
        <w:jc w:val="both"/>
        <w:ind w:firstLine="297"/>
        <w:spacing w:after="0" w:line="323" w:lineRule="auto"/>
        <w:rPr>
          <w:sz w:val="20"/>
          <w:szCs w:val="20"/>
          <w:color w:val="auto"/>
        </w:rPr>
      </w:pPr>
      <w:r>
        <w:rPr>
          <w:rFonts w:ascii="Arial" w:cs="Arial" w:eastAsia="Arial" w:hAnsi="Arial"/>
          <w:sz w:val="11"/>
          <w:szCs w:val="11"/>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56"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1"/>
          <w:szCs w:val="11"/>
          <w:i w:val="1"/>
          <w:iCs w:val="1"/>
          <w:color w:val="auto"/>
        </w:rPr>
        <w:t xml:space="preserve">Liquidity and Capital Resources </w:t>
      </w:r>
      <w:r>
        <w:rPr>
          <w:rFonts w:ascii="Arial" w:cs="Arial" w:eastAsia="Arial" w:hAnsi="Arial"/>
          <w:sz w:val="11"/>
          <w:szCs w:val="11"/>
          <w:color w:val="auto"/>
        </w:rPr>
        <w:t>for further discussion of TBA securities and dollar roll transactions). Repurchase agreements used to fund short-term investments in U.S. Treasury securities ("U.S. Treasury repo") are excluded from</w:t>
      </w:r>
      <w:r>
        <w:rPr>
          <w:rFonts w:ascii="Arial" w:cs="Arial" w:eastAsia="Arial" w:hAnsi="Arial"/>
          <w:sz w:val="11"/>
          <w:szCs w:val="11"/>
          <w:i w:val="1"/>
          <w:iCs w:val="1"/>
          <w:color w:val="auto"/>
        </w:rPr>
        <w:t xml:space="preserve"> </w:t>
      </w:r>
      <w:r>
        <w:rPr>
          <w:rFonts w:ascii="Arial" w:cs="Arial" w:eastAsia="Arial" w:hAnsi="Arial"/>
          <w:sz w:val="11"/>
          <w:szCs w:val="11"/>
          <w:color w:val="auto"/>
        </w:rPr>
        <w:t>our measure of leverage due to the temporary and highly liquid nature of these investments. The following table presents a summary of our leverage ratios for the periods listed (dollars in millions):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5" w:right="299" w:bottom="144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92"/>
        </w:trPr>
        <w:tc>
          <w:tcPr>
            <w:tcW w:w="3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spacing w:after="0"/>
              <w:rPr>
                <w:sz w:val="20"/>
                <w:szCs w:val="20"/>
                <w:color w:val="auto"/>
              </w:rPr>
            </w:pPr>
            <w:r>
              <w:rPr>
                <w:rFonts w:ascii="Arial" w:cs="Arial" w:eastAsia="Arial" w:hAnsi="Arial"/>
                <w:sz w:val="8"/>
                <w:szCs w:val="8"/>
                <w:b w:val="1"/>
                <w:bCs w:val="1"/>
                <w:color w:val="auto"/>
                <w:w w:val="99"/>
              </w:rPr>
              <w:t>Repurchase Agreements</w:t>
            </w: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tcPr>
          <w:p>
            <w:pPr>
              <w:jc w:val="right"/>
              <w:spacing w:after="0"/>
              <w:rPr>
                <w:sz w:val="20"/>
                <w:szCs w:val="20"/>
                <w:color w:val="auto"/>
              </w:rPr>
            </w:pPr>
            <w:r>
              <w:rPr>
                <w:rFonts w:ascii="Arial" w:cs="Arial" w:eastAsia="Arial" w:hAnsi="Arial"/>
                <w:sz w:val="8"/>
                <w:szCs w:val="8"/>
                <w:b w:val="1"/>
                <w:bCs w:val="1"/>
                <w:color w:val="auto"/>
              </w:rPr>
              <w:t>Net TBA Position</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8"/>
                <w:szCs w:val="8"/>
                <w:b w:val="1"/>
                <w:bCs w:val="1"/>
                <w:color w:val="auto"/>
                <w:w w:val="94"/>
              </w:rPr>
              <w:t xml:space="preserve">and Other Debt </w:t>
            </w:r>
            <w:r>
              <w:rPr>
                <w:rFonts w:ascii="Arial" w:cs="Arial" w:eastAsia="Arial" w:hAnsi="Arial"/>
                <w:sz w:val="10"/>
                <w:szCs w:val="10"/>
                <w:b w:val="1"/>
                <w:bCs w:val="1"/>
                <w:color w:val="auto"/>
                <w:w w:val="94"/>
                <w:vertAlign w:val="superscript"/>
              </w:rPr>
              <w:t>1</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8"/>
                <w:szCs w:val="8"/>
                <w:b w:val="1"/>
                <w:bCs w:val="1"/>
                <w:color w:val="auto"/>
              </w:rPr>
              <w:t xml:space="preserve">Long/(Short) </w:t>
            </w:r>
            <w:r>
              <w:rPr>
                <w:rFonts w:ascii="Arial" w:cs="Arial" w:eastAsia="Arial" w:hAnsi="Arial"/>
                <w:sz w:val="10"/>
                <w:szCs w:val="10"/>
                <w:b w:val="1"/>
                <w:bCs w:val="1"/>
                <w:color w:val="auto"/>
                <w:vertAlign w:val="superscript"/>
              </w:rPr>
              <w:t>2</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8"/>
                <w:szCs w:val="8"/>
                <w:b w:val="1"/>
                <w:bCs w:val="1"/>
                <w:color w:val="auto"/>
                <w:w w:val="96"/>
              </w:rPr>
              <w:t>Tangible Net Book Value "At Risk"</w:t>
            </w: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4"/>
              </w:rPr>
              <w:t>Average Daily</w:t>
            </w:r>
          </w:p>
        </w:tc>
        <w:tc>
          <w:tcPr>
            <w:tcW w:w="100" w:type="dxa"/>
            <w:vAlign w:val="bottom"/>
          </w:tcPr>
          <w:p>
            <w:pPr>
              <w:spacing w:after="0"/>
              <w:rPr>
                <w:sz w:val="7"/>
                <w:szCs w:val="7"/>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7"/>
              </w:rPr>
              <w:t>Maximum</w:t>
            </w:r>
          </w:p>
        </w:tc>
        <w:tc>
          <w:tcPr>
            <w:tcW w:w="180" w:type="dxa"/>
            <w:vAlign w:val="bottom"/>
          </w:tcPr>
          <w:p>
            <w:pPr>
              <w:spacing w:after="0"/>
              <w:rPr>
                <w:sz w:val="7"/>
                <w:szCs w:val="7"/>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8"/>
                <w:szCs w:val="8"/>
                <w:b w:val="1"/>
                <w:bCs w:val="1"/>
                <w:color w:val="auto"/>
                <w:w w:val="95"/>
              </w:rPr>
              <w:t>Ending</w:t>
            </w:r>
          </w:p>
        </w:tc>
        <w:tc>
          <w:tcPr>
            <w:tcW w:w="140" w:type="dxa"/>
            <w:vAlign w:val="bottom"/>
          </w:tcPr>
          <w:p>
            <w:pPr>
              <w:spacing w:after="0"/>
              <w:rPr>
                <w:sz w:val="7"/>
                <w:szCs w:val="7"/>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4"/>
              </w:rPr>
              <w:t>Average Daily</w:t>
            </w:r>
          </w:p>
        </w:tc>
        <w:tc>
          <w:tcPr>
            <w:tcW w:w="280" w:type="dxa"/>
            <w:vAlign w:val="bottom"/>
          </w:tcPr>
          <w:p>
            <w:pPr>
              <w:spacing w:after="0"/>
              <w:rPr>
                <w:sz w:val="7"/>
                <w:szCs w:val="7"/>
                <w:color w:val="auto"/>
              </w:rPr>
            </w:pPr>
          </w:p>
        </w:tc>
        <w:tc>
          <w:tcPr>
            <w:tcW w:w="580" w:type="dxa"/>
            <w:vAlign w:val="bottom"/>
            <w:vMerge w:val="restart"/>
          </w:tcPr>
          <w:p>
            <w:pPr>
              <w:jc w:val="right"/>
              <w:ind w:right="253"/>
              <w:spacing w:after="0"/>
              <w:rPr>
                <w:sz w:val="20"/>
                <w:szCs w:val="20"/>
                <w:color w:val="auto"/>
              </w:rPr>
            </w:pPr>
            <w:r>
              <w:rPr>
                <w:rFonts w:ascii="Arial" w:cs="Arial" w:eastAsia="Arial" w:hAnsi="Arial"/>
                <w:sz w:val="8"/>
                <w:szCs w:val="8"/>
                <w:b w:val="1"/>
                <w:bCs w:val="1"/>
                <w:color w:val="auto"/>
                <w:w w:val="95"/>
              </w:rPr>
              <w:t>Ending</w:t>
            </w:r>
          </w:p>
        </w:tc>
        <w:tc>
          <w:tcPr>
            <w:tcW w:w="100" w:type="dxa"/>
            <w:vAlign w:val="bottom"/>
          </w:tcPr>
          <w:p>
            <w:pPr>
              <w:spacing w:after="0"/>
              <w:rPr>
                <w:sz w:val="7"/>
                <w:szCs w:val="7"/>
                <w:color w:val="auto"/>
              </w:rPr>
            </w:pPr>
          </w:p>
        </w:tc>
        <w:tc>
          <w:tcPr>
            <w:tcW w:w="140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w w:val="94"/>
              </w:rPr>
              <w:t>Average Tangible Net Book Value</w:t>
            </w:r>
          </w:p>
        </w:tc>
        <w:tc>
          <w:tcPr>
            <w:tcW w:w="1340" w:type="dxa"/>
            <w:vAlign w:val="bottom"/>
          </w:tcPr>
          <w:p>
            <w:pPr>
              <w:jc w:val="center"/>
              <w:spacing w:after="0" w:line="81" w:lineRule="exact"/>
              <w:rPr>
                <w:sz w:val="20"/>
                <w:szCs w:val="20"/>
                <w:color w:val="auto"/>
              </w:rPr>
            </w:pPr>
            <w:r>
              <w:rPr>
                <w:rFonts w:ascii="Arial" w:cs="Arial" w:eastAsia="Arial" w:hAnsi="Arial"/>
                <w:sz w:val="8"/>
                <w:szCs w:val="8"/>
                <w:b w:val="1"/>
                <w:bCs w:val="1"/>
                <w:color w:val="auto"/>
                <w:w w:val="96"/>
              </w:rPr>
              <w:t>Leverage</w:t>
            </w: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w w:val="98"/>
              </w:rPr>
              <w:t>"At Risk" Leverage during the</w:t>
            </w:r>
          </w:p>
        </w:tc>
        <w:tc>
          <w:tcPr>
            <w:tcW w:w="1340" w:type="dxa"/>
            <w:vAlign w:val="bottom"/>
          </w:tcPr>
          <w:p>
            <w:pPr>
              <w:jc w:val="center"/>
              <w:spacing w:after="0" w:line="81" w:lineRule="exact"/>
              <w:rPr>
                <w:sz w:val="20"/>
                <w:szCs w:val="20"/>
                <w:color w:val="auto"/>
              </w:rPr>
            </w:pPr>
            <w:r>
              <w:rPr>
                <w:rFonts w:ascii="Arial" w:cs="Arial" w:eastAsia="Arial" w:hAnsi="Arial"/>
                <w:sz w:val="8"/>
                <w:szCs w:val="8"/>
                <w:b w:val="1"/>
                <w:bCs w:val="1"/>
                <w:color w:val="auto"/>
                <w:w w:val="96"/>
              </w:rPr>
              <w:t>as of</w:t>
            </w:r>
          </w:p>
        </w:tc>
        <w:tc>
          <w:tcPr>
            <w:tcW w:w="0" w:type="dxa"/>
            <w:vAlign w:val="bottom"/>
          </w:tcPr>
          <w:p>
            <w:pPr>
              <w:spacing w:after="0"/>
              <w:rPr>
                <w:sz w:val="1"/>
                <w:szCs w:val="1"/>
                <w:color w:val="auto"/>
              </w:rPr>
            </w:pPr>
          </w:p>
        </w:tc>
      </w:tr>
      <w:tr>
        <w:trPr>
          <w:trHeight w:val="126"/>
        </w:trPr>
        <w:tc>
          <w:tcPr>
            <w:tcW w:w="3660" w:type="dxa"/>
            <w:vAlign w:val="bottom"/>
            <w:gridSpan w:val="2"/>
          </w:tcPr>
          <w:p>
            <w:pPr>
              <w:spacing w:after="0"/>
              <w:rPr>
                <w:sz w:val="20"/>
                <w:szCs w:val="20"/>
                <w:color w:val="auto"/>
              </w:rPr>
            </w:pPr>
            <w:r>
              <w:rPr>
                <w:rFonts w:ascii="Arial" w:cs="Arial" w:eastAsia="Arial" w:hAnsi="Arial"/>
                <w:sz w:val="8"/>
                <w:szCs w:val="8"/>
                <w:b w:val="1"/>
                <w:bCs w:val="1"/>
                <w:color w:val="auto"/>
              </w:rPr>
              <w:t>Quarter Ended</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9"/>
              </w:rPr>
              <w:t>Amount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Daily Amount</w:t>
            </w:r>
          </w:p>
        </w:tc>
        <w:tc>
          <w:tcPr>
            <w:tcW w:w="180" w:type="dxa"/>
            <w:vAlign w:val="bottom"/>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2"/>
              </w:rPr>
              <w:t>Amount</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9"/>
              </w:rPr>
              <w:t>Amount</w:t>
            </w:r>
          </w:p>
        </w:tc>
        <w:tc>
          <w:tcPr>
            <w:tcW w:w="280" w:type="dxa"/>
            <w:vAlign w:val="bottom"/>
          </w:tcPr>
          <w:p>
            <w:pPr>
              <w:spacing w:after="0"/>
              <w:rPr>
                <w:sz w:val="10"/>
                <w:szCs w:val="10"/>
                <w:color w:val="auto"/>
              </w:rPr>
            </w:pPr>
          </w:p>
        </w:tc>
        <w:tc>
          <w:tcPr>
            <w:tcW w:w="580" w:type="dxa"/>
            <w:vAlign w:val="bottom"/>
          </w:tcPr>
          <w:p>
            <w:pPr>
              <w:jc w:val="right"/>
              <w:ind w:right="233"/>
              <w:spacing w:after="0"/>
              <w:rPr>
                <w:sz w:val="20"/>
                <w:szCs w:val="20"/>
                <w:color w:val="auto"/>
              </w:rPr>
            </w:pPr>
            <w:r>
              <w:rPr>
                <w:rFonts w:ascii="Arial" w:cs="Arial" w:eastAsia="Arial" w:hAnsi="Arial"/>
                <w:sz w:val="8"/>
                <w:szCs w:val="8"/>
                <w:b w:val="1"/>
                <w:bCs w:val="1"/>
                <w:color w:val="auto"/>
                <w:w w:val="92"/>
              </w:rPr>
              <w:t>Amount</w:t>
            </w:r>
          </w:p>
        </w:tc>
        <w:tc>
          <w:tcPr>
            <w:tcW w:w="100" w:type="dxa"/>
            <w:vAlign w:val="bottom"/>
          </w:tcPr>
          <w:p>
            <w:pPr>
              <w:spacing w:after="0"/>
              <w:rPr>
                <w:sz w:val="10"/>
                <w:szCs w:val="10"/>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0"/>
              </w:rPr>
              <w:t xml:space="preserve">Period </w:t>
            </w:r>
            <w:r>
              <w:rPr>
                <w:rFonts w:ascii="Arial" w:cs="Arial" w:eastAsia="Arial" w:hAnsi="Arial"/>
                <w:sz w:val="10"/>
                <w:szCs w:val="10"/>
                <w:b w:val="1"/>
                <w:bCs w:val="1"/>
                <w:color w:val="auto"/>
                <w:w w:val="90"/>
                <w:vertAlign w:val="superscript"/>
              </w:rPr>
              <w:t>3</w:t>
            </w:r>
          </w:p>
        </w:tc>
        <w:tc>
          <w:tcPr>
            <w:tcW w:w="1340" w:type="dxa"/>
            <w:vAlign w:val="bottom"/>
          </w:tcPr>
          <w:p>
            <w:pPr>
              <w:jc w:val="center"/>
              <w:spacing w:after="0"/>
              <w:rPr>
                <w:sz w:val="20"/>
                <w:szCs w:val="20"/>
                <w:color w:val="auto"/>
              </w:rPr>
            </w:pPr>
            <w:r>
              <w:rPr>
                <w:rFonts w:ascii="Arial" w:cs="Arial" w:eastAsia="Arial" w:hAnsi="Arial"/>
                <w:sz w:val="8"/>
                <w:szCs w:val="8"/>
                <w:b w:val="1"/>
                <w:bCs w:val="1"/>
                <w:color w:val="auto"/>
                <w:w w:val="95"/>
              </w:rPr>
              <w:t xml:space="preserve">Period End </w:t>
            </w:r>
            <w:r>
              <w:rPr>
                <w:rFonts w:ascii="Arial" w:cs="Arial" w:eastAsia="Arial" w:hAnsi="Arial"/>
                <w:sz w:val="10"/>
                <w:szCs w:val="10"/>
                <w:b w:val="1"/>
                <w:bCs w:val="1"/>
                <w:color w:val="auto"/>
                <w:w w:val="95"/>
                <w:vertAlign w:val="superscript"/>
              </w:rPr>
              <w:t>4</w:t>
            </w:r>
          </w:p>
        </w:tc>
        <w:tc>
          <w:tcPr>
            <w:tcW w:w="0" w:type="dxa"/>
            <w:vAlign w:val="bottom"/>
          </w:tcPr>
          <w:p>
            <w:pPr>
              <w:spacing w:after="0"/>
              <w:rPr>
                <w:sz w:val="1"/>
                <w:szCs w:val="1"/>
                <w:color w:val="auto"/>
              </w:rPr>
            </w:pPr>
          </w:p>
        </w:tc>
      </w:tr>
      <w:tr>
        <w:trPr>
          <w:trHeight w:val="124"/>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September 30, 2022</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40,530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41,834</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39,169</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20,331</w:t>
            </w: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19,116</w:t>
            </w:r>
          </w:p>
        </w:tc>
        <w:tc>
          <w:tcPr>
            <w:tcW w:w="10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8.1:1</w:t>
            </w:r>
          </w:p>
        </w:tc>
        <w:tc>
          <w:tcPr>
            <w:tcW w:w="8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0"/>
              </w:rPr>
              <w:t>8.7:1</w:t>
            </w:r>
          </w:p>
        </w:tc>
        <w:tc>
          <w:tcPr>
            <w:tcW w:w="0" w:type="dxa"/>
            <w:vAlign w:val="bottom"/>
          </w:tcPr>
          <w:p>
            <w:pPr>
              <w:spacing w:after="0"/>
              <w:rPr>
                <w:sz w:val="1"/>
                <w:szCs w:val="1"/>
                <w:color w:val="auto"/>
              </w:rPr>
            </w:pPr>
          </w:p>
        </w:tc>
      </w:tr>
      <w:tr>
        <w:trPr>
          <w:trHeight w:val="128"/>
        </w:trPr>
        <w:tc>
          <w:tcPr>
            <w:tcW w:w="3660" w:type="dxa"/>
            <w:vAlign w:val="bottom"/>
            <w:gridSpan w:val="2"/>
          </w:tcPr>
          <w:p>
            <w:pPr>
              <w:spacing w:after="0"/>
              <w:rPr>
                <w:sz w:val="20"/>
                <w:szCs w:val="20"/>
                <w:color w:val="auto"/>
              </w:rPr>
            </w:pPr>
            <w:r>
              <w:rPr>
                <w:rFonts w:ascii="Arial" w:cs="Arial" w:eastAsia="Arial" w:hAnsi="Arial"/>
                <w:sz w:val="10"/>
                <w:szCs w:val="10"/>
                <w:color w:val="auto"/>
              </w:rPr>
              <w:t>June 30, 2022</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42,997</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44,243</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41,406</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19,653</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16,001</w:t>
            </w:r>
          </w:p>
        </w:tc>
        <w:tc>
          <w:tcPr>
            <w:tcW w:w="142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7.8:1</w:t>
            </w:r>
          </w:p>
        </w:tc>
        <w:tc>
          <w:tcPr>
            <w:tcW w:w="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0"/>
              </w:rPr>
              <w:t>7.4:1</w:t>
            </w:r>
          </w:p>
        </w:tc>
        <w:tc>
          <w:tcPr>
            <w:tcW w:w="0" w:type="dxa"/>
            <w:vAlign w:val="bottom"/>
          </w:tcPr>
          <w:p>
            <w:pPr>
              <w:spacing w:after="0"/>
              <w:rPr>
                <w:sz w:val="1"/>
                <w:szCs w:val="1"/>
                <w:color w:val="auto"/>
              </w:rPr>
            </w:pPr>
          </w:p>
        </w:tc>
      </w:tr>
      <w:tr>
        <w:trPr>
          <w:trHeight w:val="142"/>
        </w:trPr>
        <w:tc>
          <w:tcPr>
            <w:tcW w:w="36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March 31, 2022</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47,940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44,150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20,152</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7.8:1</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7.5:1</w:t>
            </w:r>
          </w:p>
        </w:tc>
        <w:tc>
          <w:tcPr>
            <w:tcW w:w="0" w:type="dxa"/>
            <w:vAlign w:val="bottom"/>
          </w:tcPr>
          <w:p>
            <w:pPr>
              <w:spacing w:after="0"/>
              <w:rPr>
                <w:sz w:val="1"/>
                <w:szCs w:val="1"/>
                <w:color w:val="auto"/>
              </w:rPr>
            </w:pPr>
          </w:p>
        </w:tc>
      </w:tr>
      <w:tr>
        <w:trPr>
          <w:trHeight w:val="128"/>
        </w:trPr>
        <w:tc>
          <w:tcPr>
            <w:tcW w:w="3660" w:type="dxa"/>
            <w:vAlign w:val="bottom"/>
            <w:gridSpan w:val="2"/>
          </w:tcPr>
          <w:p>
            <w:pPr>
              <w:spacing w:after="0"/>
              <w:rPr>
                <w:sz w:val="20"/>
                <w:szCs w:val="20"/>
                <w:color w:val="auto"/>
              </w:rPr>
            </w:pPr>
            <w:r>
              <w:rPr>
                <w:rFonts w:ascii="Arial" w:cs="Arial" w:eastAsia="Arial" w:hAnsi="Arial"/>
                <w:sz w:val="10"/>
                <w:szCs w:val="10"/>
                <w:color w:val="auto"/>
              </w:rPr>
              <w:t>December 31, 2021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46,999</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48,524</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47,037</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29,014</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27,622</w:t>
            </w:r>
          </w:p>
        </w:tc>
        <w:tc>
          <w:tcPr>
            <w:tcW w:w="142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7.6:1</w:t>
            </w:r>
          </w:p>
        </w:tc>
        <w:tc>
          <w:tcPr>
            <w:tcW w:w="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0"/>
              </w:rPr>
              <w:t>7.7:1</w:t>
            </w:r>
          </w:p>
        </w:tc>
        <w:tc>
          <w:tcPr>
            <w:tcW w:w="0" w:type="dxa"/>
            <w:vAlign w:val="bottom"/>
          </w:tcPr>
          <w:p>
            <w:pPr>
              <w:spacing w:after="0"/>
              <w:rPr>
                <w:sz w:val="1"/>
                <w:szCs w:val="1"/>
                <w:color w:val="auto"/>
              </w:rPr>
            </w:pPr>
          </w:p>
        </w:tc>
      </w:tr>
      <w:tr>
        <w:trPr>
          <w:trHeight w:val="142"/>
        </w:trPr>
        <w:tc>
          <w:tcPr>
            <w:tcW w:w="36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September 30, 2021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45,847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49,021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45,723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30,312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28,912</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7.5:1</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7.5:1</w:t>
            </w:r>
          </w:p>
        </w:tc>
        <w:tc>
          <w:tcPr>
            <w:tcW w:w="0" w:type="dxa"/>
            <w:vAlign w:val="bottom"/>
          </w:tcPr>
          <w:p>
            <w:pPr>
              <w:spacing w:after="0"/>
              <w:rPr>
                <w:sz w:val="1"/>
                <w:szCs w:val="1"/>
                <w:color w:val="auto"/>
              </w:rPr>
            </w:pPr>
          </w:p>
        </w:tc>
      </w:tr>
      <w:tr>
        <w:trPr>
          <w:trHeight w:val="128"/>
        </w:trPr>
        <w:tc>
          <w:tcPr>
            <w:tcW w:w="3660" w:type="dxa"/>
            <w:vAlign w:val="bottom"/>
            <w:gridSpan w:val="2"/>
          </w:tcPr>
          <w:p>
            <w:pPr>
              <w:spacing w:after="0"/>
              <w:rPr>
                <w:sz w:val="20"/>
                <w:szCs w:val="20"/>
                <w:color w:val="auto"/>
              </w:rPr>
            </w:pPr>
            <w:r>
              <w:rPr>
                <w:rFonts w:ascii="Arial" w:cs="Arial" w:eastAsia="Arial" w:hAnsi="Arial"/>
                <w:sz w:val="10"/>
                <w:szCs w:val="10"/>
                <w:color w:val="auto"/>
              </w:rPr>
              <w:t>June 30, 2021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52,374</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60,186</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48,488</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28,082</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27,611</w:t>
            </w:r>
          </w:p>
        </w:tc>
        <w:tc>
          <w:tcPr>
            <w:tcW w:w="142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7.6:1</w:t>
            </w:r>
          </w:p>
        </w:tc>
        <w:tc>
          <w:tcPr>
            <w:tcW w:w="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0"/>
              </w:rPr>
              <w:t>7.9:1</w:t>
            </w:r>
          </w:p>
        </w:tc>
        <w:tc>
          <w:tcPr>
            <w:tcW w:w="0" w:type="dxa"/>
            <w:vAlign w:val="bottom"/>
          </w:tcPr>
          <w:p>
            <w:pPr>
              <w:spacing w:after="0"/>
              <w:rPr>
                <w:sz w:val="1"/>
                <w:szCs w:val="1"/>
                <w:color w:val="auto"/>
              </w:rPr>
            </w:pPr>
          </w:p>
        </w:tc>
      </w:tr>
      <w:tr>
        <w:trPr>
          <w:trHeight w:val="142"/>
        </w:trPr>
        <w:tc>
          <w:tcPr>
            <w:tcW w:w="36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March 31, 2021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57,153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55,221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25,355</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8.0:1</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7.7:1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Other debt includes debt of consolidated VIEs. Amounts exclude U.S. Treasury repo agreements.</w:t>
      </w:r>
    </w:p>
    <w:p>
      <w:pPr>
        <w:ind w:left="420" w:hanging="212"/>
        <w:spacing w:after="0"/>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Daily average and ending net TBA position outstanding measured at cost. Includes forward settling non-Agency securities.</w:t>
      </w:r>
    </w:p>
    <w:p>
      <w:pPr>
        <w:spacing w:after="0" w:line="2" w:lineRule="exact"/>
        <w:rPr>
          <w:rFonts w:ascii="Arial" w:cs="Arial" w:eastAsia="Arial" w:hAnsi="Arial"/>
          <w:sz w:val="10"/>
          <w:szCs w:val="10"/>
          <w:color w:val="auto"/>
        </w:rPr>
      </w:pPr>
    </w:p>
    <w:p>
      <w:pPr>
        <w:ind w:left="420" w:hanging="212"/>
        <w:spacing w:after="0" w:line="238" w:lineRule="auto"/>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ind w:left="420" w:right="20" w:hanging="212"/>
        <w:spacing w:after="0" w:line="241" w:lineRule="auto"/>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Interest Expense and Aggregate Cost of Funds</w:t>
      </w:r>
    </w:p>
    <w:p>
      <w:pPr>
        <w:spacing w:after="0" w:line="114" w:lineRule="exact"/>
        <w:rPr>
          <w:sz w:val="20"/>
          <w:szCs w:val="20"/>
          <w:color w:val="auto"/>
        </w:rPr>
      </w:pPr>
    </w:p>
    <w:p>
      <w:pPr>
        <w:ind w:firstLine="270"/>
        <w:spacing w:after="0" w:line="293" w:lineRule="auto"/>
        <w:rPr>
          <w:sz w:val="20"/>
          <w:szCs w:val="20"/>
          <w:color w:val="auto"/>
        </w:rPr>
      </w:pPr>
      <w:r>
        <w:rPr>
          <w:rFonts w:ascii="Arial" w:cs="Arial" w:eastAsia="Arial" w:hAnsi="Arial"/>
          <w:sz w:val="11"/>
          <w:szCs w:val="11"/>
          <w:color w:val="auto"/>
        </w:rPr>
        <w:t>The following table summarizes our economic interest expense and aggregate cost of funds (non-GAAP measures) for the three and nine months ended September 30, 2022 and 2021 (dollars in millions), which includes the combination of interest expense on Agency repurchase agreements and other debt (GAAP measure), implied financing cost (benefit) of our TBA securities and interest rate swap periodic cost (benefit):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87"/>
              </w:rPr>
              <w:t>Three Months Ended September 30,</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ind w:left="160"/>
              <w:spacing w:after="0"/>
              <w:rPr>
                <w:sz w:val="20"/>
                <w:szCs w:val="20"/>
                <w:color w:val="auto"/>
              </w:rPr>
            </w:pPr>
            <w:r>
              <w:rPr>
                <w:rFonts w:ascii="Arial" w:cs="Arial" w:eastAsia="Arial" w:hAnsi="Arial"/>
                <w:sz w:val="10"/>
                <w:szCs w:val="10"/>
                <w:b w:val="1"/>
                <w:bCs w:val="1"/>
                <w:color w:val="auto"/>
                <w:w w:val="89"/>
              </w:rPr>
              <w:t>Nine Months Ended September 30,</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21"/>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2022</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0"/>
                <w:szCs w:val="10"/>
                <w:b w:val="1"/>
                <w:bCs w:val="1"/>
                <w:color w:val="auto"/>
                <w:w w:val="80"/>
              </w:rPr>
              <w:t>2021</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0"/>
                <w:szCs w:val="10"/>
                <w:b w:val="1"/>
                <w:bCs w:val="1"/>
                <w:color w:val="auto"/>
                <w:w w:val="80"/>
              </w:rPr>
              <w:t>2022</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0"/>
                <w:szCs w:val="10"/>
                <w:b w:val="1"/>
                <w:bCs w:val="1"/>
                <w:color w:val="auto"/>
                <w:w w:val="71"/>
              </w:rPr>
              <w:t>2021</w:t>
            </w:r>
          </w:p>
        </w:tc>
      </w:tr>
      <w:tr>
        <w:trPr>
          <w:trHeight w:val="135"/>
        </w:trPr>
        <w:tc>
          <w:tcPr>
            <w:tcW w:w="4360" w:type="dxa"/>
            <w:vAlign w:val="bottom"/>
            <w:gridSpan w:val="2"/>
          </w:tcPr>
          <w:p>
            <w:pPr>
              <w:spacing w:after="0" w:line="135" w:lineRule="exact"/>
              <w:rPr>
                <w:sz w:val="20"/>
                <w:szCs w:val="20"/>
                <w:color w:val="auto"/>
              </w:rPr>
            </w:pPr>
            <w:r>
              <w:rPr>
                <w:rFonts w:ascii="Arial" w:cs="Arial" w:eastAsia="Arial" w:hAnsi="Arial"/>
                <w:sz w:val="10"/>
                <w:szCs w:val="10"/>
                <w:b w:val="1"/>
                <w:bCs w:val="1"/>
                <w:color w:val="auto"/>
              </w:rPr>
              <w:t xml:space="preserve">Economic Interest Expense and Aggregate Cost of Funds </w:t>
            </w:r>
            <w:r>
              <w:rPr>
                <w:rFonts w:ascii="Arial" w:cs="Arial" w:eastAsia="Arial" w:hAnsi="Arial"/>
                <w:sz w:val="12"/>
                <w:szCs w:val="12"/>
                <w:b w:val="1"/>
                <w:bCs w:val="1"/>
                <w:color w:val="auto"/>
                <w:vertAlign w:val="superscript"/>
              </w:rPr>
              <w:t>1</w:t>
            </w:r>
          </w:p>
        </w:tc>
        <w:tc>
          <w:tcPr>
            <w:tcW w:w="120" w:type="dxa"/>
            <w:vAlign w:val="bottom"/>
          </w:tcPr>
          <w:p>
            <w:pPr>
              <w:spacing w:after="0"/>
              <w:rPr>
                <w:sz w:val="11"/>
                <w:szCs w:val="11"/>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72"/>
              <w:spacing w:after="0"/>
              <w:rPr>
                <w:sz w:val="20"/>
                <w:szCs w:val="20"/>
                <w:color w:val="auto"/>
              </w:rPr>
            </w:pPr>
            <w:r>
              <w:rPr>
                <w:rFonts w:ascii="Arial" w:cs="Arial" w:eastAsia="Arial" w:hAnsi="Arial"/>
                <w:sz w:val="10"/>
                <w:szCs w:val="10"/>
                <w:b w:val="1"/>
                <w:bCs w:val="1"/>
                <w:color w:val="auto"/>
                <w:w w:val="83"/>
              </w:rPr>
              <w:t>Cost of Funds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b w:val="1"/>
                <w:bCs w:val="1"/>
                <w:color w:val="auto"/>
                <w:w w:val="98"/>
              </w:rPr>
              <w:t>Cost of Funds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b w:val="1"/>
                <w:bCs w:val="1"/>
                <w:color w:val="auto"/>
              </w:rPr>
              <w:t>Cost of Funds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1"/>
                <w:szCs w:val="11"/>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b w:val="1"/>
                <w:bCs w:val="1"/>
                <w:color w:val="auto"/>
              </w:rPr>
              <w:t>Cost of Funds</w:t>
            </w:r>
          </w:p>
        </w:tc>
      </w:tr>
      <w:tr>
        <w:trPr>
          <w:trHeight w:val="124"/>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Repurchase agreement and other debt - interest expense (GAAP measure)</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196</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1.89 %</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0.12 %</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303</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0.92 %</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center"/>
              <w:ind w:left="412"/>
              <w:spacing w:after="0"/>
              <w:rPr>
                <w:sz w:val="20"/>
                <w:szCs w:val="20"/>
                <w:color w:val="auto"/>
              </w:rPr>
            </w:pPr>
            <w:r>
              <w:rPr>
                <w:rFonts w:ascii="Arial" w:cs="Arial" w:eastAsia="Arial" w:hAnsi="Arial"/>
                <w:sz w:val="10"/>
                <w:szCs w:val="10"/>
                <w:color w:val="auto"/>
                <w:w w:val="71"/>
              </w:rPr>
              <w:t>60</w:t>
            </w: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0.16 %</w:t>
            </w:r>
          </w:p>
        </w:tc>
      </w:tr>
      <w:tr>
        <w:trPr>
          <w:trHeight w:val="135"/>
        </w:trPr>
        <w:tc>
          <w:tcPr>
            <w:tcW w:w="4360" w:type="dxa"/>
            <w:vAlign w:val="bottom"/>
            <w:gridSpan w:val="2"/>
          </w:tcPr>
          <w:p>
            <w:pPr>
              <w:spacing w:after="0" w:line="135" w:lineRule="exact"/>
              <w:rPr>
                <w:sz w:val="20"/>
                <w:szCs w:val="20"/>
                <w:color w:val="auto"/>
              </w:rPr>
            </w:pPr>
            <w:r>
              <w:rPr>
                <w:rFonts w:ascii="Arial" w:cs="Arial" w:eastAsia="Arial" w:hAnsi="Arial"/>
                <w:sz w:val="10"/>
                <w:szCs w:val="10"/>
                <w:color w:val="auto"/>
              </w:rPr>
              <w:t xml:space="preserve">TBA dollar roll income - implied interest expense (benefit) </w:t>
            </w:r>
            <w:r>
              <w:rPr>
                <w:rFonts w:ascii="Arial" w:cs="Arial" w:eastAsia="Arial" w:hAnsi="Arial"/>
                <w:sz w:val="12"/>
                <w:szCs w:val="12"/>
                <w:color w:val="auto"/>
                <w:vertAlign w:val="superscript"/>
              </w:rPr>
              <w:t>2,3</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1.80 %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(33)</w:t>
            </w:r>
          </w:p>
        </w:tc>
        <w:tc>
          <w:tcPr>
            <w:tcW w:w="920" w:type="dxa"/>
            <w:vAlign w:val="bottom"/>
            <w:gridSpan w:val="3"/>
          </w:tcPr>
          <w:p>
            <w:pPr>
              <w:jc w:val="right"/>
              <w:spacing w:after="0"/>
              <w:rPr>
                <w:sz w:val="20"/>
                <w:szCs w:val="20"/>
                <w:color w:val="auto"/>
              </w:rPr>
            </w:pPr>
            <w:r>
              <w:rPr>
                <w:rFonts w:ascii="Arial" w:cs="Arial" w:eastAsia="Arial" w:hAnsi="Arial"/>
                <w:sz w:val="10"/>
                <w:szCs w:val="10"/>
                <w:color w:val="auto"/>
              </w:rPr>
              <w:t>(0.42)%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63</w:t>
            </w:r>
          </w:p>
        </w:tc>
        <w:tc>
          <w:tcPr>
            <w:tcW w:w="960" w:type="dxa"/>
            <w:vAlign w:val="bottom"/>
            <w:gridSpan w:val="3"/>
          </w:tcPr>
          <w:p>
            <w:pPr>
              <w:jc w:val="right"/>
              <w:spacing w:after="0"/>
              <w:rPr>
                <w:sz w:val="20"/>
                <w:szCs w:val="20"/>
                <w:color w:val="auto"/>
              </w:rPr>
            </w:pPr>
            <w:r>
              <w:rPr>
                <w:rFonts w:ascii="Arial" w:cs="Arial" w:eastAsia="Arial" w:hAnsi="Arial"/>
                <w:sz w:val="10"/>
                <w:szCs w:val="10"/>
                <w:color w:val="auto"/>
              </w:rPr>
              <w:t>0.38 %</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left="412"/>
              <w:spacing w:after="0"/>
              <w:rPr>
                <w:sz w:val="20"/>
                <w:szCs w:val="20"/>
                <w:color w:val="auto"/>
              </w:rPr>
            </w:pPr>
            <w:r>
              <w:rPr>
                <w:rFonts w:ascii="Arial" w:cs="Arial" w:eastAsia="Arial" w:hAnsi="Arial"/>
                <w:sz w:val="10"/>
                <w:szCs w:val="10"/>
                <w:color w:val="auto"/>
                <w:w w:val="89"/>
              </w:rPr>
              <w:t>(94)</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(0.41)%</w:t>
            </w:r>
          </w:p>
        </w:tc>
      </w:tr>
      <w:tr>
        <w:trPr>
          <w:trHeight w:val="124"/>
        </w:trPr>
        <w:tc>
          <w:tcPr>
            <w:tcW w:w="4360" w:type="dxa"/>
            <w:vAlign w:val="bottom"/>
            <w:tcBorders>
              <w:top w:val="single" w:sz="8" w:color="CCEEFF"/>
            </w:tcBorders>
            <w:gridSpan w:val="2"/>
            <w:shd w:val="clear" w:color="auto" w:fill="CCEEFF"/>
          </w:tcPr>
          <w:p>
            <w:pPr>
              <w:ind w:left="120"/>
              <w:spacing w:after="0" w:line="124" w:lineRule="exact"/>
              <w:rPr>
                <w:sz w:val="20"/>
                <w:szCs w:val="20"/>
                <w:color w:val="auto"/>
              </w:rPr>
            </w:pPr>
            <w:r>
              <w:rPr>
                <w:rFonts w:ascii="Arial" w:cs="Arial" w:eastAsia="Arial" w:hAnsi="Arial"/>
                <w:sz w:val="10"/>
                <w:szCs w:val="10"/>
                <w:color w:val="auto"/>
              </w:rPr>
              <w:t xml:space="preserve">Economic interest expense - before interest rate swap periodic cost (income), net </w:t>
            </w:r>
            <w:r>
              <w:rPr>
                <w:rFonts w:ascii="Arial" w:cs="Arial" w:eastAsia="Arial" w:hAnsi="Arial"/>
                <w:sz w:val="12"/>
                <w:szCs w:val="12"/>
                <w:color w:val="auto"/>
                <w:vertAlign w:val="superscript"/>
              </w:rPr>
              <w:t>4</w:t>
            </w: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1.86 %</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366</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0.74 %</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ind w:left="412"/>
              <w:spacing w:after="0"/>
              <w:rPr>
                <w:sz w:val="20"/>
                <w:szCs w:val="20"/>
                <w:color w:val="auto"/>
              </w:rPr>
            </w:pPr>
            <w:r>
              <w:rPr>
                <w:rFonts w:ascii="Arial" w:cs="Arial" w:eastAsia="Arial" w:hAnsi="Arial"/>
                <w:sz w:val="10"/>
                <w:szCs w:val="10"/>
                <w:color w:val="auto"/>
                <w:w w:val="89"/>
              </w:rPr>
              <w:t>(34)</w:t>
            </w: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(0.05)%</w:t>
            </w:r>
          </w:p>
        </w:tc>
      </w:tr>
      <w:tr>
        <w:trPr>
          <w:trHeight w:val="135"/>
        </w:trPr>
        <w:tc>
          <w:tcPr>
            <w:tcW w:w="4360" w:type="dxa"/>
            <w:vAlign w:val="bottom"/>
            <w:gridSpan w:val="2"/>
          </w:tcPr>
          <w:p>
            <w:pPr>
              <w:spacing w:after="0" w:line="135" w:lineRule="exact"/>
              <w:rPr>
                <w:sz w:val="20"/>
                <w:szCs w:val="20"/>
                <w:color w:val="auto"/>
              </w:rPr>
            </w:pPr>
            <w:r>
              <w:rPr>
                <w:rFonts w:ascii="Arial" w:cs="Arial" w:eastAsia="Arial" w:hAnsi="Arial"/>
                <w:sz w:val="10"/>
                <w:szCs w:val="10"/>
                <w:color w:val="auto"/>
              </w:rPr>
              <w:t xml:space="preserve">Interest rate swap periodic cost (income), net </w:t>
            </w:r>
            <w:r>
              <w:rPr>
                <w:rFonts w:ascii="Arial" w:cs="Arial" w:eastAsia="Arial" w:hAnsi="Arial"/>
                <w:sz w:val="12"/>
                <w:szCs w:val="12"/>
                <w:color w:val="auto"/>
                <w:vertAlign w:val="superscript"/>
              </w:rPr>
              <w:t>2,5</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w:t>
            </w:r>
          </w:p>
        </w:tc>
        <w:tc>
          <w:tcPr>
            <w:tcW w:w="920" w:type="dxa"/>
            <w:vAlign w:val="bottom"/>
            <w:gridSpan w:val="3"/>
          </w:tcPr>
          <w:p>
            <w:pPr>
              <w:jc w:val="right"/>
              <w:spacing w:after="0"/>
              <w:rPr>
                <w:sz w:val="20"/>
                <w:szCs w:val="20"/>
                <w:color w:val="auto"/>
              </w:rPr>
            </w:pPr>
            <w:r>
              <w:rPr>
                <w:rFonts w:ascii="Arial" w:cs="Arial" w:eastAsia="Arial" w:hAnsi="Arial"/>
                <w:sz w:val="10"/>
                <w:szCs w:val="10"/>
                <w:color w:val="auto"/>
              </w:rPr>
              <w:t>0.07 %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(242)</w:t>
            </w:r>
          </w:p>
        </w:tc>
        <w:tc>
          <w:tcPr>
            <w:tcW w:w="960" w:type="dxa"/>
            <w:vAlign w:val="bottom"/>
            <w:gridSpan w:val="3"/>
          </w:tcPr>
          <w:p>
            <w:pPr>
              <w:jc w:val="right"/>
              <w:spacing w:after="0"/>
              <w:rPr>
                <w:sz w:val="20"/>
                <w:szCs w:val="20"/>
                <w:color w:val="auto"/>
              </w:rPr>
            </w:pPr>
            <w:r>
              <w:rPr>
                <w:rFonts w:ascii="Arial" w:cs="Arial" w:eastAsia="Arial" w:hAnsi="Arial"/>
                <w:sz w:val="10"/>
                <w:szCs w:val="10"/>
                <w:color w:val="auto"/>
              </w:rPr>
              <w:t>(0.49)%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left="412"/>
              <w:spacing w:after="0"/>
              <w:rPr>
                <w:sz w:val="20"/>
                <w:szCs w:val="20"/>
                <w:color w:val="auto"/>
              </w:rPr>
            </w:pPr>
            <w:r>
              <w:rPr>
                <w:rFonts w:ascii="Arial" w:cs="Arial" w:eastAsia="Arial" w:hAnsi="Arial"/>
                <w:sz w:val="10"/>
                <w:szCs w:val="10"/>
                <w:color w:val="auto"/>
                <w:w w:val="71"/>
              </w:rPr>
              <w:t>44</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0.07 %</w:t>
            </w:r>
          </w:p>
        </w:tc>
      </w:tr>
      <w:tr>
        <w:trPr>
          <w:trHeight w:val="140"/>
        </w:trPr>
        <w:tc>
          <w:tcPr>
            <w:tcW w:w="43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Total economic interest expense (non-GAAP measure)</w:t>
            </w: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0.50 %</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0.25 %</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center"/>
              <w:ind w:left="412"/>
              <w:spacing w:after="0"/>
              <w:rPr>
                <w:sz w:val="20"/>
                <w:szCs w:val="20"/>
                <w:color w:val="auto"/>
              </w:rPr>
            </w:pPr>
            <w:r>
              <w:rPr>
                <w:rFonts w:ascii="Arial" w:cs="Arial" w:eastAsia="Arial" w:hAnsi="Arial"/>
                <w:sz w:val="10"/>
                <w:szCs w:val="10"/>
                <w:color w:val="auto"/>
                <w:w w:val="71"/>
              </w:rPr>
              <w:t>10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0.02 %</w:t>
            </w: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Amounts exclude interest rate swap termination fees and variation margin settlements paid or received, forward starting swaps and the impact of other supplemental hedges, such as swaptions and U.S. Treasury positions.</w:t>
      </w:r>
    </w:p>
    <w:p>
      <w:pPr>
        <w:ind w:left="420" w:hanging="212"/>
        <w:spacing w:after="0" w:line="236" w:lineRule="auto"/>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Reported in gain (loss) on derivative instruments and other securities, net in our consolidated statements of comprehensive income.</w:t>
      </w:r>
    </w:p>
    <w:p>
      <w:pPr>
        <w:jc w:val="both"/>
        <w:ind w:left="420" w:hanging="212"/>
        <w:spacing w:after="0" w:line="244" w:lineRule="auto"/>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ind w:left="420" w:hanging="212"/>
        <w:spacing w:after="0"/>
        <w:tabs>
          <w:tab w:leader="none" w:pos="420" w:val="left"/>
        </w:tabs>
        <w:numPr>
          <w:ilvl w:val="0"/>
          <w:numId w:val="28"/>
        </w:numPr>
        <w:rPr>
          <w:rFonts w:ascii="Arial" w:cs="Arial" w:eastAsia="Arial" w:hAnsi="Arial"/>
          <w:sz w:val="8"/>
          <w:szCs w:val="8"/>
          <w:color w:val="auto"/>
        </w:rPr>
      </w:pPr>
      <w:r>
        <w:rPr>
          <w:rFonts w:ascii="Arial" w:cs="Arial" w:eastAsia="Arial" w:hAnsi="Arial"/>
          <w:sz w:val="8"/>
          <w:szCs w:val="8"/>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spacing w:after="0" w:line="19" w:lineRule="exact"/>
        <w:rPr>
          <w:rFonts w:ascii="Arial" w:cs="Arial" w:eastAsia="Arial" w:hAnsi="Arial"/>
          <w:sz w:val="8"/>
          <w:szCs w:val="8"/>
          <w:color w:val="auto"/>
        </w:rPr>
      </w:pPr>
    </w:p>
    <w:p>
      <w:pPr>
        <w:ind w:left="420" w:hanging="212"/>
        <w:spacing w:after="0" w:line="236" w:lineRule="auto"/>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Interest rate swap periodic income/cost is measured as a percent of average mortgage borrowings outstanding for the period.</w:t>
      </w:r>
    </w:p>
    <w:p>
      <w:pPr>
        <w:spacing w:after="0" w:line="162"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nine months ended September 30, 2022 compared to the prior year period (in millions):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0"/>
          <w:szCs w:val="10"/>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6743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3700" cy="571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Periods ended September 30, 2022 vs. September 30, 2021</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130"/>
        </w:trPr>
        <w:tc>
          <w:tcPr>
            <w:tcW w:w="6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760" w:type="dxa"/>
            <w:vAlign w:val="bottom"/>
            <w:tcBorders>
              <w:top w:val="single" w:sz="8" w:color="auto"/>
              <w:bottom w:val="single" w:sz="8" w:color="auto"/>
            </w:tcBorders>
            <w:gridSpan w:val="4"/>
          </w:tcPr>
          <w:p>
            <w:pPr>
              <w:jc w:val="right"/>
              <w:ind w:right="852"/>
              <w:spacing w:after="0"/>
              <w:rPr>
                <w:sz w:val="20"/>
                <w:szCs w:val="20"/>
                <w:color w:val="auto"/>
              </w:rPr>
            </w:pPr>
            <w:r>
              <w:rPr>
                <w:rFonts w:ascii="Arial" w:cs="Arial" w:eastAsia="Arial" w:hAnsi="Arial"/>
                <w:sz w:val="10"/>
                <w:szCs w:val="10"/>
                <w:b w:val="1"/>
                <w:bCs w:val="1"/>
                <w:color w:val="auto"/>
              </w:rPr>
              <w:t>Due to Change in Average</w:t>
            </w:r>
          </w:p>
        </w:tc>
      </w:tr>
      <w:tr>
        <w:trPr>
          <w:trHeight w:val="129"/>
        </w:trPr>
        <w:tc>
          <w:tcPr>
            <w:tcW w:w="6280" w:type="dxa"/>
            <w:vAlign w:val="bottom"/>
            <w:gridSpan w:val="2"/>
          </w:tcPr>
          <w:p>
            <w:pPr>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1"/>
                <w:szCs w:val="11"/>
                <w:color w:val="auto"/>
              </w:rPr>
            </w:pPr>
          </w:p>
        </w:tc>
        <w:tc>
          <w:tcPr>
            <w:tcW w:w="1380" w:type="dxa"/>
            <w:vAlign w:val="bottom"/>
            <w:gridSpan w:val="2"/>
          </w:tcPr>
          <w:p>
            <w:pPr>
              <w:ind w:left="40"/>
              <w:spacing w:after="0"/>
              <w:rPr>
                <w:sz w:val="20"/>
                <w:szCs w:val="20"/>
                <w:color w:val="auto"/>
              </w:rPr>
            </w:pPr>
            <w:r>
              <w:rPr>
                <w:rFonts w:ascii="Arial" w:cs="Arial" w:eastAsia="Arial" w:hAnsi="Arial"/>
                <w:sz w:val="10"/>
                <w:szCs w:val="10"/>
                <w:b w:val="1"/>
                <w:bCs w:val="1"/>
                <w:color w:val="auto"/>
              </w:rPr>
              <w:t>Total Increase / (Decrease)</w:t>
            </w:r>
          </w:p>
        </w:tc>
        <w:tc>
          <w:tcPr>
            <w:tcW w:w="100" w:type="dxa"/>
            <w:vAlign w:val="bottom"/>
          </w:tcPr>
          <w:p>
            <w:pPr>
              <w:spacing w:after="0"/>
              <w:rPr>
                <w:sz w:val="11"/>
                <w:szCs w:val="11"/>
                <w:color w:val="auto"/>
              </w:rPr>
            </w:pPr>
          </w:p>
        </w:tc>
        <w:tc>
          <w:tcPr>
            <w:tcW w:w="1360" w:type="dxa"/>
            <w:vAlign w:val="bottom"/>
            <w:gridSpan w:val="2"/>
          </w:tcPr>
          <w:p>
            <w:pPr>
              <w:ind w:left="40"/>
              <w:spacing w:after="0"/>
              <w:rPr>
                <w:sz w:val="20"/>
                <w:szCs w:val="20"/>
                <w:color w:val="auto"/>
              </w:rPr>
            </w:pPr>
            <w:r>
              <w:rPr>
                <w:rFonts w:ascii="Arial" w:cs="Arial" w:eastAsia="Arial" w:hAnsi="Arial"/>
                <w:sz w:val="10"/>
                <w:szCs w:val="10"/>
                <w:b w:val="1"/>
                <w:bCs w:val="1"/>
                <w:color w:val="auto"/>
              </w:rPr>
              <w:t>Borrowing / Swap Balance</w:t>
            </w:r>
          </w:p>
        </w:tc>
        <w:tc>
          <w:tcPr>
            <w:tcW w:w="140" w:type="dxa"/>
            <w:vAlign w:val="bottom"/>
          </w:tcPr>
          <w:p>
            <w:pPr>
              <w:spacing w:after="0"/>
              <w:rPr>
                <w:sz w:val="11"/>
                <w:szCs w:val="11"/>
                <w:color w:val="auto"/>
              </w:rPr>
            </w:pPr>
          </w:p>
        </w:tc>
        <w:tc>
          <w:tcPr>
            <w:tcW w:w="1260" w:type="dxa"/>
            <w:vAlign w:val="bottom"/>
          </w:tcPr>
          <w:p>
            <w:pPr>
              <w:jc w:val="right"/>
              <w:ind w:right="172"/>
              <w:spacing w:after="0"/>
              <w:rPr>
                <w:sz w:val="20"/>
                <w:szCs w:val="20"/>
                <w:color w:val="auto"/>
              </w:rPr>
            </w:pPr>
            <w:r>
              <w:rPr>
                <w:rFonts w:ascii="Arial" w:cs="Arial" w:eastAsia="Arial" w:hAnsi="Arial"/>
                <w:sz w:val="10"/>
                <w:szCs w:val="10"/>
                <w:b w:val="1"/>
                <w:bCs w:val="1"/>
                <w:color w:val="auto"/>
                <w:w w:val="93"/>
              </w:rPr>
              <w:t>Borrowing / Swap Rate</w:t>
            </w:r>
          </w:p>
        </w:tc>
      </w:tr>
      <w:tr>
        <w:trPr>
          <w:trHeight w:val="13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Repurchase agreements and other debt interest expense</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w:t>
            </w:r>
          </w:p>
        </w:tc>
      </w:tr>
      <w:tr>
        <w:trPr>
          <w:trHeight w:val="128"/>
        </w:trPr>
        <w:tc>
          <w:tcPr>
            <w:tcW w:w="6280" w:type="dxa"/>
            <w:vAlign w:val="bottom"/>
            <w:gridSpan w:val="2"/>
          </w:tcPr>
          <w:p>
            <w:pPr>
              <w:spacing w:after="0"/>
              <w:rPr>
                <w:sz w:val="20"/>
                <w:szCs w:val="20"/>
                <w:color w:val="auto"/>
              </w:rPr>
            </w:pPr>
            <w:r>
              <w:rPr>
                <w:rFonts w:ascii="Arial" w:cs="Arial" w:eastAsia="Arial" w:hAnsi="Arial"/>
                <w:sz w:val="10"/>
                <w:szCs w:val="10"/>
                <w:color w:val="auto"/>
              </w:rPr>
              <w:t>TBA dollar roll income - implied interest benefit/expense</w:t>
            </w: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116</w:t>
            </w: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rate swap periodic income/cost</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w:t>
            </w:r>
          </w:p>
        </w:tc>
      </w:tr>
      <w:tr>
        <w:trPr>
          <w:trHeight w:val="147"/>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Total change in economic interest benefit/expense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76</w:t>
            </w:r>
          </w:p>
        </w:tc>
      </w:tr>
      <w:tr>
        <w:trPr>
          <w:trHeight w:val="126"/>
        </w:trPr>
        <w:tc>
          <w:tcPr>
            <w:tcW w:w="6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29"/>
        </w:trPr>
        <w:tc>
          <w:tcPr>
            <w:tcW w:w="6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0"/>
                <w:szCs w:val="10"/>
                <w:b w:val="1"/>
                <w:bCs w:val="1"/>
                <w:color w:val="auto"/>
              </w:rPr>
              <w:t>Due to Change in Average</w:t>
            </w:r>
          </w:p>
        </w:tc>
      </w:tr>
      <w:tr>
        <w:trPr>
          <w:trHeight w:val="130"/>
        </w:trPr>
        <w:tc>
          <w:tcPr>
            <w:tcW w:w="628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Nine months ended:</w:t>
            </w: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0"/>
                <w:szCs w:val="10"/>
                <w:b w:val="1"/>
                <w:bCs w:val="1"/>
                <w:color w:val="auto"/>
              </w:rPr>
              <w:t>Total Increase / (Decrease)</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ind w:left="40"/>
              <w:spacing w:after="0"/>
              <w:rPr>
                <w:sz w:val="20"/>
                <w:szCs w:val="20"/>
                <w:color w:val="auto"/>
              </w:rPr>
            </w:pPr>
            <w:r>
              <w:rPr>
                <w:rFonts w:ascii="Arial" w:cs="Arial" w:eastAsia="Arial" w:hAnsi="Arial"/>
                <w:sz w:val="10"/>
                <w:szCs w:val="10"/>
                <w:b w:val="1"/>
                <w:bCs w:val="1"/>
                <w:color w:val="auto"/>
              </w:rPr>
              <w:t>Borrowing / Swap Balance</w:t>
            </w: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93"/>
              </w:rPr>
              <w:t>Borrowing / Swap Rate</w:t>
            </w:r>
          </w:p>
        </w:tc>
      </w:tr>
      <w:tr>
        <w:trPr>
          <w:trHeight w:val="117"/>
        </w:trPr>
        <w:tc>
          <w:tcPr>
            <w:tcW w:w="61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Repurchase agreements and other debt interest expense</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tcPr>
          <w:p>
            <w:pPr>
              <w:jc w:val="center"/>
              <w:ind w:left="1012"/>
              <w:spacing w:after="0"/>
              <w:rPr>
                <w:sz w:val="20"/>
                <w:szCs w:val="20"/>
                <w:color w:val="auto"/>
              </w:rPr>
            </w:pPr>
            <w:r>
              <w:rPr>
                <w:rFonts w:ascii="Arial" w:cs="Arial" w:eastAsia="Arial" w:hAnsi="Arial"/>
                <w:sz w:val="10"/>
                <w:szCs w:val="10"/>
                <w:color w:val="auto"/>
                <w:w w:val="83"/>
              </w:rPr>
              <w:t>243</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252</w:t>
            </w:r>
          </w:p>
        </w:tc>
      </w:tr>
      <w:tr>
        <w:trPr>
          <w:trHeight w:val="142"/>
        </w:trPr>
        <w:tc>
          <w:tcPr>
            <w:tcW w:w="62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TBA dollar roll income - implied interest benefit/expense</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ind w:left="1012"/>
              <w:spacing w:after="0"/>
              <w:rPr>
                <w:sz w:val="20"/>
                <w:szCs w:val="20"/>
                <w:color w:val="auto"/>
              </w:rPr>
            </w:pPr>
            <w:r>
              <w:rPr>
                <w:rFonts w:ascii="Arial" w:cs="Arial" w:eastAsia="Arial" w:hAnsi="Arial"/>
                <w:sz w:val="10"/>
                <w:szCs w:val="10"/>
                <w:color w:val="auto"/>
                <w:w w:val="83"/>
              </w:rPr>
              <w:t>157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w:t>
            </w:r>
          </w:p>
        </w:tc>
      </w:tr>
      <w:tr>
        <w:trPr>
          <w:trHeight w:val="128"/>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rate swap periodic income/cost</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left="992"/>
              <w:spacing w:after="0"/>
              <w:rPr>
                <w:sz w:val="20"/>
                <w:szCs w:val="20"/>
                <w:color w:val="auto"/>
              </w:rPr>
            </w:pPr>
            <w:r>
              <w:rPr>
                <w:rFonts w:ascii="Arial" w:cs="Arial" w:eastAsia="Arial" w:hAnsi="Arial"/>
                <w:sz w:val="10"/>
                <w:szCs w:val="10"/>
                <w:color w:val="auto"/>
                <w:w w:val="85"/>
              </w:rPr>
              <w:t>(286)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w:t>
            </w:r>
          </w:p>
        </w:tc>
      </w:tr>
      <w:tr>
        <w:trPr>
          <w:trHeight w:val="147"/>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change in economic interest benefit/expense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center"/>
              <w:ind w:left="1012"/>
              <w:spacing w:after="0"/>
              <w:rPr>
                <w:sz w:val="20"/>
                <w:szCs w:val="20"/>
                <w:color w:val="auto"/>
              </w:rPr>
            </w:pPr>
            <w:r>
              <w:rPr>
                <w:rFonts w:ascii="Arial" w:cs="Arial" w:eastAsia="Arial" w:hAnsi="Arial"/>
                <w:sz w:val="10"/>
                <w:szCs w:val="10"/>
                <w:color w:val="auto"/>
                <w:w w:val="83"/>
              </w:rPr>
              <w:t>114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w:t>
            </w:r>
          </w:p>
        </w:tc>
      </w:tr>
    </w:tbl>
    <w:p>
      <w:pPr>
        <w:spacing w:after="0" w:line="171"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Our average mortgage borrowings, inclusive of TBAs, decreased 20% for the three and nine months ended September 30, 2022 compared to the prior year period due to a decline in stockholders' equity and smaller asset base. The average interest rate on our mortgage borrowings for the three and nine months ended September 30, 2022 increased 196 and 79 basis points, respectively, due to higher short-term rates. The decrease in our interest rate swap periodic cost for the three and nine months ended September 30, 2022 was primarily a function of higher receive rates. The following is a summary of our average interest rate swaps outstanding and the related average swap pay and receive rates for the three and nine months ended September 30, 2022 and 2021 (dollars in millions). Amounts exclude forward starting swaps not yet in effect.</w:t>
      </w:r>
    </w:p>
    <w:tbl>
      <w:tblPr>
        <w:tblLayout w:type="fixed"/>
        <w:tblInd w:w="0" w:type="dxa"/>
        <w:tblCellMar>
          <w:top w:w="0" w:type="dxa"/>
          <w:left w:w="0" w:type="dxa"/>
          <w:bottom w:w="0" w:type="dxa"/>
          <w:right w:w="0" w:type="dxa"/>
        </w:tblCellMar>
      </w:tblPr>
      <w:tr>
        <w:trPr>
          <w:trHeight w:val="100"/>
        </w:trPr>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3"/>
          </w:tcPr>
          <w:p>
            <w:pPr>
              <w:jc w:val="right"/>
              <w:spacing w:after="0" w:line="100" w:lineRule="exact"/>
              <w:rPr>
                <w:sz w:val="20"/>
                <w:szCs w:val="20"/>
                <w:color w:val="auto"/>
              </w:rPr>
            </w:pPr>
            <w:r>
              <w:rPr>
                <w:rFonts w:ascii="Arial" w:cs="Arial" w:eastAsia="Arial" w:hAnsi="Arial"/>
                <w:sz w:val="10"/>
                <w:szCs w:val="10"/>
                <w:b w:val="1"/>
                <w:bCs w:val="1"/>
                <w:color w:val="auto"/>
              </w:rPr>
              <w:t>Three Months Ended</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3"/>
          </w:tcPr>
          <w:p>
            <w:pPr>
              <w:jc w:val="right"/>
              <w:spacing w:after="0" w:line="100" w:lineRule="exact"/>
              <w:rPr>
                <w:sz w:val="20"/>
                <w:szCs w:val="20"/>
                <w:color w:val="auto"/>
              </w:rPr>
            </w:pPr>
            <w:r>
              <w:rPr>
                <w:rFonts w:ascii="Arial" w:cs="Arial" w:eastAsia="Arial" w:hAnsi="Arial"/>
                <w:sz w:val="10"/>
                <w:szCs w:val="10"/>
                <w:b w:val="1"/>
                <w:bCs w:val="1"/>
                <w:color w:val="auto"/>
              </w:rPr>
              <w:t>Nine Months Ended</w:t>
            </w:r>
          </w:p>
        </w:tc>
        <w:tc>
          <w:tcPr>
            <w:tcW w:w="680" w:type="dxa"/>
            <w:vAlign w:val="bottom"/>
          </w:tcPr>
          <w:p>
            <w:pPr>
              <w:spacing w:after="0"/>
              <w:rPr>
                <w:sz w:val="8"/>
                <w:szCs w:val="8"/>
                <w:color w:val="auto"/>
              </w:rPr>
            </w:pPr>
          </w:p>
        </w:tc>
      </w:tr>
      <w:tr>
        <w:trPr>
          <w:trHeight w:val="123"/>
        </w:trPr>
        <w:tc>
          <w:tcPr>
            <w:tcW w:w="6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September 30,</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September 30,</w:t>
            </w:r>
          </w:p>
        </w:tc>
        <w:tc>
          <w:tcPr>
            <w:tcW w:w="680" w:type="dxa"/>
            <w:vAlign w:val="bottom"/>
            <w:tcBorders>
              <w:bottom w:val="single" w:sz="8" w:color="auto"/>
            </w:tcBorders>
          </w:tcPr>
          <w:p>
            <w:pPr>
              <w:spacing w:after="0"/>
              <w:rPr>
                <w:sz w:val="10"/>
                <w:szCs w:val="10"/>
                <w:color w:val="auto"/>
              </w:rPr>
            </w:pPr>
          </w:p>
        </w:tc>
      </w:tr>
      <w:tr>
        <w:trPr>
          <w:trHeight w:val="126"/>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Average Ratio of Interest Rate Swaps (Excluding Forward Starting Swaps) to Mortgage Borrowings Outstanding</w:t>
            </w:r>
          </w:p>
        </w:tc>
        <w:tc>
          <w:tcPr>
            <w:tcW w:w="240" w:type="dxa"/>
            <w:vAlign w:val="bottom"/>
          </w:tcPr>
          <w:p>
            <w:pPr>
              <w:spacing w:after="0"/>
              <w:rPr>
                <w:sz w:val="10"/>
                <w:szCs w:val="10"/>
                <w:color w:val="auto"/>
              </w:rPr>
            </w:pPr>
          </w:p>
        </w:tc>
        <w:tc>
          <w:tcPr>
            <w:tcW w:w="840" w:type="dxa"/>
            <w:vAlign w:val="bottom"/>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jc w:val="right"/>
              <w:ind w:right="392"/>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ind w:right="392"/>
              <w:spacing w:after="0"/>
              <w:rPr>
                <w:sz w:val="20"/>
                <w:szCs w:val="20"/>
                <w:color w:val="auto"/>
              </w:rPr>
            </w:pPr>
            <w:r>
              <w:rPr>
                <w:rFonts w:ascii="Arial" w:cs="Arial" w:eastAsia="Arial" w:hAnsi="Arial"/>
                <w:sz w:val="10"/>
                <w:szCs w:val="10"/>
                <w:b w:val="1"/>
                <w:bCs w:val="1"/>
                <w:color w:val="auto"/>
                <w:w w:val="98"/>
              </w:rPr>
              <w:t>2021</w:t>
            </w:r>
          </w:p>
        </w:tc>
      </w:tr>
      <w:tr>
        <w:trPr>
          <w:trHeight w:val="13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Average Agency repo and other debt outstanding</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40,530</w:t>
            </w: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45,847</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43,344</w:t>
            </w: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50,909</w:t>
            </w:r>
          </w:p>
        </w:tc>
      </w:tr>
      <w:tr>
        <w:trPr>
          <w:trHeight w:val="128"/>
        </w:trPr>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Average net TBA dollar roll position outstanding - at cost</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20,331</w:t>
            </w: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30,312</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21,184</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30,132</w:t>
            </w:r>
          </w:p>
        </w:tc>
      </w:tr>
      <w:tr>
        <w:trPr>
          <w:trHeight w:val="131"/>
        </w:trPr>
        <w:tc>
          <w:tcPr>
            <w:tcW w:w="6760" w:type="dxa"/>
            <w:vAlign w:val="bottom"/>
            <w:gridSpan w:val="2"/>
            <w:shd w:val="clear" w:color="auto" w:fill="CCEEFF"/>
          </w:tcPr>
          <w:p>
            <w:pPr>
              <w:spacing w:after="0" w:line="114" w:lineRule="exact"/>
              <w:rPr>
                <w:sz w:val="20"/>
                <w:szCs w:val="20"/>
                <w:color w:val="auto"/>
              </w:rPr>
            </w:pPr>
            <w:r>
              <w:rPr>
                <w:rFonts w:ascii="Arial" w:cs="Arial" w:eastAsia="Arial" w:hAnsi="Arial"/>
                <w:sz w:val="10"/>
                <w:szCs w:val="10"/>
                <w:color w:val="auto"/>
              </w:rPr>
              <w:t>Average mortgage borrowings outstanding</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60,861</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76,159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64,528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81,041</w:t>
            </w:r>
          </w:p>
        </w:tc>
      </w:tr>
      <w:tr>
        <w:trPr>
          <w:trHeight w:val="128"/>
        </w:trPr>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Average notional amount of interest rate swaps outstanding (excluding forward starting swaps)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49,147</w:t>
            </w: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49,268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50,484</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48,108</w:t>
            </w:r>
          </w:p>
        </w:tc>
      </w:tr>
      <w:tr>
        <w:trPr>
          <w:trHeight w:val="147"/>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Ratio of average interest rate swaps to mortgage borrowings outstanding</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81 %</w:t>
            </w: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65 %</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78 %</w:t>
            </w: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59 %</w:t>
            </w:r>
          </w:p>
        </w:tc>
      </w:tr>
    </w:tbl>
    <w:p>
      <w:pPr>
        <w:spacing w:after="0" w:line="150" w:lineRule="exact"/>
        <w:rPr>
          <w:sz w:val="20"/>
          <w:szCs w:val="20"/>
          <w:color w:val="auto"/>
        </w:rPr>
      </w:pPr>
    </w:p>
    <w:p>
      <w:pPr>
        <w:sectPr>
          <w:pgSz w:w="11900" w:h="16838" w:orient="portrait"/>
          <w:cols w:equalWidth="0" w:num="1">
            <w:col w:w="11300"/>
          </w:cols>
          <w:pgMar w:left="300" w:top="665" w:right="299" w:bottom="1440" w:gutter="0" w:footer="0" w:header="0"/>
        </w:sectPr>
      </w:pPr>
    </w:p>
    <w:p>
      <w:pPr>
        <w:spacing w:after="0"/>
        <w:rPr>
          <w:sz w:val="20"/>
          <w:szCs w:val="20"/>
          <w:color w:val="auto"/>
        </w:rPr>
      </w:pPr>
      <w:r>
        <w:rPr>
          <w:rFonts w:ascii="Arial" w:cs="Arial" w:eastAsia="Arial" w:hAnsi="Arial"/>
          <w:sz w:val="8"/>
          <w:szCs w:val="8"/>
          <w:color w:val="auto"/>
        </w:rPr>
        <w:t>Average interest rate swap pay-fixed rate (excluding forward starting swaps)</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Average interest rate swap receive-floating rate</w:t>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1080" w:type="dxa"/>
            <w:vAlign w:val="bottom"/>
          </w:tcPr>
          <w:p>
            <w:pPr>
              <w:jc w:val="right"/>
              <w:spacing w:after="0"/>
              <w:rPr>
                <w:sz w:val="20"/>
                <w:szCs w:val="20"/>
                <w:color w:val="auto"/>
              </w:rPr>
            </w:pPr>
            <w:r>
              <w:rPr>
                <w:rFonts w:ascii="Arial" w:cs="Arial" w:eastAsia="Arial" w:hAnsi="Arial"/>
                <w:sz w:val="10"/>
                <w:szCs w:val="10"/>
                <w:color w:val="auto"/>
              </w:rPr>
              <w:t>0.25 %</w:t>
            </w:r>
          </w:p>
        </w:tc>
        <w:tc>
          <w:tcPr>
            <w:tcW w:w="6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0.17 %</w:t>
            </w:r>
          </w:p>
        </w:tc>
        <w:tc>
          <w:tcPr>
            <w:tcW w:w="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0.25 %</w:t>
            </w:r>
          </w:p>
        </w:tc>
        <w:tc>
          <w:tcPr>
            <w:tcW w:w="8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0.17 %</w:t>
            </w:r>
          </w:p>
        </w:tc>
      </w:tr>
      <w:tr>
        <w:trPr>
          <w:trHeight w:val="14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w:t>
            </w:r>
          </w:p>
        </w:tc>
        <w:tc>
          <w:tcPr>
            <w:tcW w:w="6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(0.07)%</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(0.89)%</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(0.05)%</w:t>
            </w:r>
          </w:p>
        </w:tc>
      </w:tr>
      <w:tr>
        <w:trPr>
          <w:trHeight w:val="126"/>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w:t>
            </w:r>
          </w:p>
        </w:tc>
        <w:tc>
          <w:tcPr>
            <w:tcW w:w="60" w:type="dxa"/>
            <w:vAlign w:val="bottom"/>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0.10 %</w:t>
            </w:r>
          </w:p>
        </w:tc>
        <w:tc>
          <w:tcPr>
            <w:tcW w:w="80" w:type="dxa"/>
            <w:vAlign w:val="bottom"/>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(0.64)%</w:t>
            </w:r>
          </w:p>
        </w:tc>
        <w:tc>
          <w:tcPr>
            <w:tcW w:w="80" w:type="dxa"/>
            <w:vAlign w:val="bottom"/>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0.12 %</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-285115</wp:posOffset>
            </wp:positionV>
            <wp:extent cx="7178040"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-113665</wp:posOffset>
            </wp:positionV>
            <wp:extent cx="717804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040" w:space="720"/>
            <w:col w:w="4540"/>
          </w:cols>
          <w:pgMar w:left="300" w:top="665" w:right="299" w:bottom="1440" w:gutter="0" w:footer="0" w:header="0"/>
          <w:type w:val="continuous"/>
        </w:sectPr>
      </w:pPr>
    </w:p>
    <w:p>
      <w:pPr>
        <w:jc w:val="both"/>
        <w:ind w:firstLine="297"/>
        <w:spacing w:after="0" w:line="263" w:lineRule="auto"/>
        <w:rPr>
          <w:sz w:val="20"/>
          <w:szCs w:val="20"/>
          <w:color w:val="auto"/>
        </w:rPr>
      </w:pPr>
      <w:r>
        <w:rPr>
          <w:rFonts w:ascii="Arial" w:cs="Arial" w:eastAsia="Arial" w:hAnsi="Arial"/>
          <w:sz w:val="12"/>
          <w:szCs w:val="12"/>
          <w:color w:val="auto"/>
        </w:rPr>
        <w:t>For the three and nine months ended September 30, 2022, we had an average forward starting swap balance of zero and $31 million, respectively, and for the three and nine months ended September 30, 2021, an average forward starting swap balance of $9 million and $97 million, respectively. Forward starting interest rate swaps do not impact our economic interest expense and aggregate cost of funds until they commence accruing net interest settlements on their forward start dates.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Interest Spread</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following table presents a summary of our net interest spread (including the impact of TBA dollar roll income, interest rate swaps and excluding "catch-up" premium amortization) for the three and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2022 and 2021:</w:t>
      </w:r>
    </w:p>
    <w:p>
      <w:pPr>
        <w:spacing w:after="0" w:line="111" w:lineRule="exact"/>
        <w:rPr>
          <w:sz w:val="20"/>
          <w:szCs w:val="20"/>
          <w:color w:val="auto"/>
        </w:rPr>
      </w:pPr>
    </w:p>
    <w:tbl>
      <w:tblPr>
        <w:tblLayout w:type="fixed"/>
        <w:tblInd w:w="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4"/>
            <w:vMerge w:val="restart"/>
          </w:tcPr>
          <w:p>
            <w:pPr>
              <w:ind w:left="300"/>
              <w:spacing w:after="0"/>
              <w:rPr>
                <w:sz w:val="20"/>
                <w:szCs w:val="20"/>
                <w:color w:val="auto"/>
              </w:rPr>
            </w:pPr>
            <w:r>
              <w:rPr>
                <w:rFonts w:ascii="Arial" w:cs="Arial" w:eastAsia="Arial" w:hAnsi="Arial"/>
                <w:sz w:val="10"/>
                <w:szCs w:val="10"/>
                <w:b w:val="1"/>
                <w:bCs w:val="1"/>
                <w:color w:val="auto"/>
              </w:rPr>
              <w:t>Three Months Ended September 30,</w:t>
            </w:r>
          </w:p>
        </w:tc>
        <w:tc>
          <w:tcPr>
            <w:tcW w:w="1560" w:type="dxa"/>
            <w:vAlign w:val="bottom"/>
            <w:gridSpan w:val="3"/>
          </w:tcPr>
          <w:p>
            <w:pPr>
              <w:jc w:val="center"/>
              <w:ind w:left="612"/>
              <w:spacing w:after="0"/>
              <w:rPr>
                <w:sz w:val="20"/>
                <w:szCs w:val="20"/>
                <w:color w:val="auto"/>
              </w:rPr>
            </w:pPr>
            <w:r>
              <w:rPr>
                <w:rFonts w:ascii="Arial" w:cs="Arial" w:eastAsia="Arial" w:hAnsi="Arial"/>
                <w:sz w:val="10"/>
                <w:szCs w:val="10"/>
                <w:b w:val="1"/>
                <w:bCs w:val="1"/>
                <w:color w:val="auto"/>
                <w:w w:val="87"/>
              </w:rPr>
              <w:t>Nine Months Ended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1560" w:type="dxa"/>
            <w:vAlign w:val="bottom"/>
            <w:gridSpan w:val="3"/>
          </w:tcPr>
          <w:p>
            <w:pPr>
              <w:jc w:val="center"/>
              <w:ind w:left="612"/>
              <w:spacing w:after="0"/>
              <w:rPr>
                <w:sz w:val="20"/>
                <w:szCs w:val="20"/>
                <w:color w:val="auto"/>
              </w:rPr>
            </w:pPr>
            <w:r>
              <w:rPr>
                <w:rFonts w:ascii="Arial" w:cs="Arial" w:eastAsia="Arial" w:hAnsi="Arial"/>
                <w:sz w:val="10"/>
                <w:szCs w:val="10"/>
                <w:b w:val="1"/>
                <w:bCs w:val="1"/>
                <w:color w:val="auto"/>
                <w:w w:val="84"/>
              </w:rPr>
              <w:t>September 30,</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Investment and TBA Securities - Net Interest Spread</w:t>
            </w:r>
          </w:p>
        </w:tc>
        <w:tc>
          <w:tcPr>
            <w:tcW w:w="1000" w:type="dxa"/>
            <w:vAlign w:val="bottom"/>
            <w:tcBorders>
              <w:top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106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b w:val="1"/>
                <w:bCs w:val="1"/>
                <w:color w:val="auto"/>
                <w:w w:val="89"/>
              </w:rPr>
              <w:t>2021</w:t>
            </w:r>
          </w:p>
        </w:tc>
        <w:tc>
          <w:tcPr>
            <w:tcW w:w="0" w:type="dxa"/>
            <w:vAlign w:val="bottom"/>
          </w:tcPr>
          <w:p>
            <w:pPr>
              <w:spacing w:after="0"/>
              <w:rPr>
                <w:sz w:val="1"/>
                <w:szCs w:val="1"/>
                <w:color w:val="auto"/>
              </w:rPr>
            </w:pPr>
          </w:p>
        </w:tc>
      </w:tr>
      <w:tr>
        <w:trPr>
          <w:trHeight w:val="130"/>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Average asset yield, excluding "catch-up" premium amortization</w:t>
            </w: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3.31 %</w:t>
            </w: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2.16 %</w:t>
            </w: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2.80 %</w:t>
            </w: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2.11 %</w:t>
            </w:r>
          </w:p>
        </w:tc>
        <w:tc>
          <w:tcPr>
            <w:tcW w:w="0" w:type="dxa"/>
            <w:vAlign w:val="bottom"/>
          </w:tcPr>
          <w:p>
            <w:pPr>
              <w:spacing w:after="0"/>
              <w:rPr>
                <w:sz w:val="1"/>
                <w:szCs w:val="1"/>
                <w:color w:val="auto"/>
              </w:rPr>
            </w:pPr>
          </w:p>
        </w:tc>
      </w:tr>
      <w:tr>
        <w:trPr>
          <w:trHeight w:val="128"/>
        </w:trPr>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Average aggregate cost of funds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(0.50)%</w:t>
            </w: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0.03 %</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(0.25)%</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0" w:type="dxa"/>
            <w:vAlign w:val="bottom"/>
          </w:tcPr>
          <w:p>
            <w:pPr>
              <w:spacing w:after="0"/>
              <w:rPr>
                <w:sz w:val="1"/>
                <w:szCs w:val="1"/>
                <w:color w:val="auto"/>
              </w:rPr>
            </w:pPr>
          </w:p>
        </w:tc>
      </w:tr>
      <w:tr>
        <w:trPr>
          <w:trHeight w:val="147"/>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Average net interest spread, excluding "catch-up" premium amortization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2.81 %</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2.19 %</w:t>
            </w: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2.55 %</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2"/>
          <w:szCs w:val="12"/>
          <w:b w:val="1"/>
          <w:bCs w:val="1"/>
          <w:i w:val="1"/>
          <w:iCs w:val="1"/>
          <w:color w:val="auto"/>
        </w:rPr>
        <w:t>Net Spread and Dollar Roll Income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following table presents a reconciliation of net spread and dollar roll income, excluding "catch-up" premium amortization, available to common stockholders (non-GAAP measure) from comprehensive income (loss)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available (attributable) to common stockholders (the most comparable GAAP financial measure) for the three and nine months ended September 30, 2022 and 2021 (dollars in millions):</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7080" w:type="dxa"/>
            <w:vAlign w:val="bottom"/>
          </w:tcPr>
          <w:p>
            <w:pPr>
              <w:spacing w:after="0"/>
              <w:rPr>
                <w:sz w:val="10"/>
                <w:szCs w:val="10"/>
                <w:color w:val="auto"/>
              </w:rPr>
            </w:pPr>
          </w:p>
        </w:tc>
        <w:tc>
          <w:tcPr>
            <w:tcW w:w="2020" w:type="dxa"/>
            <w:vAlign w:val="bottom"/>
            <w:gridSpan w:val="6"/>
            <w:vMerge w:val="restart"/>
          </w:tcPr>
          <w:p>
            <w:pPr>
              <w:ind w:left="220"/>
              <w:spacing w:after="0"/>
              <w:rPr>
                <w:sz w:val="20"/>
                <w:szCs w:val="20"/>
                <w:color w:val="auto"/>
              </w:rPr>
            </w:pPr>
            <w:r>
              <w:rPr>
                <w:rFonts w:ascii="Arial" w:cs="Arial" w:eastAsia="Arial" w:hAnsi="Arial"/>
                <w:sz w:val="10"/>
                <w:szCs w:val="10"/>
                <w:b w:val="1"/>
                <w:bCs w:val="1"/>
                <w:color w:val="auto"/>
              </w:rPr>
              <w:t>Three Months Ended September 30,</w:t>
            </w:r>
          </w:p>
        </w:tc>
        <w:tc>
          <w:tcPr>
            <w:tcW w:w="22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80" w:type="dxa"/>
            <w:vAlign w:val="bottom"/>
          </w:tcPr>
          <w:p>
            <w:pPr>
              <w:spacing w:after="0"/>
              <w:rPr>
                <w:sz w:val="11"/>
                <w:szCs w:val="11"/>
                <w:color w:val="auto"/>
              </w:rPr>
            </w:pPr>
          </w:p>
        </w:tc>
        <w:tc>
          <w:tcPr>
            <w:tcW w:w="202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rPr>
              <w:t>September 30,</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8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3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89"/>
              </w:rPr>
              <w:t>2021</w:t>
            </w:r>
          </w:p>
        </w:tc>
        <w:tc>
          <w:tcPr>
            <w:tcW w:w="0" w:type="dxa"/>
            <w:vAlign w:val="bottom"/>
          </w:tcPr>
          <w:p>
            <w:pPr>
              <w:spacing w:after="0"/>
              <w:rPr>
                <w:sz w:val="1"/>
                <w:szCs w:val="1"/>
                <w:color w:val="auto"/>
              </w:rPr>
            </w:pPr>
          </w:p>
        </w:tc>
      </w:tr>
      <w:tr>
        <w:trPr>
          <w:trHeight w:val="130"/>
        </w:trPr>
        <w:tc>
          <w:tcPr>
            <w:tcW w:w="708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b w:val="1"/>
                <w:bCs w:val="1"/>
                <w:color w:val="auto"/>
              </w:rPr>
              <w:t>Comprehensive income (loss) available (attributable) to common stockholders</w:t>
            </w: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(1,064)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(2,935)</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393</w:t>
            </w:r>
          </w:p>
        </w:tc>
        <w:tc>
          <w:tcPr>
            <w:tcW w:w="0" w:type="dxa"/>
            <w:vAlign w:val="bottom"/>
          </w:tcPr>
          <w:p>
            <w:pPr>
              <w:spacing w:after="0"/>
              <w:rPr>
                <w:sz w:val="1"/>
                <w:szCs w:val="1"/>
                <w:color w:val="auto"/>
              </w:rPr>
            </w:pPr>
          </w:p>
        </w:tc>
      </w:tr>
      <w:tr>
        <w:trPr>
          <w:trHeight w:val="129"/>
        </w:trPr>
        <w:tc>
          <w:tcPr>
            <w:tcW w:w="7080" w:type="dxa"/>
            <w:vAlign w:val="bottom"/>
          </w:tcPr>
          <w:p>
            <w:pPr>
              <w:ind w:left="20"/>
              <w:spacing w:after="0"/>
              <w:rPr>
                <w:sz w:val="20"/>
                <w:szCs w:val="20"/>
                <w:color w:val="auto"/>
              </w:rPr>
            </w:pPr>
            <w:r>
              <w:rPr>
                <w:rFonts w:ascii="Arial" w:cs="Arial" w:eastAsia="Arial" w:hAnsi="Arial"/>
                <w:sz w:val="10"/>
                <w:szCs w:val="10"/>
                <w:b w:val="1"/>
                <w:bCs w:val="1"/>
                <w:color w:val="auto"/>
              </w:rPr>
              <w:t>Adjustments to exclude realized and unrealized (gains) losses reported through net income:</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Realized (gain) loss on sale of investment securities, net</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1,848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28"/>
        </w:trPr>
        <w:tc>
          <w:tcPr>
            <w:tcW w:w="7080" w:type="dxa"/>
            <w:vAlign w:val="bottom"/>
          </w:tcPr>
          <w:p>
            <w:pPr>
              <w:ind w:left="100"/>
              <w:spacing w:after="0"/>
              <w:rPr>
                <w:sz w:val="20"/>
                <w:szCs w:val="20"/>
                <w:color w:val="auto"/>
              </w:rPr>
            </w:pPr>
            <w:r>
              <w:rPr>
                <w:rFonts w:ascii="Arial" w:cs="Arial" w:eastAsia="Arial" w:hAnsi="Arial"/>
                <w:sz w:val="10"/>
                <w:szCs w:val="10"/>
                <w:color w:val="auto"/>
              </w:rPr>
              <w:t>Unrealized loss on investment securities measured at fair value through net income, net</w:t>
            </w:r>
          </w:p>
        </w:tc>
        <w:tc>
          <w:tcPr>
            <w:tcW w:w="580" w:type="dxa"/>
            <w:vAlign w:val="bottom"/>
          </w:tcPr>
          <w:p>
            <w:pPr>
              <w:spacing w:after="0"/>
              <w:rPr>
                <w:sz w:val="11"/>
                <w:szCs w:val="11"/>
                <w:color w:val="auto"/>
              </w:rPr>
            </w:pP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1,738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141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5,257</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1,124</w:t>
            </w:r>
          </w:p>
        </w:tc>
        <w:tc>
          <w:tcPr>
            <w:tcW w:w="0" w:type="dxa"/>
            <w:vAlign w:val="bottom"/>
          </w:tcPr>
          <w:p>
            <w:pPr>
              <w:spacing w:after="0"/>
              <w:rPr>
                <w:sz w:val="1"/>
                <w:szCs w:val="1"/>
                <w:color w:val="auto"/>
              </w:rPr>
            </w:pPr>
          </w:p>
        </w:tc>
      </w:tr>
      <w:tr>
        <w:trPr>
          <w:trHeight w:val="142"/>
        </w:trPr>
        <w:tc>
          <w:tcPr>
            <w:tcW w:w="7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Gain on derivative instruments and other securities, net</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(1,474)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(4,474)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w:t>
            </w:r>
          </w:p>
        </w:tc>
        <w:tc>
          <w:tcPr>
            <w:tcW w:w="0" w:type="dxa"/>
            <w:vAlign w:val="bottom"/>
          </w:tcPr>
          <w:p>
            <w:pPr>
              <w:spacing w:after="0"/>
              <w:rPr>
                <w:sz w:val="1"/>
                <w:szCs w:val="1"/>
                <w:color w:val="auto"/>
              </w:rPr>
            </w:pPr>
          </w:p>
        </w:tc>
      </w:tr>
      <w:tr>
        <w:trPr>
          <w:trHeight w:val="129"/>
        </w:trPr>
        <w:tc>
          <w:tcPr>
            <w:tcW w:w="7080" w:type="dxa"/>
            <w:vAlign w:val="bottom"/>
          </w:tcPr>
          <w:p>
            <w:pPr>
              <w:ind w:left="20"/>
              <w:spacing w:after="0"/>
              <w:rPr>
                <w:sz w:val="20"/>
                <w:szCs w:val="20"/>
                <w:color w:val="auto"/>
              </w:rPr>
            </w:pPr>
            <w:r>
              <w:rPr>
                <w:rFonts w:ascii="Arial" w:cs="Arial" w:eastAsia="Arial" w:hAnsi="Arial"/>
                <w:sz w:val="10"/>
                <w:szCs w:val="10"/>
                <w:b w:val="1"/>
                <w:bCs w:val="1"/>
                <w:color w:val="auto"/>
              </w:rPr>
              <w:t>Adjustment to exclude unrealized (gain) loss reported through other comprehensive income</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Unrealized (gain) loss on available-for-sale securities measure at fair value through other comprehensive income, net</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1,108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29"/>
        </w:trPr>
        <w:tc>
          <w:tcPr>
            <w:tcW w:w="7080" w:type="dxa"/>
            <w:vAlign w:val="bottom"/>
          </w:tcPr>
          <w:p>
            <w:pPr>
              <w:ind w:left="20"/>
              <w:spacing w:after="0"/>
              <w:rPr>
                <w:sz w:val="20"/>
                <w:szCs w:val="20"/>
                <w:color w:val="auto"/>
              </w:rPr>
            </w:pPr>
            <w:r>
              <w:rPr>
                <w:rFonts w:ascii="Arial" w:cs="Arial" w:eastAsia="Arial" w:hAnsi="Arial"/>
                <w:sz w:val="10"/>
                <w:szCs w:val="10"/>
                <w:b w:val="1"/>
                <w:bCs w:val="1"/>
                <w:color w:val="auto"/>
              </w:rPr>
              <w:t>Other adjustments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 xml:space="preserve">TBA dollar roll income, net </w:t>
            </w:r>
            <w:r>
              <w:rPr>
                <w:rFonts w:ascii="Arial" w:cs="Arial" w:eastAsia="Arial" w:hAnsi="Arial"/>
                <w:sz w:val="12"/>
                <w:szCs w:val="12"/>
                <w:color w:val="auto"/>
                <w:vertAlign w:val="superscript"/>
              </w:rPr>
              <w:t>1</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453</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491</w:t>
            </w:r>
          </w:p>
        </w:tc>
        <w:tc>
          <w:tcPr>
            <w:tcW w:w="0" w:type="dxa"/>
            <w:vAlign w:val="bottom"/>
          </w:tcPr>
          <w:p>
            <w:pPr>
              <w:spacing w:after="0"/>
              <w:rPr>
                <w:sz w:val="1"/>
                <w:szCs w:val="1"/>
                <w:color w:val="auto"/>
              </w:rPr>
            </w:pPr>
          </w:p>
        </w:tc>
      </w:tr>
      <w:tr>
        <w:trPr>
          <w:trHeight w:val="135"/>
        </w:trPr>
        <w:tc>
          <w:tcPr>
            <w:tcW w:w="708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0"/>
                <w:szCs w:val="10"/>
                <w:color w:val="auto"/>
              </w:rPr>
              <w:t xml:space="preserve">Interest rate swap periodic (cost) income, net </w:t>
            </w:r>
            <w:r>
              <w:rPr>
                <w:rFonts w:ascii="Arial" w:cs="Arial" w:eastAsia="Arial" w:hAnsi="Arial"/>
                <w:sz w:val="12"/>
                <w:szCs w:val="12"/>
                <w:color w:val="auto"/>
                <w:vertAlign w:val="superscript"/>
              </w:rPr>
              <w:t>1</w:t>
            </w: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242</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24"/>
        </w:trPr>
        <w:tc>
          <w:tcPr>
            <w:tcW w:w="7080" w:type="dxa"/>
            <w:vAlign w:val="bottom"/>
            <w:shd w:val="clear" w:color="auto" w:fill="CCEEFF"/>
          </w:tcPr>
          <w:p>
            <w:pPr>
              <w:ind w:left="20"/>
              <w:spacing w:after="0" w:line="107" w:lineRule="exact"/>
              <w:rPr>
                <w:sz w:val="20"/>
                <w:szCs w:val="20"/>
                <w:color w:val="auto"/>
              </w:rPr>
            </w:pPr>
            <w:r>
              <w:rPr>
                <w:rFonts w:ascii="Arial" w:cs="Arial" w:eastAsia="Arial" w:hAnsi="Arial"/>
                <w:sz w:val="10"/>
                <w:szCs w:val="10"/>
                <w:color w:val="auto"/>
              </w:rPr>
              <w:t>Net spread and dollar roll income available to common stockholders (non-GAAP measure)</w:t>
            </w: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462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1,343</w:t>
            </w:r>
          </w:p>
        </w:tc>
        <w:tc>
          <w:tcPr>
            <w:tcW w:w="0" w:type="dxa"/>
            <w:vAlign w:val="bottom"/>
          </w:tcPr>
          <w:p>
            <w:pPr>
              <w:spacing w:after="0"/>
              <w:rPr>
                <w:sz w:val="1"/>
                <w:szCs w:val="1"/>
                <w:color w:val="auto"/>
              </w:rPr>
            </w:pPr>
          </w:p>
        </w:tc>
      </w:tr>
      <w:tr>
        <w:trPr>
          <w:trHeight w:val="135"/>
        </w:trPr>
        <w:tc>
          <w:tcPr>
            <w:tcW w:w="708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0"/>
                <w:szCs w:val="10"/>
                <w:color w:val="auto"/>
              </w:rPr>
              <w:t xml:space="preserve">Estimated "catch-up" premium amortization cost (benefit) due to change in CPR forecast </w:t>
            </w:r>
            <w:r>
              <w:rPr>
                <w:rFonts w:ascii="Arial" w:cs="Arial" w:eastAsia="Arial" w:hAnsi="Arial"/>
                <w:sz w:val="12"/>
                <w:szCs w:val="12"/>
                <w:color w:val="auto"/>
                <w:vertAlign w:val="superscript"/>
              </w:rPr>
              <w:t>2</w:t>
            </w: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spread and dollar roll income, excluding "catch-up" premium amortization, available to common stockholders (non-GAAP measure)</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444</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1,256</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1,203</w:t>
            </w:r>
          </w:p>
        </w:tc>
        <w:tc>
          <w:tcPr>
            <w:tcW w:w="0" w:type="dxa"/>
            <w:vAlign w:val="bottom"/>
          </w:tcPr>
          <w:p>
            <w:pPr>
              <w:spacing w:after="0"/>
              <w:rPr>
                <w:sz w:val="1"/>
                <w:szCs w:val="1"/>
                <w:color w:val="auto"/>
              </w:rPr>
            </w:pPr>
          </w:p>
        </w:tc>
      </w:tr>
      <w:tr>
        <w:trPr>
          <w:trHeight w:val="126"/>
        </w:trPr>
        <w:tc>
          <w:tcPr>
            <w:tcW w:w="7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Weighted average number of common shares outstanding - basic</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528.7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526.7</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526.4</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529.0</w:t>
            </w:r>
          </w:p>
        </w:tc>
        <w:tc>
          <w:tcPr>
            <w:tcW w:w="0" w:type="dxa"/>
            <w:vAlign w:val="bottom"/>
          </w:tcPr>
          <w:p>
            <w:pPr>
              <w:spacing w:after="0"/>
              <w:rPr>
                <w:sz w:val="1"/>
                <w:szCs w:val="1"/>
                <w:color w:val="auto"/>
              </w:rPr>
            </w:pPr>
          </w:p>
        </w:tc>
      </w:tr>
      <w:tr>
        <w:trPr>
          <w:trHeight w:val="15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Weighted average number of common shares outstanding - diluted</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529.8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528.6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527.5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530.8</w:t>
            </w:r>
          </w:p>
        </w:tc>
        <w:tc>
          <w:tcPr>
            <w:tcW w:w="0" w:type="dxa"/>
            <w:vAlign w:val="bottom"/>
          </w:tcPr>
          <w:p>
            <w:pPr>
              <w:spacing w:after="0"/>
              <w:rPr>
                <w:sz w:val="1"/>
                <w:szCs w:val="1"/>
                <w:color w:val="auto"/>
              </w:rPr>
            </w:pPr>
          </w:p>
        </w:tc>
      </w:tr>
      <w:tr>
        <w:trPr>
          <w:trHeight w:val="15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spread and dollar roll income per common share - basic</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0.87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0.75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2.85</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2.54</w:t>
            </w:r>
          </w:p>
        </w:tc>
        <w:tc>
          <w:tcPr>
            <w:tcW w:w="0" w:type="dxa"/>
            <w:vAlign w:val="bottom"/>
          </w:tcPr>
          <w:p>
            <w:pPr>
              <w:spacing w:after="0"/>
              <w:rPr>
                <w:sz w:val="1"/>
                <w:szCs w:val="1"/>
                <w:color w:val="auto"/>
              </w:rPr>
            </w:pPr>
          </w:p>
        </w:tc>
      </w:tr>
      <w:tr>
        <w:trPr>
          <w:trHeight w:val="15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spread and dollar roll income per common share - diluted</w:t>
            </w: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0.87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0.75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2.84</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2.53</w:t>
            </w:r>
          </w:p>
        </w:tc>
        <w:tc>
          <w:tcPr>
            <w:tcW w:w="0" w:type="dxa"/>
            <w:vAlign w:val="bottom"/>
          </w:tcPr>
          <w:p>
            <w:pPr>
              <w:spacing w:after="0"/>
              <w:rPr>
                <w:sz w:val="1"/>
                <w:szCs w:val="1"/>
                <w:color w:val="auto"/>
              </w:rPr>
            </w:pPr>
          </w:p>
        </w:tc>
      </w:tr>
      <w:tr>
        <w:trPr>
          <w:trHeight w:val="15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spread and dollar roll income, excluding "catch-up" premium amortization, per common share - basic</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0.84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0.75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2.39</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2.27</w:t>
            </w:r>
          </w:p>
        </w:tc>
        <w:tc>
          <w:tcPr>
            <w:tcW w:w="0" w:type="dxa"/>
            <w:vAlign w:val="bottom"/>
          </w:tcPr>
          <w:p>
            <w:pPr>
              <w:spacing w:after="0"/>
              <w:rPr>
                <w:sz w:val="1"/>
                <w:szCs w:val="1"/>
                <w:color w:val="auto"/>
              </w:rPr>
            </w:pPr>
          </w:p>
        </w:tc>
      </w:tr>
      <w:tr>
        <w:trPr>
          <w:trHeight w:val="135"/>
        </w:trPr>
        <w:tc>
          <w:tcPr>
            <w:tcW w:w="7080" w:type="dxa"/>
            <w:vAlign w:val="bottom"/>
          </w:tcPr>
          <w:p>
            <w:pPr>
              <w:ind w:left="20"/>
              <w:spacing w:after="0"/>
              <w:rPr>
                <w:sz w:val="20"/>
                <w:szCs w:val="20"/>
                <w:color w:val="auto"/>
              </w:rPr>
            </w:pPr>
            <w:r>
              <w:rPr>
                <w:rFonts w:ascii="Arial" w:cs="Arial" w:eastAsia="Arial" w:hAnsi="Arial"/>
                <w:sz w:val="10"/>
                <w:szCs w:val="10"/>
                <w:color w:val="auto"/>
              </w:rPr>
              <w:t>Net spread and dollar roll income, excluding "catch-up" premium amortization, per common share - diluted</w:t>
            </w: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0.84</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0.75</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2.38</w:t>
            </w:r>
          </w:p>
        </w:tc>
        <w:tc>
          <w:tcPr>
            <w:tcW w:w="120" w:type="dxa"/>
            <w:vAlign w:val="bottom"/>
          </w:tcPr>
          <w:p>
            <w:pPr>
              <w:spacing w:after="0"/>
              <w:rPr>
                <w:sz w:val="11"/>
                <w:szCs w:val="11"/>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Reported in gain (loss) on derivative instruments and other securities, net in our consolidated statements of comprehensive income.</w:t>
      </w:r>
    </w:p>
    <w:p>
      <w:pPr>
        <w:ind w:left="420" w:hanging="212"/>
        <w:spacing w:after="0"/>
        <w:tabs>
          <w:tab w:leader="none" w:pos="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Reported in interest income in our consolidated statements of comprehensive income.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(Loss) on Investment Securities, Net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is a summary of our net gain (loss) on investment securities for the three and nine months ended September 30, 2022 and 2021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Three Months Ended September 30,</w:t>
            </w:r>
          </w:p>
        </w:tc>
        <w:tc>
          <w:tcPr>
            <w:tcW w:w="240" w:type="dxa"/>
            <w:vAlign w:val="bottom"/>
          </w:tcPr>
          <w:p>
            <w:pPr>
              <w:spacing w:after="0"/>
              <w:rPr>
                <w:sz w:val="10"/>
                <w:szCs w:val="10"/>
                <w:color w:val="auto"/>
              </w:rPr>
            </w:pPr>
          </w:p>
        </w:tc>
        <w:tc>
          <w:tcPr>
            <w:tcW w:w="128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112"/>
              <w:spacing w:after="0"/>
              <w:rPr>
                <w:sz w:val="20"/>
                <w:szCs w:val="20"/>
                <w:color w:val="auto"/>
              </w:rPr>
            </w:pPr>
            <w:r>
              <w:rPr>
                <w:rFonts w:ascii="Arial" w:cs="Arial" w:eastAsia="Arial" w:hAnsi="Arial"/>
                <w:sz w:val="10"/>
                <w:szCs w:val="10"/>
                <w:b w:val="1"/>
                <w:bCs w:val="1"/>
                <w:color w:val="auto"/>
              </w:rPr>
              <w:t>September 30,</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120" w:type="dxa"/>
            <w:vAlign w:val="bottom"/>
            <w:gridSpan w:val="2"/>
          </w:tcPr>
          <w:p>
            <w:pPr>
              <w:spacing w:after="0" w:line="135" w:lineRule="exact"/>
              <w:rPr>
                <w:sz w:val="20"/>
                <w:szCs w:val="20"/>
                <w:color w:val="auto"/>
              </w:rPr>
            </w:pPr>
            <w:r>
              <w:rPr>
                <w:rFonts w:ascii="Arial" w:cs="Arial" w:eastAsia="Arial" w:hAnsi="Arial"/>
                <w:sz w:val="10"/>
                <w:szCs w:val="10"/>
                <w:b w:val="1"/>
                <w:bCs w:val="1"/>
                <w:color w:val="auto"/>
              </w:rPr>
              <w:t xml:space="preserve">Gain (Loss) on Investment Securities, Net </w:t>
            </w:r>
            <w:r>
              <w:rPr>
                <w:rFonts w:ascii="Arial" w:cs="Arial" w:eastAsia="Arial" w:hAnsi="Arial"/>
                <w:sz w:val="12"/>
                <w:szCs w:val="12"/>
                <w:b w:val="1"/>
                <w:bCs w:val="1"/>
                <w:color w:val="auto"/>
                <w:vertAlign w:val="superscript"/>
              </w:rPr>
              <w:t>1</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72"/>
              <w:spacing w:after="0"/>
              <w:rPr>
                <w:sz w:val="20"/>
                <w:szCs w:val="20"/>
                <w:color w:val="auto"/>
              </w:rPr>
            </w:pPr>
            <w:r>
              <w:rPr>
                <w:rFonts w:ascii="Arial" w:cs="Arial" w:eastAsia="Arial" w:hAnsi="Arial"/>
                <w:sz w:val="10"/>
                <w:szCs w:val="10"/>
                <w:b w:val="1"/>
                <w:bCs w:val="1"/>
                <w:color w:val="auto"/>
                <w:w w:val="89"/>
              </w:rPr>
              <w:t>2021</w:t>
            </w:r>
          </w:p>
        </w:tc>
        <w:tc>
          <w:tcPr>
            <w:tcW w:w="0" w:type="dxa"/>
            <w:vAlign w:val="bottom"/>
          </w:tcPr>
          <w:p>
            <w:pPr>
              <w:spacing w:after="0"/>
              <w:rPr>
                <w:sz w:val="1"/>
                <w:szCs w:val="1"/>
                <w:color w:val="auto"/>
              </w:rPr>
            </w:pPr>
          </w:p>
        </w:tc>
      </w:tr>
      <w:tr>
        <w:trPr>
          <w:trHeight w:val="124"/>
        </w:trPr>
        <w:tc>
          <w:tcPr>
            <w:tcW w:w="7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Gain (loss) on sale of investment securities, net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(560)</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(1,848)</w:t>
            </w: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5"/>
        </w:trPr>
        <w:tc>
          <w:tcPr>
            <w:tcW w:w="7120" w:type="dxa"/>
            <w:vAlign w:val="bottom"/>
            <w:gridSpan w:val="2"/>
          </w:tcPr>
          <w:p>
            <w:pPr>
              <w:spacing w:after="0" w:line="135" w:lineRule="exact"/>
              <w:rPr>
                <w:sz w:val="20"/>
                <w:szCs w:val="20"/>
                <w:color w:val="auto"/>
              </w:rPr>
            </w:pPr>
            <w:r>
              <w:rPr>
                <w:rFonts w:ascii="Arial" w:cs="Arial" w:eastAsia="Arial" w:hAnsi="Arial"/>
                <w:sz w:val="10"/>
                <w:szCs w:val="10"/>
                <w:color w:val="auto"/>
              </w:rPr>
              <w:t xml:space="preserve">Unrealized loss on investment securities measured at fair value through net income, net </w:t>
            </w:r>
            <w:r>
              <w:rPr>
                <w:rFonts w:ascii="Arial" w:cs="Arial" w:eastAsia="Arial" w:hAnsi="Arial"/>
                <w:sz w:val="12"/>
                <w:szCs w:val="12"/>
                <w:color w:val="auto"/>
                <w:vertAlign w:val="superscript"/>
              </w:rPr>
              <w:t>2</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(1,738)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(5,257)</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(1,124)</w:t>
            </w:r>
          </w:p>
        </w:tc>
        <w:tc>
          <w:tcPr>
            <w:tcW w:w="0" w:type="dxa"/>
            <w:vAlign w:val="bottom"/>
          </w:tcPr>
          <w:p>
            <w:pPr>
              <w:spacing w:after="0"/>
              <w:rPr>
                <w:sz w:val="1"/>
                <w:szCs w:val="1"/>
                <w:color w:val="auto"/>
              </w:rPr>
            </w:pPr>
          </w:p>
        </w:tc>
      </w:tr>
      <w:tr>
        <w:trPr>
          <w:trHeight w:val="128"/>
        </w:trPr>
        <w:tc>
          <w:tcPr>
            <w:tcW w:w="7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Unrealized loss on investment securities measured at fair value through other comprehensive income, net</w:t>
            </w: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(1,108)</w:t>
            </w:r>
          </w:p>
        </w:tc>
        <w:tc>
          <w:tcPr>
            <w:tcW w:w="8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31"/>
        </w:trPr>
        <w:tc>
          <w:tcPr>
            <w:tcW w:w="7120" w:type="dxa"/>
            <w:vAlign w:val="bottom"/>
            <w:gridSpan w:val="2"/>
          </w:tcPr>
          <w:p>
            <w:pPr>
              <w:spacing w:after="0"/>
              <w:rPr>
                <w:sz w:val="20"/>
                <w:szCs w:val="20"/>
                <w:color w:val="auto"/>
              </w:rPr>
            </w:pPr>
            <w:r>
              <w:rPr>
                <w:rFonts w:ascii="Arial" w:cs="Arial" w:eastAsia="Arial" w:hAnsi="Arial"/>
                <w:sz w:val="10"/>
                <w:szCs w:val="10"/>
                <w:color w:val="auto"/>
              </w:rPr>
              <w:t>Total loss on investment securities, net</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(2,670)</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(8,213)</w:t>
            </w:r>
          </w:p>
        </w:tc>
        <w:tc>
          <w:tcPr>
            <w:tcW w:w="80" w:type="dxa"/>
            <w:vAlign w:val="bottom"/>
          </w:tcPr>
          <w:p>
            <w:pPr>
              <w:spacing w:after="0"/>
              <w:rPr>
                <w:sz w:val="11"/>
                <w:szCs w:val="11"/>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Amounts exclude gain (loss) on TBA securities, which are reported in gain (loss) on derivative instruments and other securities, net in our Consolidated Statements of Comprehensive Income.</w:t>
      </w:r>
    </w:p>
    <w:p>
      <w:pPr>
        <w:ind w:left="420" w:hanging="212"/>
        <w:spacing w:after="0"/>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Investment securities acquired after fiscal year 2016 are measured at fair value through net income (see Note 2 of our Consolidated Financial Statements in this Form 10-Q).</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i w:val="1"/>
          <w:iCs w:val="1"/>
          <w:color w:val="auto"/>
        </w:rPr>
        <w:t>Gain (Loss) on Derivative Instruments and Other Securities, Net</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is a summary of our gain (loss) on derivative instruments and other securities, net for the three and nine months ended September 30, 2022 and 2021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2020" w:type="dxa"/>
            <w:vAlign w:val="bottom"/>
            <w:gridSpan w:val="6"/>
            <w:vMerge w:val="restart"/>
          </w:tcPr>
          <w:p>
            <w:pPr>
              <w:ind w:left="220"/>
              <w:spacing w:after="0"/>
              <w:rPr>
                <w:sz w:val="20"/>
                <w:szCs w:val="20"/>
                <w:color w:val="auto"/>
              </w:rPr>
            </w:pPr>
            <w:r>
              <w:rPr>
                <w:rFonts w:ascii="Arial" w:cs="Arial" w:eastAsia="Arial" w:hAnsi="Arial"/>
                <w:sz w:val="10"/>
                <w:szCs w:val="10"/>
                <w:b w:val="1"/>
                <w:bCs w:val="1"/>
                <w:color w:val="auto"/>
              </w:rPr>
              <w:t>Three Months Ended September 30,</w:t>
            </w:r>
          </w:p>
        </w:tc>
        <w:tc>
          <w:tcPr>
            <w:tcW w:w="22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260" w:type="dxa"/>
            <w:vAlign w:val="bottom"/>
          </w:tcPr>
          <w:p>
            <w:pPr>
              <w:spacing w:after="0"/>
              <w:rPr>
                <w:sz w:val="11"/>
                <w:szCs w:val="11"/>
                <w:color w:val="auto"/>
              </w:rPr>
            </w:pPr>
          </w:p>
        </w:tc>
        <w:tc>
          <w:tcPr>
            <w:tcW w:w="202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September 30,</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26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3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2022</w:t>
            </w:r>
          </w:p>
        </w:tc>
        <w:tc>
          <w:tcPr>
            <w:tcW w:w="6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80"/>
              </w:rPr>
              <w:t>2021</w:t>
            </w:r>
          </w:p>
        </w:tc>
        <w:tc>
          <w:tcPr>
            <w:tcW w:w="0" w:type="dxa"/>
            <w:vAlign w:val="bottom"/>
          </w:tcPr>
          <w:p>
            <w:pPr>
              <w:spacing w:after="0"/>
              <w:rPr>
                <w:sz w:val="1"/>
                <w:szCs w:val="1"/>
                <w:color w:val="auto"/>
              </w:rPr>
            </w:pPr>
          </w:p>
        </w:tc>
      </w:tr>
      <w:tr>
        <w:trPr>
          <w:trHeight w:val="130"/>
        </w:trPr>
        <w:tc>
          <w:tcPr>
            <w:tcW w:w="726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TBA securities, dollar roll income</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453</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w:t>
            </w:r>
          </w:p>
        </w:tc>
        <w:tc>
          <w:tcPr>
            <w:tcW w:w="0" w:type="dxa"/>
            <w:vAlign w:val="bottom"/>
          </w:tcPr>
          <w:p>
            <w:pPr>
              <w:spacing w:after="0"/>
              <w:rPr>
                <w:sz w:val="1"/>
                <w:szCs w:val="1"/>
                <w:color w:val="auto"/>
              </w:rPr>
            </w:pPr>
          </w:p>
        </w:tc>
      </w:tr>
      <w:tr>
        <w:trPr>
          <w:trHeight w:val="128"/>
        </w:trPr>
        <w:tc>
          <w:tcPr>
            <w:tcW w:w="7260" w:type="dxa"/>
            <w:vAlign w:val="bottom"/>
          </w:tcPr>
          <w:p>
            <w:pPr>
              <w:spacing w:after="0"/>
              <w:rPr>
                <w:sz w:val="20"/>
                <w:szCs w:val="20"/>
                <w:color w:val="auto"/>
              </w:rPr>
            </w:pPr>
            <w:r>
              <w:rPr>
                <w:rFonts w:ascii="Arial" w:cs="Arial" w:eastAsia="Arial" w:hAnsi="Arial"/>
                <w:sz w:val="10"/>
                <w:szCs w:val="10"/>
                <w:color w:val="auto"/>
              </w:rPr>
              <w:t>TBA securities, mark-to-market loss</w:t>
            </w:r>
          </w:p>
        </w:tc>
        <w:tc>
          <w:tcPr>
            <w:tcW w:w="6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4"/>
              </w:rPr>
              <w:t>(1,311)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(3,483)</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(991)</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Arial" w:cs="Arial" w:eastAsia="Arial" w:hAnsi="Arial"/>
                <w:sz w:val="10"/>
                <w:szCs w:val="10"/>
                <w:color w:val="auto"/>
              </w:rPr>
              <w:t>Interest rate swaps, periodic cost</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28"/>
        </w:trPr>
        <w:tc>
          <w:tcPr>
            <w:tcW w:w="7260" w:type="dxa"/>
            <w:vAlign w:val="bottom"/>
          </w:tcPr>
          <w:p>
            <w:pPr>
              <w:spacing w:after="0"/>
              <w:rPr>
                <w:sz w:val="20"/>
                <w:szCs w:val="20"/>
                <w:color w:val="auto"/>
              </w:rPr>
            </w:pPr>
            <w:r>
              <w:rPr>
                <w:rFonts w:ascii="Arial" w:cs="Arial" w:eastAsia="Arial" w:hAnsi="Arial"/>
                <w:sz w:val="10"/>
                <w:szCs w:val="10"/>
                <w:color w:val="auto"/>
              </w:rPr>
              <w:t>Interest rate swaps, mark-to-market gain</w:t>
            </w:r>
          </w:p>
        </w:tc>
        <w:tc>
          <w:tcPr>
            <w:tcW w:w="600" w:type="dxa"/>
            <w:vAlign w:val="bottom"/>
          </w:tcPr>
          <w:p>
            <w:pPr>
              <w:spacing w:after="0"/>
              <w:rPr>
                <w:sz w:val="11"/>
                <w:szCs w:val="11"/>
                <w:color w:val="auto"/>
              </w:rPr>
            </w:pP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1,253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3,993</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825</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Arial" w:cs="Arial" w:eastAsia="Arial" w:hAnsi="Arial"/>
                <w:sz w:val="10"/>
                <w:szCs w:val="10"/>
                <w:color w:val="auto"/>
              </w:rPr>
              <w:t>Credit default swaps - CDX IG - buy protection</w:t>
            </w:r>
          </w:p>
        </w:tc>
        <w:tc>
          <w:tcPr>
            <w:tcW w:w="6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7260" w:type="dxa"/>
            <w:vAlign w:val="bottom"/>
          </w:tcPr>
          <w:p>
            <w:pPr>
              <w:spacing w:after="0"/>
              <w:rPr>
                <w:sz w:val="20"/>
                <w:szCs w:val="20"/>
                <w:color w:val="auto"/>
              </w:rPr>
            </w:pPr>
            <w:r>
              <w:rPr>
                <w:rFonts w:ascii="Arial" w:cs="Arial" w:eastAsia="Arial" w:hAnsi="Arial"/>
                <w:sz w:val="10"/>
                <w:szCs w:val="10"/>
                <w:color w:val="auto"/>
              </w:rPr>
              <w:t>Payer swaptions</w:t>
            </w:r>
          </w:p>
        </w:tc>
        <w:tc>
          <w:tcPr>
            <w:tcW w:w="600" w:type="dxa"/>
            <w:vAlign w:val="bottom"/>
          </w:tcPr>
          <w:p>
            <w:pPr>
              <w:spacing w:after="0"/>
              <w:rPr>
                <w:sz w:val="11"/>
                <w:szCs w:val="11"/>
                <w:color w:val="auto"/>
              </w:rPr>
            </w:pP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194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866</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Arial" w:cs="Arial" w:eastAsia="Arial" w:hAnsi="Arial"/>
                <w:sz w:val="10"/>
                <w:szCs w:val="10"/>
                <w:color w:val="auto"/>
              </w:rPr>
              <w:t>U.S. Treasury securities - short position</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128"/>
        </w:trPr>
        <w:tc>
          <w:tcPr>
            <w:tcW w:w="7260" w:type="dxa"/>
            <w:vAlign w:val="bottom"/>
          </w:tcPr>
          <w:p>
            <w:pPr>
              <w:spacing w:after="0"/>
              <w:rPr>
                <w:sz w:val="20"/>
                <w:szCs w:val="20"/>
                <w:color w:val="auto"/>
              </w:rPr>
            </w:pPr>
            <w:r>
              <w:rPr>
                <w:rFonts w:ascii="Arial" w:cs="Arial" w:eastAsia="Arial" w:hAnsi="Arial"/>
                <w:sz w:val="10"/>
                <w:szCs w:val="10"/>
                <w:color w:val="auto"/>
              </w:rPr>
              <w:t>U.S. Treasury securities - long position</w:t>
            </w:r>
          </w:p>
        </w:tc>
        <w:tc>
          <w:tcPr>
            <w:tcW w:w="6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Arial" w:cs="Arial" w:eastAsia="Arial" w:hAnsi="Arial"/>
                <w:sz w:val="10"/>
                <w:szCs w:val="10"/>
                <w:color w:val="auto"/>
              </w:rPr>
              <w:t>U.S. Treasury futures contracts - short position</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483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28"/>
        </w:trPr>
        <w:tc>
          <w:tcPr>
            <w:tcW w:w="72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w:t>
            </w:r>
          </w:p>
        </w:tc>
        <w:tc>
          <w:tcPr>
            <w:tcW w:w="6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4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gain (loss) on derivative instruments and other securities, net</w:t>
            </w: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1,474</w:t>
            </w: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4,474</w:t>
            </w:r>
          </w:p>
        </w:tc>
        <w:tc>
          <w:tcPr>
            <w:tcW w:w="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further details regarding our use of derivative instruments and related activity refer to Notes 2 and 5 of our Consolidated Financial Statements in this Form 10-Q.</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Estimated Taxable Income (Loss)</w:t>
      </w:r>
    </w:p>
    <w:p>
      <w:pPr>
        <w:spacing w:after="0" w:line="114" w:lineRule="exact"/>
        <w:rPr>
          <w:sz w:val="20"/>
          <w:szCs w:val="20"/>
          <w:color w:val="auto"/>
        </w:rPr>
      </w:pPr>
    </w:p>
    <w:p>
      <w:pPr>
        <w:jc w:val="both"/>
        <w:ind w:firstLine="297"/>
        <w:spacing w:after="0" w:line="316" w:lineRule="auto"/>
        <w:rPr>
          <w:sz w:val="20"/>
          <w:szCs w:val="20"/>
          <w:color w:val="auto"/>
        </w:rPr>
      </w:pPr>
      <w:r>
        <w:rPr>
          <w:rFonts w:ascii="Arial" w:cs="Arial" w:eastAsia="Arial" w:hAnsi="Arial"/>
          <w:sz w:val="10"/>
          <w:szCs w:val="10"/>
          <w:color w:val="auto"/>
        </w:rPr>
        <w:t>For the three months ended September 30, 2022 and 2021, we had estimated taxable income (loss) attributed to common stockholders of $174 million and $45 million, respectively, or $0.33 and $0.09 per diluted common share, respectively. For the nine months ended September 30, 2022 and 2021, we had estimated taxable income (loss) attributed to common stockholders of $153 million and $(277) million, respectively, or $0.29 and $(0.52)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color w:val="auto"/>
        </w:rPr>
        <w:t>reconciliation of our GAAP net income to our estimated taxable income (loss) for the three and nine months ended September 30, 2022 and 2021 (dollars in millions, except per share amounts):</w:t>
      </w:r>
    </w:p>
    <w:p>
      <w:pPr>
        <w:spacing w:after="0" w:line="71" w:lineRule="exact"/>
        <w:rPr>
          <w:sz w:val="20"/>
          <w:szCs w:val="20"/>
          <w:color w:val="auto"/>
        </w:rPr>
      </w:pPr>
    </w:p>
    <w:tbl>
      <w:tblPr>
        <w:tblLayout w:type="fixed"/>
        <w:tblInd w:w="400" w:type="dxa"/>
        <w:tblCellMar>
          <w:top w:w="0" w:type="dxa"/>
          <w:left w:w="0" w:type="dxa"/>
          <w:bottom w:w="0" w:type="dxa"/>
          <w:right w:w="0" w:type="dxa"/>
        </w:tblCellMar>
      </w:tblPr>
      <w:tr>
        <w:trPr>
          <w:trHeight w:val="115"/>
        </w:trPr>
        <w:tc>
          <w:tcPr>
            <w:tcW w:w="6540" w:type="dxa"/>
            <w:vAlign w:val="bottom"/>
          </w:tcPr>
          <w:p>
            <w:pPr>
              <w:spacing w:after="0"/>
              <w:rPr>
                <w:sz w:val="10"/>
                <w:szCs w:val="10"/>
                <w:color w:val="auto"/>
              </w:rPr>
            </w:pPr>
          </w:p>
        </w:tc>
        <w:tc>
          <w:tcPr>
            <w:tcW w:w="2020" w:type="dxa"/>
            <w:vAlign w:val="bottom"/>
            <w:gridSpan w:val="6"/>
            <w:vMerge w:val="restart"/>
          </w:tcPr>
          <w:p>
            <w:pPr>
              <w:ind w:left="220"/>
              <w:spacing w:after="0"/>
              <w:rPr>
                <w:sz w:val="20"/>
                <w:szCs w:val="20"/>
                <w:color w:val="auto"/>
              </w:rPr>
            </w:pPr>
            <w:r>
              <w:rPr>
                <w:rFonts w:ascii="Arial" w:cs="Arial" w:eastAsia="Arial" w:hAnsi="Arial"/>
                <w:sz w:val="10"/>
                <w:szCs w:val="10"/>
                <w:b w:val="1"/>
                <w:bCs w:val="1"/>
                <w:color w:val="auto"/>
              </w:rPr>
              <w:t>Three Months Ended September 30,</w:t>
            </w:r>
          </w:p>
        </w:tc>
        <w:tc>
          <w:tcPr>
            <w:tcW w:w="200" w:type="dxa"/>
            <w:vAlign w:val="bottom"/>
          </w:tcPr>
          <w:p>
            <w:pPr>
              <w:spacing w:after="0"/>
              <w:rPr>
                <w:sz w:val="10"/>
                <w:szCs w:val="10"/>
                <w:color w:val="auto"/>
              </w:rPr>
            </w:pPr>
          </w:p>
        </w:tc>
        <w:tc>
          <w:tcPr>
            <w:tcW w:w="1740" w:type="dxa"/>
            <w:vAlign w:val="bottom"/>
            <w:gridSpan w:val="4"/>
          </w:tcPr>
          <w:p>
            <w:pPr>
              <w:jc w:val="right"/>
              <w:ind w:right="51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202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September 30,</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54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30"/>
        </w:trPr>
        <w:tc>
          <w:tcPr>
            <w:tcW w:w="65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 (loss)</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776</w:t>
            </w:r>
          </w:p>
        </w:tc>
        <w:tc>
          <w:tcPr>
            <w:tcW w:w="0" w:type="dxa"/>
            <w:vAlign w:val="bottom"/>
          </w:tcPr>
          <w:p>
            <w:pPr>
              <w:spacing w:after="0"/>
              <w:rPr>
                <w:sz w:val="1"/>
                <w:szCs w:val="1"/>
                <w:color w:val="auto"/>
              </w:rPr>
            </w:pPr>
          </w:p>
        </w:tc>
      </w:tr>
      <w:tr>
        <w:trPr>
          <w:trHeight w:val="128"/>
        </w:trPr>
        <w:tc>
          <w:tcPr>
            <w:tcW w:w="6540" w:type="dxa"/>
            <w:vAlign w:val="bottom"/>
          </w:tcPr>
          <w:p>
            <w:pPr>
              <w:spacing w:after="0"/>
              <w:rPr>
                <w:sz w:val="20"/>
                <w:szCs w:val="20"/>
                <w:color w:val="auto"/>
              </w:rPr>
            </w:pPr>
            <w:r>
              <w:rPr>
                <w:rFonts w:ascii="Arial" w:cs="Arial" w:eastAsia="Arial" w:hAnsi="Arial"/>
                <w:sz w:val="10"/>
                <w:szCs w:val="10"/>
                <w:color w:val="auto"/>
              </w:rPr>
              <w:t>Book to tax differences: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Premium amortization, net</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w:t>
            </w:r>
          </w:p>
        </w:tc>
        <w:tc>
          <w:tcPr>
            <w:tcW w:w="0" w:type="dxa"/>
            <w:vAlign w:val="bottom"/>
          </w:tcPr>
          <w:p>
            <w:pPr>
              <w:spacing w:after="0"/>
              <w:rPr>
                <w:sz w:val="1"/>
                <w:szCs w:val="1"/>
                <w:color w:val="auto"/>
              </w:rPr>
            </w:pPr>
          </w:p>
        </w:tc>
      </w:tr>
      <w:tr>
        <w:trPr>
          <w:trHeight w:val="128"/>
        </w:trPr>
        <w:tc>
          <w:tcPr>
            <w:tcW w:w="6540" w:type="dxa"/>
            <w:vAlign w:val="bottom"/>
          </w:tcPr>
          <w:p>
            <w:pPr>
              <w:ind w:left="100"/>
              <w:spacing w:after="0"/>
              <w:rPr>
                <w:sz w:val="20"/>
                <w:szCs w:val="20"/>
                <w:color w:val="auto"/>
              </w:rPr>
            </w:pPr>
            <w:r>
              <w:rPr>
                <w:rFonts w:ascii="Arial" w:cs="Arial" w:eastAsia="Arial" w:hAnsi="Arial"/>
                <w:sz w:val="10"/>
                <w:szCs w:val="10"/>
                <w:color w:val="auto"/>
              </w:rPr>
              <w:t>Realized gain/loss, net</w:t>
            </w: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88"/>
              </w:rPr>
              <w:t>(1,454)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(342)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(5,029)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(1,793)</w:t>
            </w:r>
          </w:p>
        </w:tc>
        <w:tc>
          <w:tcPr>
            <w:tcW w:w="0" w:type="dxa"/>
            <w:vAlign w:val="bottom"/>
          </w:tcPr>
          <w:p>
            <w:pPr>
              <w:spacing w:after="0"/>
              <w:rPr>
                <w:sz w:val="1"/>
                <w:szCs w:val="1"/>
                <w:color w:val="auto"/>
              </w:rPr>
            </w:pPr>
          </w:p>
        </w:tc>
      </w:tr>
      <w:tr>
        <w:trPr>
          <w:trHeight w:val="142"/>
        </w:trPr>
        <w:tc>
          <w:tcPr>
            <w:tcW w:w="6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capital loss/(utilization of net capital loss carryforward)</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2,887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6540" w:type="dxa"/>
            <w:vAlign w:val="bottom"/>
          </w:tcPr>
          <w:p>
            <w:pPr>
              <w:ind w:left="100"/>
              <w:spacing w:after="0"/>
              <w:rPr>
                <w:sz w:val="20"/>
                <w:szCs w:val="20"/>
                <w:color w:val="auto"/>
              </w:rPr>
            </w:pPr>
            <w:r>
              <w:rPr>
                <w:rFonts w:ascii="Arial" w:cs="Arial" w:eastAsia="Arial" w:hAnsi="Arial"/>
                <w:sz w:val="10"/>
                <w:szCs w:val="10"/>
                <w:color w:val="auto"/>
              </w:rPr>
              <w:t>Unrealized loss, net</w:t>
            </w: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2,034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358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4,406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1,055</w:t>
            </w:r>
          </w:p>
        </w:tc>
        <w:tc>
          <w:tcPr>
            <w:tcW w:w="0" w:type="dxa"/>
            <w:vAlign w:val="bottom"/>
          </w:tcPr>
          <w:p>
            <w:pPr>
              <w:spacing w:after="0"/>
              <w:rPr>
                <w:sz w:val="1"/>
                <w:szCs w:val="1"/>
                <w:color w:val="auto"/>
              </w:rPr>
            </w:pPr>
          </w:p>
        </w:tc>
      </w:tr>
      <w:tr>
        <w:trPr>
          <w:trHeight w:val="142"/>
        </w:trPr>
        <w:tc>
          <w:tcPr>
            <w:tcW w:w="65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w:t>
            </w:r>
          </w:p>
        </w:tc>
        <w:tc>
          <w:tcPr>
            <w:tcW w:w="6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17"/>
        </w:trPr>
        <w:tc>
          <w:tcPr>
            <w:tcW w:w="6540" w:type="dxa"/>
            <w:vAlign w:val="bottom"/>
            <w:tcBorders>
              <w:bottom w:val="single" w:sz="8" w:color="CCEEFF"/>
            </w:tcBorders>
          </w:tcPr>
          <w:p>
            <w:pPr>
              <w:ind w:left="360"/>
              <w:spacing w:after="0" w:line="107" w:lineRule="exact"/>
              <w:rPr>
                <w:sz w:val="20"/>
                <w:szCs w:val="20"/>
                <w:color w:val="auto"/>
              </w:rPr>
            </w:pPr>
            <w:r>
              <w:rPr>
                <w:rFonts w:ascii="Arial" w:cs="Arial" w:eastAsia="Arial" w:hAnsi="Arial"/>
                <w:sz w:val="10"/>
                <w:szCs w:val="10"/>
                <w:color w:val="auto"/>
              </w:rPr>
              <w:t>Total book to tax differences</w:t>
            </w: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916</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1,980</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(1,053)</w:t>
            </w:r>
          </w:p>
        </w:tc>
        <w:tc>
          <w:tcPr>
            <w:tcW w:w="0" w:type="dxa"/>
            <w:vAlign w:val="bottom"/>
          </w:tcPr>
          <w:p>
            <w:pPr>
              <w:spacing w:after="0"/>
              <w:rPr>
                <w:sz w:val="1"/>
                <w:szCs w:val="1"/>
                <w:color w:val="auto"/>
              </w:rPr>
            </w:pPr>
          </w:p>
        </w:tc>
      </w:tr>
      <w:tr>
        <w:trPr>
          <w:trHeight w:val="131"/>
        </w:trPr>
        <w:tc>
          <w:tcPr>
            <w:tcW w:w="654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REIT taxable income (loss)</w:t>
            </w: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w:t>
            </w:r>
          </w:p>
        </w:tc>
        <w:tc>
          <w:tcPr>
            <w:tcW w:w="0" w:type="dxa"/>
            <w:vAlign w:val="bottom"/>
          </w:tcPr>
          <w:p>
            <w:pPr>
              <w:spacing w:after="0"/>
              <w:rPr>
                <w:sz w:val="1"/>
                <w:szCs w:val="1"/>
                <w:color w:val="auto"/>
              </w:rPr>
            </w:pPr>
          </w:p>
        </w:tc>
      </w:tr>
      <w:tr>
        <w:trPr>
          <w:trHeight w:val="128"/>
        </w:trPr>
        <w:tc>
          <w:tcPr>
            <w:tcW w:w="6540" w:type="dxa"/>
            <w:vAlign w:val="bottom"/>
          </w:tcPr>
          <w:p>
            <w:pPr>
              <w:ind w:left="100"/>
              <w:spacing w:after="0"/>
              <w:rPr>
                <w:sz w:val="20"/>
                <w:szCs w:val="20"/>
                <w:color w:val="auto"/>
              </w:rPr>
            </w:pPr>
            <w:r>
              <w:rPr>
                <w:rFonts w:ascii="Arial" w:cs="Arial" w:eastAsia="Arial" w:hAnsi="Arial"/>
                <w:sz w:val="10"/>
                <w:szCs w:val="10"/>
                <w:color w:val="auto"/>
              </w:rPr>
              <w:t>REIT taxable income attributed to preferred stock</w:t>
            </w: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REIT taxable income (loss) attributed to common stock</w:t>
            </w: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(277)</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Weighted average common shares outstanding - basic</w:t>
            </w: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528.7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526.7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526.4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529.0</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Weighted average common shares outstanding - diluted</w:t>
            </w:r>
          </w:p>
        </w:tc>
        <w:tc>
          <w:tcPr>
            <w:tcW w:w="6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529.8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528.6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527.5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529.0</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REIT taxable income (loss) per common share - basic</w:t>
            </w: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REIT taxable income (loss) per common share - diluted</w:t>
            </w: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0.33</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spacing w:after="0"/>
              <w:rPr>
                <w:sz w:val="20"/>
                <w:szCs w:val="20"/>
                <w:color w:val="auto"/>
              </w:rPr>
            </w:pPr>
            <w:r>
              <w:rPr>
                <w:rFonts w:ascii="Arial" w:cs="Arial" w:eastAsia="Arial" w:hAnsi="Arial"/>
                <w:sz w:val="10"/>
                <w:szCs w:val="10"/>
                <w:color w:val="auto"/>
              </w:rPr>
              <w:t>Beginning net capital loss carryforward</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65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Increase (decrease) in net capital loss carryforward</w:t>
            </w: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2,887</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54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Ending net capital loss carryforward</w:t>
            </w: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2,887</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2,887</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6540" w:type="dxa"/>
            <w:vAlign w:val="bottom"/>
          </w:tcPr>
          <w:p>
            <w:pPr>
              <w:spacing w:after="0"/>
              <w:rPr>
                <w:sz w:val="20"/>
                <w:szCs w:val="20"/>
                <w:color w:val="auto"/>
              </w:rPr>
            </w:pPr>
            <w:r>
              <w:rPr>
                <w:rFonts w:ascii="Arial" w:cs="Arial" w:eastAsia="Arial" w:hAnsi="Arial"/>
                <w:sz w:val="10"/>
                <w:szCs w:val="10"/>
                <w:color w:val="auto"/>
              </w:rPr>
              <w:t>Ending net capital loss carryforward per common share</w:t>
            </w:r>
          </w:p>
        </w:tc>
        <w:tc>
          <w:tcPr>
            <w:tcW w:w="6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5.24</w:t>
            </w:r>
          </w:p>
        </w:tc>
        <w:tc>
          <w:tcPr>
            <w:tcW w:w="80" w:type="dxa"/>
            <w:vAlign w:val="bottom"/>
          </w:tcPr>
          <w:p>
            <w:pPr>
              <w:spacing w:after="0"/>
              <w:rPr>
                <w:sz w:val="10"/>
                <w:szCs w:val="10"/>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5.24</w:t>
            </w: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00"/>
          </w:cols>
          <w:pgMar w:left="300" w:top="752" w:right="6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Arial" w:cs="Arial" w:eastAsia="Arial" w:hAnsi="Arial"/>
          <w:sz w:val="11"/>
          <w:szCs w:val="11"/>
          <w:i w:val="1"/>
          <w:iCs w:val="1"/>
          <w:color w:val="auto"/>
        </w:rPr>
        <w:t>Risk Factors</w:t>
      </w:r>
      <w:r>
        <w:rPr>
          <w:rFonts w:ascii="Arial" w:cs="Arial" w:eastAsia="Arial" w:hAnsi="Arial"/>
          <w:sz w:val="11"/>
          <w:szCs w:val="11"/>
          <w:color w:val="auto"/>
        </w:rPr>
        <w:t xml:space="preserve"> of our most recent Annual Report on Form 10-K and Item 3. </w:t>
      </w:r>
      <w:r>
        <w:rPr>
          <w:rFonts w:ascii="Arial" w:cs="Arial" w:eastAsia="Arial" w:hAnsi="Arial"/>
          <w:sz w:val="11"/>
          <w:szCs w:val="11"/>
          <w:i w:val="1"/>
          <w:iCs w:val="1"/>
          <w:color w:val="auto"/>
        </w:rPr>
        <w:t xml:space="preserve">Quantitative and Qualitative Disclosures of Market Risks </w:t>
      </w:r>
      <w:r>
        <w:rPr>
          <w:rFonts w:ascii="Arial" w:cs="Arial" w:eastAsia="Arial" w:hAnsi="Arial"/>
          <w:sz w:val="11"/>
          <w:szCs w:val="11"/>
          <w:color w:val="auto"/>
        </w:rPr>
        <w:t>in this Form 10-Q. In assessing our liquidity, we consider a number of factors, including our current leverage, collateral levels, access to capital markets, overall market</w:t>
      </w:r>
      <w:r>
        <w:rPr>
          <w:rFonts w:ascii="Arial" w:cs="Arial" w:eastAsia="Arial" w:hAnsi="Arial"/>
          <w:sz w:val="11"/>
          <w:szCs w:val="11"/>
          <w:i w:val="1"/>
          <w:iCs w:val="1"/>
          <w:color w:val="auto"/>
        </w:rPr>
        <w:t xml:space="preserve"> </w:t>
      </w:r>
      <w:r>
        <w:rPr>
          <w:rFonts w:ascii="Arial" w:cs="Arial" w:eastAsia="Arial" w:hAnsi="Arial"/>
          <w:sz w:val="11"/>
          <w:szCs w:val="11"/>
          <w:color w:val="auto"/>
        </w:rPr>
        <w:t>conditions, and the sensitivity of our tangible net book value over a range of scenarios. We believe that we have sufficient liquidity and capital resources available to meet our obligations and execute our business strategy.</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Leverage and Financing Sources</w:t>
      </w:r>
    </w:p>
    <w:p>
      <w:pPr>
        <w:spacing w:after="0" w:line="114"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1"/>
          <w:szCs w:val="11"/>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8.7x and 7.7x as of September 30, 2022 and December 31, 2021, respectively. The following table includes a summary of our mortgage borrowings outstanding as of September 30, 2022 and December 31, 2021 (dollars in millions). For additional details of our mortgage borrowings refer to Notes 2, 4 and 5 to our Consolidated Financial Statements in this Form 10-Q.</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0"/>
                <w:szCs w:val="10"/>
                <w:b w:val="1"/>
                <w:bCs w:val="1"/>
                <w:color w:val="auto"/>
                <w:w w:val="89"/>
              </w:rPr>
              <w:t>September 30, 2022</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w w:val="95"/>
              </w:rPr>
              <w:t>December 31, 2021</w:t>
            </w:r>
          </w:p>
        </w:tc>
        <w:tc>
          <w:tcPr>
            <w:tcW w:w="800" w:type="dxa"/>
            <w:vAlign w:val="bottom"/>
            <w:tcBorders>
              <w:bottom w:val="single" w:sz="8" w:color="auto"/>
            </w:tcBorders>
          </w:tcPr>
          <w:p>
            <w:pPr>
              <w:spacing w:after="0"/>
              <w:rPr>
                <w:sz w:val="11"/>
                <w:szCs w:val="11"/>
                <w:color w:val="auto"/>
              </w:rPr>
            </w:pPr>
          </w:p>
        </w:tc>
      </w:tr>
      <w:tr>
        <w:trPr>
          <w:trHeight w:val="129"/>
        </w:trPr>
        <w:tc>
          <w:tcPr>
            <w:tcW w:w="5960" w:type="dxa"/>
            <w:vAlign w:val="bottom"/>
            <w:gridSpan w:val="2"/>
          </w:tcPr>
          <w:p>
            <w:pPr>
              <w:ind w:left="20"/>
              <w:spacing w:after="0"/>
              <w:rPr>
                <w:sz w:val="20"/>
                <w:szCs w:val="20"/>
                <w:color w:val="auto"/>
              </w:rPr>
            </w:pPr>
            <w:r>
              <w:rPr>
                <w:rFonts w:ascii="Arial" w:cs="Arial" w:eastAsia="Arial" w:hAnsi="Arial"/>
                <w:sz w:val="10"/>
                <w:szCs w:val="10"/>
                <w:b w:val="1"/>
                <w:bCs w:val="1"/>
                <w:color w:val="auto"/>
              </w:rPr>
              <w:t>Mortgage Borrowings</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132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3"/>
          </w:tcPr>
          <w:p>
            <w:pPr>
              <w:ind w:left="200"/>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532"/>
              <w:spacing w:after="0"/>
              <w:rPr>
                <w:sz w:val="20"/>
                <w:szCs w:val="20"/>
                <w:color w:val="auto"/>
              </w:rPr>
            </w:pPr>
            <w:r>
              <w:rPr>
                <w:rFonts w:ascii="Arial" w:cs="Arial" w:eastAsia="Arial" w:hAnsi="Arial"/>
                <w:sz w:val="10"/>
                <w:szCs w:val="10"/>
                <w:b w:val="1"/>
                <w:bCs w:val="1"/>
                <w:color w:val="auto"/>
              </w:rPr>
              <w:t>%</w:t>
            </w:r>
          </w:p>
        </w:tc>
      </w:tr>
      <w:tr>
        <w:trPr>
          <w:trHeight w:val="130"/>
        </w:trPr>
        <w:tc>
          <w:tcPr>
            <w:tcW w:w="586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0"/>
                <w:szCs w:val="10"/>
                <w:color w:val="auto"/>
              </w:rPr>
              <w:t xml:space="preserve">Repurchase agreements </w:t>
            </w:r>
            <w:r>
              <w:rPr>
                <w:rFonts w:ascii="Arial" w:cs="Arial" w:eastAsia="Arial" w:hAnsi="Arial"/>
                <w:sz w:val="12"/>
                <w:szCs w:val="12"/>
                <w:color w:val="auto"/>
                <w:vertAlign w:val="superscript"/>
              </w:rPr>
              <w:t>1,2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39,071</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67 %</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46,911</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63 %</w:t>
            </w:r>
          </w:p>
        </w:tc>
      </w:tr>
      <w:tr>
        <w:trPr>
          <w:trHeight w:val="128"/>
        </w:trPr>
        <w:tc>
          <w:tcPr>
            <w:tcW w:w="5960" w:type="dxa"/>
            <w:vAlign w:val="bottom"/>
            <w:gridSpan w:val="2"/>
          </w:tcPr>
          <w:p>
            <w:pPr>
              <w:ind w:left="20"/>
              <w:spacing w:after="0"/>
              <w:rPr>
                <w:sz w:val="20"/>
                <w:szCs w:val="20"/>
                <w:color w:val="auto"/>
              </w:rPr>
            </w:pPr>
            <w:r>
              <w:rPr>
                <w:rFonts w:ascii="Arial" w:cs="Arial" w:eastAsia="Arial" w:hAnsi="Arial"/>
                <w:sz w:val="10"/>
                <w:szCs w:val="10"/>
                <w:color w:val="auto"/>
              </w:rPr>
              <w:t>Debt of consolidated variable interest entities, at fair value</w:t>
            </w:r>
          </w:p>
        </w:tc>
        <w:tc>
          <w:tcPr>
            <w:tcW w:w="8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98</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 %</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 %</w:t>
            </w:r>
          </w:p>
        </w:tc>
      </w:tr>
      <w:tr>
        <w:trPr>
          <w:trHeight w:val="131"/>
        </w:trPr>
        <w:tc>
          <w:tcPr>
            <w:tcW w:w="5960" w:type="dxa"/>
            <w:vAlign w:val="bottom"/>
            <w:tcBorders>
              <w:top w:val="single" w:sz="8" w:color="CCEEFF"/>
            </w:tcBorders>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Total debt</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39,169</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67 %</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47,037</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63 %</w:t>
            </w:r>
          </w:p>
        </w:tc>
      </w:tr>
      <w:tr>
        <w:trPr>
          <w:trHeight w:val="128"/>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TBA and forward settling non-Agency securities, at cost</w:t>
            </w: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19,116</w:t>
            </w: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33 %</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27,622</w:t>
            </w: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37 %</w:t>
            </w:r>
          </w:p>
        </w:tc>
      </w:tr>
      <w:tr>
        <w:trPr>
          <w:trHeight w:val="147"/>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mortgage borrowings</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58,285</w:t>
            </w: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74,659</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100 %</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As of September 30, 2022 and December 31, 2021, 48% and 42%, respectively, of our repurchase agreements were funded through the Fixed Income Clearing Corporation's GCF Repo service.</w:t>
      </w:r>
    </w:p>
    <w:p>
      <w:pPr>
        <w:ind w:left="420" w:hanging="212"/>
        <w:spacing w:after="0"/>
        <w:tabs>
          <w:tab w:leader="none" w:pos="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Amounts exclude U.S. Treasury repurchase agreements.</w:t>
      </w:r>
    </w:p>
    <w:p>
      <w:pPr>
        <w:spacing w:after="0" w:line="10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8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8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i w:val="1"/>
          <w:iCs w:val="1"/>
          <w:color w:val="auto"/>
        </w:rPr>
        <w:t>Collateral Requirements and Unencumbered Assets</w:t>
      </w:r>
    </w:p>
    <w:p>
      <w:pPr>
        <w:spacing w:after="0" w:line="114"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88"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1"/>
          <w:szCs w:val="11"/>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September 30, 2022, we had met all our margin requirements.</w:t>
      </w:r>
    </w:p>
    <w:p>
      <w:pPr>
        <w:spacing w:after="0" w:line="77"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2"/>
          <w:szCs w:val="12"/>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September 30, 2022, approximately 29% our investment portfolio consisted of TBA securities, which are not subject to monthly principal pay-downs. The remainder of our portfolio, primarily consisted of Agency RMBS, which had an average one-year CPR forecast of 5%.</w:t>
      </w:r>
    </w:p>
    <w:p>
      <w:pPr>
        <w:spacing w:after="0" w:line="94" w:lineRule="exact"/>
        <w:rPr>
          <w:sz w:val="20"/>
          <w:szCs w:val="20"/>
          <w:color w:val="auto"/>
        </w:rPr>
      </w:pPr>
    </w:p>
    <w:p>
      <w:pPr>
        <w:jc w:val="both"/>
        <w:ind w:firstLine="297"/>
        <w:spacing w:after="0" w:line="283" w:lineRule="auto"/>
        <w:rPr>
          <w:sz w:val="20"/>
          <w:szCs w:val="20"/>
          <w:color w:val="auto"/>
        </w:rPr>
      </w:pPr>
      <w:r>
        <w:rPr>
          <w:rFonts w:ascii="Arial" w:cs="Arial" w:eastAsia="Arial" w:hAnsi="Arial"/>
          <w:sz w:val="11"/>
          <w:szCs w:val="11"/>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77"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Haircut levels and minimum margin requirements imposed by our counterparties reduce the amount of our unencumbered assets and limit the amount we can borrow against our investment securities. During the nine months ended September 30, 2022, haircuts on our repo funding arrangements remained stable. As of September 30, 2022, the weighted average haircut on our repurchase agreements was approximately 3.9% of the value of our collateral, compared to 3.8% as of December 31, 2021.</w:t>
      </w:r>
    </w:p>
    <w:p>
      <w:pPr>
        <w:spacing w:after="0" w:line="86"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1"/>
          <w:szCs w:val="11"/>
          <w:color w:val="auto"/>
        </w:rPr>
        <w:t>To mitigate the risk of margins calls, we seek to maintain excess liquidity by holding unencumbered liquid assets that can be used to satisfy collateral requirements, collateralize additional borrowings or sold for cash. As of September 30, 2022, our unencumbered assets totaled approximately $3.7 billion, or 56% of tangible equity, consisting of $3.6 billion of unencumbered cash and Agency RMBS and $0.1 billion of unencumbered credit assets. This compares to $6.5 billion of unencumbered assets, or 67% of tangible equity, as of December 31, 2021, consisting of $5.8 billion of unencumbered cash and Agency RMBS and $0.7 billion of unencumbered credit assets.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Counterparty Risk</w:t>
      </w:r>
    </w:p>
    <w:p>
      <w:pPr>
        <w:spacing w:after="0" w:line="114" w:lineRule="exact"/>
        <w:rPr>
          <w:sz w:val="20"/>
          <w:szCs w:val="20"/>
          <w:color w:val="auto"/>
        </w:rPr>
      </w:pPr>
    </w:p>
    <w:p>
      <w:pPr>
        <w:jc w:val="both"/>
        <w:ind w:right="20" w:firstLine="297"/>
        <w:spacing w:after="0" w:line="276" w:lineRule="auto"/>
        <w:rPr>
          <w:sz w:val="20"/>
          <w:szCs w:val="20"/>
          <w:color w:val="auto"/>
        </w:rPr>
      </w:pPr>
      <w:r>
        <w:rPr>
          <w:rFonts w:ascii="Arial" w:cs="Arial" w:eastAsia="Arial" w:hAnsi="Arial"/>
          <w:sz w:val="12"/>
          <w:szCs w:val="12"/>
          <w:color w:val="auto"/>
        </w:rPr>
        <w:t>Collateral requirements imposed by counterparties subject us to the risk that the counterparty does not return pledged assets to us as and when required. We attempt to manage this risk by monitoring our collateral positions and limiting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auto"/>
        </w:rPr>
        <w:t>counterparties to registered clearinghouses and major financial institutions with acceptable credit ratings. We also diversify our funding across multiple counterparties and by region.</w:t>
      </w:r>
    </w:p>
    <w:p>
      <w:pPr>
        <w:spacing w:after="0" w:line="114"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As of September 30, 2022, our maximum amount at risk (or the excess/shortfall of the value of collateral pledged/received over our repurchase agreement liabilities/reverse repurchase agreement receivables) with any of our repurchase agreement counterparties, excluding the FICC, was less than 3% of our tangible stockholders' equity, with our top five repo counterparties, excluding the FICC, representing approximately 6% of our tangible stockholders' equity. As of September 30, 2022, approximately 7% of our tangible stockholder's equity was at risk with the FICC. Excluding central clearing exchanges, as of September 30, 2022, our amount at risk with any counterparty to our derivative agreements was less than 1% of our stockholders' equity.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Sales</w:t>
      </w:r>
    </w:p>
    <w:p>
      <w:pPr>
        <w:spacing w:after="0" w:line="114"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Arial" w:cs="Arial" w:eastAsia="Arial" w:hAnsi="Arial"/>
          <w:sz w:val="12"/>
          <w:szCs w:val="12"/>
          <w:i w:val="1"/>
          <w:iCs w:val="1"/>
          <w:color w:val="auto"/>
        </w:rPr>
        <w:t>Trends and Recent Market Impacts</w:t>
      </w:r>
      <w:r>
        <w:rPr>
          <w:rFonts w:ascii="Arial" w:cs="Arial" w:eastAsia="Arial" w:hAnsi="Arial"/>
          <w:sz w:val="12"/>
          <w:szCs w:val="12"/>
          <w:color w:val="auto"/>
        </w:rPr>
        <w:t xml:space="preserve"> of this Management Discussion and Analysis for further information regarding Agency RMBS and TBA market conditions during the third quarter.</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Markets</w:t>
      </w:r>
    </w:p>
    <w:p>
      <w:pPr>
        <w:spacing w:after="0" w:line="114"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10 of our Consolidated Financial Statements in this Form 10-Q for further details regarding our recent equity capital transactions, if any.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18"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As of September 30, 2022,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2022, we had not guaranteed obligations of unconsolidated entities or entered into a commitment or intent to provide funding to such entities.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69" w:lineRule="exact"/>
        <w:rPr>
          <w:sz w:val="20"/>
          <w:szCs w:val="20"/>
          <w:color w:val="auto"/>
        </w:rPr>
      </w:pPr>
    </w:p>
    <w:p>
      <w:pPr>
        <w:jc w:val="both"/>
        <w:ind w:right="20" w:firstLine="270"/>
        <w:spacing w:after="0" w:line="323" w:lineRule="auto"/>
        <w:rPr>
          <w:sz w:val="20"/>
          <w:szCs w:val="20"/>
          <w:color w:val="auto"/>
        </w:rPr>
      </w:pPr>
      <w:r>
        <w:rPr>
          <w:rFonts w:ascii="Arial" w:cs="Arial" w:eastAsia="Arial" w:hAnsi="Arial"/>
          <w:sz w:val="11"/>
          <w:szCs w:val="11"/>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20" w:lineRule="exact"/>
        <w:rPr>
          <w:sz w:val="20"/>
          <w:szCs w:val="20"/>
          <w:color w:val="auto"/>
        </w:rPr>
      </w:pPr>
    </w:p>
    <w:p>
      <w:pPr>
        <w:ind w:left="420" w:right="20" w:hanging="158"/>
        <w:spacing w:after="0" w:line="276" w:lineRule="auto"/>
        <w:tabs>
          <w:tab w:leader="none" w:pos="417"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U.S. monetary policy or interest rates, including actions taken by the Federal Reserve to normalize monetary policy, to terminate its purchases of Agency RMBS and to reduce the size of its U.S. Treasury and Agency RMBS bond portfolio;</w:t>
      </w:r>
    </w:p>
    <w:p>
      <w:pPr>
        <w:spacing w:after="0" w:line="6" w:lineRule="exact"/>
        <w:rPr>
          <w:rFonts w:ascii="Arial" w:cs="Arial" w:eastAsia="Arial" w:hAnsi="Arial"/>
          <w:sz w:val="12"/>
          <w:szCs w:val="12"/>
          <w:color w:val="auto"/>
        </w:rPr>
      </w:pPr>
    </w:p>
    <w:p>
      <w:pPr>
        <w:ind w:left="420" w:hanging="15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fluctuations in the yield curve;</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fluctuations in mortgage prepayment rates on the loans underlying our Agency RMBS;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43" w:name="page44"/>
    <w:bookmarkEnd w:id="43"/>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availability and terms of financing;</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changes in the market value of our assets, including from changes in net interest spreads, and changes in market liquidity or depth;</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effectiveness of our risk mitigation strategies;</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conditions in the market for Agency RMBS and other mortgage securities;</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impact of the COVID-19 pandemic and of measures taken in response to the COVID-19 pandemic by various governmental authorities, businesses and other third parties;</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actions by the federal, state, or local governments to stabilize the economy, the housing sector or financial markets;</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changes to laws, regulations, rules or policies that affect U.S. housing finance activity, the GSE's or the markets for Agency RMBS</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legislative or regulatory changes that affect our status as a REIT, our exemption from the Investment Company Act of 1940 or the mortgage markets in which we participate; and</w:t>
      </w:r>
    </w:p>
    <w:p>
      <w:pPr>
        <w:spacing w:after="0" w:line="42" w:lineRule="exact"/>
        <w:rPr>
          <w:rFonts w:ascii="Arial" w:cs="Arial" w:eastAsia="Arial" w:hAnsi="Arial"/>
          <w:sz w:val="12"/>
          <w:szCs w:val="12"/>
          <w:color w:val="auto"/>
        </w:rPr>
      </w:pPr>
    </w:p>
    <w:p>
      <w:pPr>
        <w:ind w:left="420" w:hanging="15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other risks discussed under the heading “Risk Factors” herein and in our Annual Report on Form 10-K.</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2"/>
          <w:szCs w:val="12"/>
          <w:i w:val="1"/>
          <w:iCs w:val="1"/>
          <w:color w:val="auto"/>
        </w:rPr>
        <w:t>Risk Factors</w:t>
      </w:r>
      <w:r>
        <w:rPr>
          <w:rFonts w:ascii="Arial" w:cs="Arial" w:eastAsia="Arial" w:hAnsi="Arial"/>
          <w:sz w:val="12"/>
          <w:szCs w:val="12"/>
          <w:color w:val="auto"/>
        </w:rPr>
        <w:t>. We caution readers not to place undue reliance on our forward-looking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Quantitative and Qualitative Disclosures about Market Risk</w:t>
      </w:r>
    </w:p>
    <w:p>
      <w:pPr>
        <w:spacing w:after="0" w:line="118"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14"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2"/>
          <w:szCs w:val="12"/>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88"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9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2"/>
          <w:szCs w:val="12"/>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88"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w:t>
      </w:r>
    </w:p>
    <w:p>
      <w:pPr>
        <w:spacing w:after="0" w:line="79"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The table below quantifies the estimated changes in the fair value of our investment portfolio (including derivatives and other securities used for hedging purposes) and in our tangible net book value per common share as of September 30, 2022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80" w:right="299" w:bottom="1440" w:gutter="0" w:footer="0" w:header="0"/>
        </w:sectPr>
      </w:pPr>
    </w:p>
    <w:bookmarkStart w:id="44" w:name="page45"/>
    <w:bookmarkEnd w:id="44"/>
    <w:p>
      <w:pPr>
        <w:jc w:val="both"/>
        <w:spacing w:after="0" w:line="323" w:lineRule="auto"/>
        <w:rPr>
          <w:sz w:val="20"/>
          <w:szCs w:val="20"/>
          <w:color w:val="auto"/>
        </w:rPr>
      </w:pPr>
      <w:r>
        <w:rPr>
          <w:rFonts w:ascii="Arial" w:cs="Arial" w:eastAsia="Arial" w:hAnsi="Arial"/>
          <w:sz w:val="11"/>
          <w:szCs w:val="11"/>
          <w:color w:val="auto"/>
        </w:rPr>
        <w:t>December 31, 2021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September 30, 2022 and December 31, 2021.</w:t>
      </w:r>
    </w:p>
    <w:p>
      <w:pPr>
        <w:spacing w:after="0" w:line="56"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 xml:space="preserve">Interest Rate Sensitivity </w:t>
      </w:r>
      <w:r>
        <w:rPr>
          <w:rFonts w:ascii="Arial" w:cs="Arial" w:eastAsia="Arial" w:hAnsi="Arial"/>
          <w:sz w:val="12"/>
          <w:szCs w:val="12"/>
          <w:b w:val="1"/>
          <w:bCs w:val="1"/>
          <w:color w:val="auto"/>
          <w:vertAlign w:val="superscript"/>
        </w:rPr>
        <w:t>1,2</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24"/>
        </w:trPr>
        <w:tc>
          <w:tcPr>
            <w:tcW w:w="30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60" w:type="dxa"/>
            <w:vAlign w:val="bottom"/>
            <w:tcBorders>
              <w:top w:val="single" w:sz="8" w:color="auto"/>
            </w:tcBorders>
            <w:gridSpan w:val="4"/>
          </w:tcPr>
          <w:p>
            <w:pPr>
              <w:ind w:left="960"/>
              <w:spacing w:after="0"/>
              <w:rPr>
                <w:sz w:val="20"/>
                <w:szCs w:val="20"/>
                <w:color w:val="auto"/>
              </w:rPr>
            </w:pPr>
            <w:r>
              <w:rPr>
                <w:rFonts w:ascii="Arial" w:cs="Arial" w:eastAsia="Arial" w:hAnsi="Arial"/>
                <w:sz w:val="10"/>
                <w:szCs w:val="10"/>
                <w:b w:val="1"/>
                <w:bCs w:val="1"/>
                <w:color w:val="auto"/>
              </w:rPr>
              <w:t>September 30, 2022</w:t>
            </w:r>
          </w:p>
        </w:tc>
        <w:tc>
          <w:tcPr>
            <w:tcW w:w="2800" w:type="dxa"/>
            <w:vAlign w:val="bottom"/>
            <w:tcBorders>
              <w:top w:val="single" w:sz="8" w:color="auto"/>
            </w:tcBorders>
            <w:gridSpan w:val="3"/>
          </w:tcPr>
          <w:p>
            <w:pPr>
              <w:ind w:left="1020"/>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Estimated Change in Tangible</w:t>
            </w:r>
          </w:p>
        </w:tc>
        <w:tc>
          <w:tcPr>
            <w:tcW w:w="14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36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Estimated Change in Tangible</w:t>
            </w:r>
          </w:p>
        </w:tc>
        <w:tc>
          <w:tcPr>
            <w:tcW w:w="0" w:type="dxa"/>
            <w:vAlign w:val="bottom"/>
          </w:tcPr>
          <w:p>
            <w:pPr>
              <w:spacing w:after="0"/>
              <w:rPr>
                <w:sz w:val="1"/>
                <w:szCs w:val="1"/>
                <w:color w:val="auto"/>
              </w:rPr>
            </w:pPr>
          </w:p>
        </w:tc>
      </w:tr>
      <w:tr>
        <w:trPr>
          <w:trHeight w:val="99"/>
        </w:trPr>
        <w:tc>
          <w:tcPr>
            <w:tcW w:w="31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Change in Interest Rate</w:t>
            </w:r>
          </w:p>
        </w:tc>
        <w:tc>
          <w:tcPr>
            <w:tcW w:w="13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Estimated Change in Portfolio</w:t>
            </w:r>
          </w:p>
        </w:tc>
        <w:tc>
          <w:tcPr>
            <w:tcW w:w="14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6"/>
              </w:rPr>
              <w:t>Net Book Value Per Common</w:t>
            </w:r>
          </w:p>
        </w:tc>
        <w:tc>
          <w:tcPr>
            <w:tcW w:w="144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6"/>
              </w:rPr>
              <w:t>Estimated Change in Portfolio</w:t>
            </w: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Net Book Value Per Common</w:t>
            </w:r>
          </w:p>
        </w:tc>
        <w:tc>
          <w:tcPr>
            <w:tcW w:w="0" w:type="dxa"/>
            <w:vAlign w:val="bottom"/>
          </w:tcPr>
          <w:p>
            <w:pPr>
              <w:spacing w:after="0"/>
              <w:rPr>
                <w:sz w:val="1"/>
                <w:szCs w:val="1"/>
                <w:color w:val="auto"/>
              </w:rPr>
            </w:pPr>
          </w:p>
        </w:tc>
      </w:tr>
      <w:tr>
        <w:trPr>
          <w:trHeight w:val="129"/>
        </w:trPr>
        <w:tc>
          <w:tcPr>
            <w:tcW w:w="3140" w:type="dxa"/>
            <w:vAlign w:val="bottom"/>
            <w:gridSpan w:val="2"/>
            <w:vMerge w:val="continue"/>
          </w:tcPr>
          <w:p>
            <w:pPr>
              <w:spacing w:after="0"/>
              <w:rPr>
                <w:sz w:val="11"/>
                <w:szCs w:val="1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Market Value</w:t>
            </w:r>
          </w:p>
        </w:tc>
        <w:tc>
          <w:tcPr>
            <w:tcW w:w="14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Share</w:t>
            </w:r>
          </w:p>
        </w:tc>
        <w:tc>
          <w:tcPr>
            <w:tcW w:w="14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Market Value</w:t>
            </w: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86"/>
              </w:rPr>
              <w:t>Share</w:t>
            </w:r>
          </w:p>
        </w:tc>
        <w:tc>
          <w:tcPr>
            <w:tcW w:w="0" w:type="dxa"/>
            <w:vAlign w:val="bottom"/>
          </w:tcPr>
          <w:p>
            <w:pPr>
              <w:spacing w:after="0"/>
              <w:rPr>
                <w:sz w:val="1"/>
                <w:szCs w:val="1"/>
                <w:color w:val="auto"/>
              </w:rPr>
            </w:pPr>
          </w:p>
        </w:tc>
      </w:tr>
      <w:tr>
        <w:trPr>
          <w:trHeight w:val="130"/>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-75 Basis Points</w:t>
            </w:r>
          </w:p>
        </w:tc>
        <w:tc>
          <w:tcPr>
            <w:tcW w:w="14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0"/>
              </w:rPr>
              <w:t>+0.8%</w:t>
            </w:r>
          </w:p>
        </w:tc>
        <w:tc>
          <w:tcPr>
            <w:tcW w:w="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0"/>
              </w:rPr>
              <w:t>+9.6%</w:t>
            </w:r>
          </w:p>
        </w:tc>
        <w:tc>
          <w:tcPr>
            <w:tcW w:w="1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-0.6%</w:t>
            </w: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-6.4%</w:t>
            </w:r>
          </w:p>
        </w:tc>
        <w:tc>
          <w:tcPr>
            <w:tcW w:w="0" w:type="dxa"/>
            <w:vAlign w:val="bottom"/>
          </w:tcPr>
          <w:p>
            <w:pPr>
              <w:spacing w:after="0"/>
              <w:rPr>
                <w:sz w:val="1"/>
                <w:szCs w:val="1"/>
                <w:color w:val="auto"/>
              </w:rPr>
            </w:pPr>
          </w:p>
        </w:tc>
      </w:tr>
      <w:tr>
        <w:trPr>
          <w:trHeight w:val="12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-50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90"/>
              </w:rPr>
              <w:t>+0.6%</w:t>
            </w:r>
          </w:p>
        </w:tc>
        <w:tc>
          <w:tcPr>
            <w:tcW w:w="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90"/>
              </w:rPr>
              <w:t>+6.7%</w:t>
            </w:r>
          </w:p>
        </w:tc>
        <w:tc>
          <w:tcPr>
            <w:tcW w:w="14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4"/>
              </w:rPr>
              <w:t>-0.2%</w:t>
            </w:r>
          </w:p>
        </w:tc>
        <w:tc>
          <w:tcPr>
            <w:tcW w:w="1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Arial" w:cs="Arial" w:eastAsia="Arial" w:hAnsi="Arial"/>
                <w:sz w:val="10"/>
                <w:szCs w:val="10"/>
                <w:color w:val="auto"/>
                <w:w w:val="91"/>
              </w:rPr>
              <w:t>-2.3%</w:t>
            </w:r>
          </w:p>
        </w:tc>
        <w:tc>
          <w:tcPr>
            <w:tcW w:w="0" w:type="dxa"/>
            <w:vAlign w:val="bottom"/>
          </w:tcPr>
          <w:p>
            <w:pPr>
              <w:spacing w:after="0"/>
              <w:rPr>
                <w:sz w:val="1"/>
                <w:szCs w:val="1"/>
                <w:color w:val="auto"/>
              </w:rPr>
            </w:pPr>
          </w:p>
        </w:tc>
      </w:tr>
      <w:tr>
        <w:trPr>
          <w:trHeight w:val="14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0.3%</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+3.5%</w:t>
            </w: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0.0%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-0.3%</w:t>
            </w:r>
          </w:p>
        </w:tc>
        <w:tc>
          <w:tcPr>
            <w:tcW w:w="0" w:type="dxa"/>
            <w:vAlign w:val="bottom"/>
          </w:tcPr>
          <w:p>
            <w:pPr>
              <w:spacing w:after="0"/>
              <w:rPr>
                <w:sz w:val="1"/>
                <w:szCs w:val="1"/>
                <w:color w:val="auto"/>
              </w:rPr>
            </w:pPr>
          </w:p>
        </w:tc>
      </w:tr>
      <w:tr>
        <w:trPr>
          <w:trHeight w:val="12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-0.3%</w:t>
            </w:r>
          </w:p>
        </w:tc>
        <w:tc>
          <w:tcPr>
            <w:tcW w:w="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91"/>
              </w:rPr>
              <w:t>-3.8%</w:t>
            </w:r>
          </w:p>
        </w:tc>
        <w:tc>
          <w:tcPr>
            <w:tcW w:w="14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4"/>
              </w:rPr>
              <w:t>-0.1%</w:t>
            </w:r>
          </w:p>
        </w:tc>
        <w:tc>
          <w:tcPr>
            <w:tcW w:w="1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Arial" w:cs="Arial" w:eastAsia="Arial" w:hAnsi="Arial"/>
                <w:sz w:val="10"/>
                <w:szCs w:val="10"/>
                <w:color w:val="auto"/>
                <w:w w:val="91"/>
              </w:rPr>
              <w:t>-1.3%</w:t>
            </w:r>
          </w:p>
        </w:tc>
        <w:tc>
          <w:tcPr>
            <w:tcW w:w="0" w:type="dxa"/>
            <w:vAlign w:val="bottom"/>
          </w:tcPr>
          <w:p>
            <w:pPr>
              <w:spacing w:after="0"/>
              <w:rPr>
                <w:sz w:val="1"/>
                <w:szCs w:val="1"/>
                <w:color w:val="auto"/>
              </w:rPr>
            </w:pPr>
          </w:p>
        </w:tc>
      </w:tr>
      <w:tr>
        <w:trPr>
          <w:trHeight w:val="14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+50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-0.6%</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-7.8%</w:t>
            </w: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-0.4%</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-3.8%</w:t>
            </w:r>
          </w:p>
        </w:tc>
        <w:tc>
          <w:tcPr>
            <w:tcW w:w="0" w:type="dxa"/>
            <w:vAlign w:val="bottom"/>
          </w:tcPr>
          <w:p>
            <w:pPr>
              <w:spacing w:after="0"/>
              <w:rPr>
                <w:sz w:val="1"/>
                <w:szCs w:val="1"/>
                <w:color w:val="auto"/>
              </w:rPr>
            </w:pPr>
          </w:p>
        </w:tc>
      </w:tr>
      <w:tr>
        <w:trPr>
          <w:trHeight w:val="121"/>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+75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-1.0%</w:t>
            </w:r>
          </w:p>
        </w:tc>
        <w:tc>
          <w:tcPr>
            <w:tcW w:w="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8"/>
              </w:rPr>
              <w:t>-11.9%</w:t>
            </w:r>
          </w:p>
        </w:tc>
        <w:tc>
          <w:tcPr>
            <w:tcW w:w="14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0"/>
                <w:szCs w:val="10"/>
                <w:color w:val="auto"/>
                <w:w w:val="84"/>
              </w:rPr>
              <w:t>-0.7%</w:t>
            </w:r>
          </w:p>
        </w:tc>
        <w:tc>
          <w:tcPr>
            <w:tcW w:w="10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0"/>
                <w:szCs w:val="10"/>
                <w:color w:val="auto"/>
                <w:w w:val="91"/>
              </w:rPr>
              <w:t>-7.4%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0"/>
          <w:szCs w:val="10"/>
          <w:color w:val="auto"/>
        </w:rPr>
      </w:pPr>
      <w:r>
        <w:rPr>
          <w:rFonts w:ascii="Arial" w:cs="Arial" w:eastAsia="Arial" w:hAnsi="Arial"/>
          <w:sz w:val="10"/>
          <w:szCs w:val="10"/>
          <w:color w:val="auto"/>
        </w:rPr>
        <w:t>Derived from models that are dependent on inputs and assumptions, assumes there are no changes in mortgage spreads and assumes a static portfolio. Actual results could differ materially from these estimates.</w:t>
      </w:r>
    </w:p>
    <w:p>
      <w:pPr>
        <w:ind w:left="420" w:hanging="212"/>
        <w:spacing w:after="0"/>
        <w:tabs>
          <w:tab w:leader="none" w:pos="42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Includes the effect of derivatives and other securities used for hedging purposes. Interest rates are assumed to be floored at 0% in down rate scenarios.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Prepayment Risk</w:t>
      </w:r>
    </w:p>
    <w:p>
      <w:pPr>
        <w:spacing w:after="0" w:line="114"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56"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Extension Risk</w:t>
      </w:r>
    </w:p>
    <w:p>
      <w:pPr>
        <w:spacing w:after="0" w:line="114"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86"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As of September 30, 2022 and December 31, 2021, our investment securities (excluding TBAs) had a weighted average projected CPR of 7.0% and 10.9%, respectively, and a weighted average yield of 3.14% and 2.43%,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45" w:name="page46"/>
    <w:bookmarkEnd w:id="45"/>
    <w:p>
      <w:pPr>
        <w:jc w:val="center"/>
        <w:spacing w:after="0"/>
        <w:rPr>
          <w:sz w:val="20"/>
          <w:szCs w:val="20"/>
          <w:color w:val="auto"/>
        </w:rPr>
      </w:pPr>
      <w:r>
        <w:rPr>
          <w:rFonts w:ascii="Arial" w:cs="Arial" w:eastAsia="Arial" w:hAnsi="Arial"/>
          <w:sz w:val="10"/>
          <w:szCs w:val="10"/>
          <w:b w:val="1"/>
          <w:bCs w:val="1"/>
          <w:color w:val="auto"/>
        </w:rPr>
        <w:t xml:space="preserve">Interest Rate Sensitivity </w:t>
      </w:r>
      <w:r>
        <w:rPr>
          <w:rFonts w:ascii="Arial" w:cs="Arial" w:eastAsia="Arial" w:hAnsi="Arial"/>
          <w:sz w:val="12"/>
          <w:szCs w:val="12"/>
          <w:b w:val="1"/>
          <w:bCs w:val="1"/>
          <w:color w:val="auto"/>
          <w:vertAlign w:val="superscript"/>
        </w:rPr>
        <w:t>1</w:t>
      </w:r>
    </w:p>
    <w:p>
      <w:pPr>
        <w:spacing w:after="0" w:line="5" w:lineRule="exact"/>
        <w:rPr>
          <w:sz w:val="20"/>
          <w:szCs w:val="20"/>
          <w:color w:val="auto"/>
        </w:rPr>
      </w:pPr>
    </w:p>
    <w:tbl>
      <w:tblPr>
        <w:tblLayout w:type="fixed"/>
        <w:tblInd w:w="1260" w:type="dxa"/>
        <w:tblCellMar>
          <w:top w:w="0" w:type="dxa"/>
          <w:left w:w="0" w:type="dxa"/>
          <w:bottom w:w="0" w:type="dxa"/>
          <w:right w:w="0" w:type="dxa"/>
        </w:tblCellMar>
      </w:tblPr>
      <w:tr>
        <w:trPr>
          <w:trHeight w:val="124"/>
        </w:trPr>
        <w:tc>
          <w:tcPr>
            <w:tcW w:w="30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700" w:type="dxa"/>
            <w:vAlign w:val="bottom"/>
            <w:tcBorders>
              <w:top w:val="single" w:sz="8" w:color="auto"/>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September 30, 2022</w:t>
            </w:r>
          </w:p>
        </w:tc>
        <w:tc>
          <w:tcPr>
            <w:tcW w:w="140" w:type="dxa"/>
            <w:vAlign w:val="bottom"/>
            <w:tcBorders>
              <w:top w:val="single" w:sz="8" w:color="auto"/>
            </w:tcBorders>
          </w:tcPr>
          <w:p>
            <w:pPr>
              <w:spacing w:after="0"/>
              <w:rPr>
                <w:sz w:val="10"/>
                <w:szCs w:val="10"/>
                <w:color w:val="auto"/>
              </w:rPr>
            </w:pPr>
          </w:p>
        </w:tc>
        <w:tc>
          <w:tcPr>
            <w:tcW w:w="2700" w:type="dxa"/>
            <w:vAlign w:val="bottom"/>
            <w:tcBorders>
              <w:top w:val="single" w:sz="8" w:color="auto"/>
              <w:bottom w:val="single" w:sz="8" w:color="auto"/>
            </w:tcBorders>
            <w:gridSpan w:val="3"/>
          </w:tcPr>
          <w:p>
            <w:pPr>
              <w:ind w:left="960"/>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06"/>
        </w:trPr>
        <w:tc>
          <w:tcPr>
            <w:tcW w:w="32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Change in Interest Rate</w:t>
            </w:r>
          </w:p>
        </w:tc>
        <w:tc>
          <w:tcPr>
            <w:tcW w:w="140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85"/>
              </w:rPr>
              <w:t>Weighted Average Projected</w:t>
            </w:r>
          </w:p>
        </w:tc>
        <w:tc>
          <w:tcPr>
            <w:tcW w:w="1440" w:type="dxa"/>
            <w:vAlign w:val="bottom"/>
            <w:gridSpan w:val="2"/>
          </w:tcPr>
          <w:p>
            <w:pPr>
              <w:ind w:left="20"/>
              <w:spacing w:after="0" w:line="106" w:lineRule="exact"/>
              <w:rPr>
                <w:sz w:val="20"/>
                <w:szCs w:val="20"/>
                <w:color w:val="auto"/>
              </w:rPr>
            </w:pPr>
            <w:r>
              <w:rPr>
                <w:rFonts w:ascii="Arial" w:cs="Arial" w:eastAsia="Arial" w:hAnsi="Arial"/>
                <w:sz w:val="10"/>
                <w:szCs w:val="10"/>
                <w:b w:val="1"/>
                <w:bCs w:val="1"/>
                <w:color w:val="auto"/>
                <w:w w:val="97"/>
              </w:rPr>
              <w:t>Weighted Average Asset Yield</w:t>
            </w:r>
          </w:p>
        </w:tc>
        <w:tc>
          <w:tcPr>
            <w:tcW w:w="140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85"/>
              </w:rPr>
              <w:t>Weighted Average Projected</w:t>
            </w:r>
          </w:p>
        </w:tc>
        <w:tc>
          <w:tcPr>
            <w:tcW w:w="1300" w:type="dxa"/>
            <w:vAlign w:val="bottom"/>
          </w:tcPr>
          <w:p>
            <w:pPr>
              <w:ind w:left="40"/>
              <w:spacing w:after="0" w:line="106" w:lineRule="exact"/>
              <w:rPr>
                <w:sz w:val="20"/>
                <w:szCs w:val="20"/>
                <w:color w:val="auto"/>
              </w:rPr>
            </w:pPr>
            <w:r>
              <w:rPr>
                <w:rFonts w:ascii="Arial" w:cs="Arial" w:eastAsia="Arial" w:hAnsi="Arial"/>
                <w:sz w:val="10"/>
                <w:szCs w:val="10"/>
                <w:b w:val="1"/>
                <w:bCs w:val="1"/>
                <w:color w:val="auto"/>
                <w:w w:val="86"/>
              </w:rPr>
              <w:t>Weighted Average Asset Yield</w:t>
            </w:r>
          </w:p>
        </w:tc>
        <w:tc>
          <w:tcPr>
            <w:tcW w:w="0" w:type="dxa"/>
            <w:vAlign w:val="bottom"/>
          </w:tcPr>
          <w:p>
            <w:pPr>
              <w:spacing w:after="0"/>
              <w:rPr>
                <w:sz w:val="1"/>
                <w:szCs w:val="1"/>
                <w:color w:val="auto"/>
              </w:rPr>
            </w:pPr>
          </w:p>
        </w:tc>
      </w:tr>
      <w:tr>
        <w:trPr>
          <w:trHeight w:val="36"/>
        </w:trPr>
        <w:tc>
          <w:tcPr>
            <w:tcW w:w="3220" w:type="dxa"/>
            <w:vAlign w:val="bottom"/>
            <w:gridSpan w:val="2"/>
            <w:vMerge w:val="continue"/>
          </w:tcPr>
          <w:p>
            <w:pPr>
              <w:spacing w:after="0"/>
              <w:rPr>
                <w:sz w:val="3"/>
                <w:szCs w:val="3"/>
                <w:color w:val="auto"/>
              </w:rPr>
            </w:pPr>
          </w:p>
        </w:tc>
        <w:tc>
          <w:tcPr>
            <w:tcW w:w="1400" w:type="dxa"/>
            <w:vAlign w:val="bottom"/>
            <w:gridSpan w:val="2"/>
          </w:tcPr>
          <w:p>
            <w:pPr>
              <w:jc w:val="center"/>
              <w:ind w:right="120"/>
              <w:spacing w:after="0" w:line="36" w:lineRule="exact"/>
              <w:rPr>
                <w:sz w:val="20"/>
                <w:szCs w:val="20"/>
                <w:color w:val="auto"/>
              </w:rPr>
            </w:pPr>
            <w:r>
              <w:rPr>
                <w:rFonts w:ascii="Arial" w:cs="Arial" w:eastAsia="Arial" w:hAnsi="Arial"/>
                <w:sz w:val="4"/>
                <w:szCs w:val="4"/>
                <w:b w:val="1"/>
                <w:bCs w:val="1"/>
                <w:color w:val="auto"/>
              </w:rPr>
              <w:t>CPR</w:t>
            </w:r>
          </w:p>
        </w:tc>
        <w:tc>
          <w:tcPr>
            <w:tcW w:w="1300" w:type="dxa"/>
            <w:vAlign w:val="bottom"/>
            <w:vMerge w:val="restart"/>
          </w:tcPr>
          <w:p>
            <w:pPr>
              <w:jc w:val="center"/>
              <w:spacing w:after="0"/>
              <w:rPr>
                <w:sz w:val="20"/>
                <w:szCs w:val="20"/>
                <w:color w:val="auto"/>
              </w:rPr>
            </w:pPr>
            <w:r>
              <w:rPr>
                <w:rFonts w:ascii="Arial" w:cs="Arial" w:eastAsia="Arial" w:hAnsi="Arial"/>
                <w:sz w:val="6"/>
                <w:szCs w:val="6"/>
                <w:b w:val="1"/>
                <w:bCs w:val="1"/>
                <w:color w:val="auto"/>
              </w:rPr>
              <w:t>2</w:t>
            </w:r>
          </w:p>
        </w:tc>
        <w:tc>
          <w:tcPr>
            <w:tcW w:w="140" w:type="dxa"/>
            <w:vAlign w:val="bottom"/>
          </w:tcPr>
          <w:p>
            <w:pPr>
              <w:spacing w:after="0"/>
              <w:rPr>
                <w:sz w:val="3"/>
                <w:szCs w:val="3"/>
                <w:color w:val="auto"/>
              </w:rPr>
            </w:pPr>
          </w:p>
        </w:tc>
        <w:tc>
          <w:tcPr>
            <w:tcW w:w="1400" w:type="dxa"/>
            <w:vAlign w:val="bottom"/>
            <w:gridSpan w:val="2"/>
          </w:tcPr>
          <w:p>
            <w:pPr>
              <w:jc w:val="center"/>
              <w:ind w:right="120"/>
              <w:spacing w:after="0" w:line="36" w:lineRule="exact"/>
              <w:rPr>
                <w:sz w:val="20"/>
                <w:szCs w:val="20"/>
                <w:color w:val="auto"/>
              </w:rPr>
            </w:pPr>
            <w:r>
              <w:rPr>
                <w:rFonts w:ascii="Arial" w:cs="Arial" w:eastAsia="Arial" w:hAnsi="Arial"/>
                <w:sz w:val="4"/>
                <w:szCs w:val="4"/>
                <w:b w:val="1"/>
                <w:bCs w:val="1"/>
                <w:color w:val="auto"/>
              </w:rPr>
              <w:t>CPR</w:t>
            </w:r>
          </w:p>
        </w:tc>
        <w:tc>
          <w:tcPr>
            <w:tcW w:w="1300" w:type="dxa"/>
            <w:vAlign w:val="bottom"/>
            <w:vMerge w:val="restart"/>
          </w:tcPr>
          <w:p>
            <w:pPr>
              <w:jc w:val="center"/>
              <w:spacing w:after="0"/>
              <w:rPr>
                <w:sz w:val="20"/>
                <w:szCs w:val="20"/>
                <w:color w:val="auto"/>
              </w:rPr>
            </w:pPr>
            <w:r>
              <w:rPr>
                <w:rFonts w:ascii="Arial" w:cs="Arial" w:eastAsia="Arial" w:hAnsi="Arial"/>
                <w:sz w:val="5"/>
                <w:szCs w:val="5"/>
                <w:b w:val="1"/>
                <w:bCs w:val="1"/>
                <w:color w:val="auto"/>
                <w:w w:val="70"/>
              </w:rPr>
              <w:t>2</w:t>
            </w:r>
          </w:p>
        </w:tc>
        <w:tc>
          <w:tcPr>
            <w:tcW w:w="0" w:type="dxa"/>
            <w:vAlign w:val="bottom"/>
          </w:tcPr>
          <w:p>
            <w:pPr>
              <w:spacing w:after="0" w:line="20" w:lineRule="exact"/>
              <w:rPr>
                <w:sz w:val="1"/>
                <w:szCs w:val="1"/>
                <w:color w:val="auto"/>
              </w:rPr>
            </w:pPr>
          </w:p>
        </w:tc>
      </w:tr>
      <w:tr>
        <w:trPr>
          <w:trHeight w:val="44"/>
        </w:trPr>
        <w:tc>
          <w:tcPr>
            <w:tcW w:w="3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-75 Basis Points</w:t>
            </w: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7.4%</w:t>
            </w: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3.11%</w:t>
            </w: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17.0%</w:t>
            </w: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2.21%</w:t>
            </w:r>
          </w:p>
        </w:tc>
        <w:tc>
          <w:tcPr>
            <w:tcW w:w="0" w:type="dxa"/>
            <w:vAlign w:val="bottom"/>
          </w:tcPr>
          <w:p>
            <w:pPr>
              <w:spacing w:after="0"/>
              <w:rPr>
                <w:sz w:val="1"/>
                <w:szCs w:val="1"/>
                <w:color w:val="auto"/>
              </w:rPr>
            </w:pPr>
          </w:p>
        </w:tc>
      </w:tr>
      <w:tr>
        <w:trPr>
          <w:trHeight w:val="128"/>
        </w:trPr>
        <w:tc>
          <w:tcPr>
            <w:tcW w:w="3220" w:type="dxa"/>
            <w:vAlign w:val="bottom"/>
            <w:gridSpan w:val="2"/>
          </w:tcPr>
          <w:p>
            <w:pPr>
              <w:ind w:left="20"/>
              <w:spacing w:after="0"/>
              <w:rPr>
                <w:sz w:val="20"/>
                <w:szCs w:val="20"/>
                <w:color w:val="auto"/>
              </w:rPr>
            </w:pPr>
            <w:r>
              <w:rPr>
                <w:rFonts w:ascii="Arial" w:cs="Arial" w:eastAsia="Arial" w:hAnsi="Arial"/>
                <w:sz w:val="10"/>
                <w:szCs w:val="10"/>
                <w:color w:val="auto"/>
              </w:rPr>
              <w:t>-50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7"/>
              </w:rPr>
              <w:t>7.2%</w:t>
            </w: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3.12%</w:t>
            </w:r>
          </w:p>
        </w:tc>
        <w:tc>
          <w:tcPr>
            <w:tcW w:w="14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14.1%</w:t>
            </w: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2.30%</w:t>
            </w: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7.0%</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3.13%</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12.2%</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2.37%</w:t>
            </w:r>
          </w:p>
        </w:tc>
        <w:tc>
          <w:tcPr>
            <w:tcW w:w="0" w:type="dxa"/>
            <w:vAlign w:val="bottom"/>
          </w:tcPr>
          <w:p>
            <w:pPr>
              <w:spacing w:after="0"/>
              <w:rPr>
                <w:sz w:val="1"/>
                <w:szCs w:val="1"/>
                <w:color w:val="auto"/>
              </w:rPr>
            </w:pPr>
          </w:p>
        </w:tc>
      </w:tr>
      <w:tr>
        <w:trPr>
          <w:trHeight w:val="128"/>
        </w:trPr>
        <w:tc>
          <w:tcPr>
            <w:tcW w:w="3220" w:type="dxa"/>
            <w:vAlign w:val="bottom"/>
            <w:gridSpan w:val="2"/>
          </w:tcPr>
          <w:p>
            <w:pPr>
              <w:ind w:left="60"/>
              <w:spacing w:after="0"/>
              <w:rPr>
                <w:sz w:val="20"/>
                <w:szCs w:val="20"/>
                <w:color w:val="auto"/>
              </w:rPr>
            </w:pPr>
            <w:r>
              <w:rPr>
                <w:rFonts w:ascii="Arial" w:cs="Arial" w:eastAsia="Arial" w:hAnsi="Arial"/>
                <w:sz w:val="10"/>
                <w:szCs w:val="10"/>
                <w:color w:val="auto"/>
              </w:rPr>
              <w:t>Actual as of Period End</w:t>
            </w:r>
          </w:p>
        </w:tc>
        <w:tc>
          <w:tcPr>
            <w:tcW w:w="1300" w:type="dxa"/>
            <w:vAlign w:val="bottom"/>
          </w:tcPr>
          <w:p>
            <w:pPr>
              <w:jc w:val="center"/>
              <w:spacing w:after="0"/>
              <w:rPr>
                <w:sz w:val="20"/>
                <w:szCs w:val="20"/>
                <w:color w:val="auto"/>
              </w:rPr>
            </w:pPr>
            <w:r>
              <w:rPr>
                <w:rFonts w:ascii="Arial" w:cs="Arial" w:eastAsia="Arial" w:hAnsi="Arial"/>
                <w:sz w:val="10"/>
                <w:szCs w:val="10"/>
                <w:color w:val="auto"/>
                <w:w w:val="87"/>
              </w:rPr>
              <w:t>7.0%</w:t>
            </w: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3.14%</w:t>
            </w:r>
          </w:p>
        </w:tc>
        <w:tc>
          <w:tcPr>
            <w:tcW w:w="14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10.9%</w:t>
            </w: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2.43%</w:t>
            </w: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6.8%</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3.15%</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9.9%</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2.47%</w:t>
            </w:r>
          </w:p>
        </w:tc>
        <w:tc>
          <w:tcPr>
            <w:tcW w:w="0" w:type="dxa"/>
            <w:vAlign w:val="bottom"/>
          </w:tcPr>
          <w:p>
            <w:pPr>
              <w:spacing w:after="0"/>
              <w:rPr>
                <w:sz w:val="1"/>
                <w:szCs w:val="1"/>
                <w:color w:val="auto"/>
              </w:rPr>
            </w:pPr>
          </w:p>
        </w:tc>
      </w:tr>
      <w:tr>
        <w:trPr>
          <w:trHeight w:val="128"/>
        </w:trPr>
        <w:tc>
          <w:tcPr>
            <w:tcW w:w="3220" w:type="dxa"/>
            <w:vAlign w:val="bottom"/>
            <w:gridSpan w:val="2"/>
          </w:tcPr>
          <w:p>
            <w:pPr>
              <w:ind w:left="20"/>
              <w:spacing w:after="0"/>
              <w:rPr>
                <w:sz w:val="20"/>
                <w:szCs w:val="20"/>
                <w:color w:val="auto"/>
              </w:rPr>
            </w:pPr>
            <w:r>
              <w:rPr>
                <w:rFonts w:ascii="Arial" w:cs="Arial" w:eastAsia="Arial" w:hAnsi="Arial"/>
                <w:sz w:val="10"/>
                <w:szCs w:val="10"/>
                <w:color w:val="auto"/>
              </w:rPr>
              <w:t>+50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7"/>
              </w:rPr>
              <w:t>6.7%</w:t>
            </w: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3.16%</w:t>
            </w:r>
          </w:p>
        </w:tc>
        <w:tc>
          <w:tcPr>
            <w:tcW w:w="14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7"/>
              </w:rPr>
              <w:t>9.1%</w:t>
            </w: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2.51%</w:t>
            </w: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+75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6.6%</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3.17%</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8.4%</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2.54%</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5" w:lineRule="exact"/>
        <w:rPr>
          <w:sz w:val="20"/>
          <w:szCs w:val="20"/>
          <w:color w:val="auto"/>
        </w:rPr>
      </w:pPr>
    </w:p>
    <w:p>
      <w:pPr>
        <w:ind w:left="420" w:hanging="212"/>
        <w:spacing w:after="0"/>
        <w:tabs>
          <w:tab w:leader="none" w:pos="4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Derived from models that are dependent on inputs and assumptions and assumes a static portfolio. Actual results could differ materially from these estimates. Table excludes TBA securities.</w:t>
      </w:r>
    </w:p>
    <w:p>
      <w:pPr>
        <w:ind w:left="420" w:hanging="212"/>
        <w:spacing w:after="0" w:line="236" w:lineRule="auto"/>
        <w:tabs>
          <w:tab w:leader="none" w:pos="4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Asset yield based on historical cost basis and does not include the impact of retroactive "catch-up" premium amortization adjustments due to changes in projected CPR.</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Spread Risk</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8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2022 and December 31, 2021 should spreads widen or tighten by 10, 25 and 50 basis points. The estimated impact of changes in spreads is in addition to our interest rate shock sensitivity included in the interest rate shock table above. The table below assumes a spread duration of 6.1 and 5.4 years as of September 30, 2022 and December 31, 2021,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 xml:space="preserve">Spread Sensitivity </w:t>
      </w:r>
      <w:r>
        <w:rPr>
          <w:rFonts w:ascii="Arial" w:cs="Arial" w:eastAsia="Arial" w:hAnsi="Arial"/>
          <w:sz w:val="12"/>
          <w:szCs w:val="12"/>
          <w:b w:val="1"/>
          <w:bCs w:val="1"/>
          <w:color w:val="auto"/>
          <w:vertAlign w:val="superscript"/>
        </w:rPr>
        <w:t>1,2</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24"/>
        </w:trPr>
        <w:tc>
          <w:tcPr>
            <w:tcW w:w="30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60" w:type="dxa"/>
            <w:vAlign w:val="bottom"/>
            <w:tcBorders>
              <w:top w:val="single" w:sz="8" w:color="auto"/>
            </w:tcBorders>
            <w:gridSpan w:val="4"/>
          </w:tcPr>
          <w:p>
            <w:pPr>
              <w:ind w:left="960"/>
              <w:spacing w:after="0"/>
              <w:rPr>
                <w:sz w:val="20"/>
                <w:szCs w:val="20"/>
                <w:color w:val="auto"/>
              </w:rPr>
            </w:pPr>
            <w:r>
              <w:rPr>
                <w:rFonts w:ascii="Arial" w:cs="Arial" w:eastAsia="Arial" w:hAnsi="Arial"/>
                <w:sz w:val="10"/>
                <w:szCs w:val="10"/>
                <w:b w:val="1"/>
                <w:bCs w:val="1"/>
                <w:color w:val="auto"/>
              </w:rPr>
              <w:t>September 30, 2022</w:t>
            </w:r>
          </w:p>
        </w:tc>
        <w:tc>
          <w:tcPr>
            <w:tcW w:w="2740" w:type="dxa"/>
            <w:vAlign w:val="bottom"/>
            <w:tcBorders>
              <w:top w:val="single" w:sz="8" w:color="auto"/>
            </w:tcBorders>
            <w:gridSpan w:val="3"/>
          </w:tcPr>
          <w:p>
            <w:pPr>
              <w:ind w:left="980"/>
              <w:spacing w:after="0"/>
              <w:rPr>
                <w:sz w:val="20"/>
                <w:szCs w:val="20"/>
                <w:color w:val="auto"/>
              </w:rPr>
            </w:pPr>
            <w:r>
              <w:rPr>
                <w:rFonts w:ascii="Arial" w:cs="Arial" w:eastAsia="Arial" w:hAnsi="Arial"/>
                <w:sz w:val="10"/>
                <w:szCs w:val="10"/>
                <w:b w:val="1"/>
                <w:bCs w:val="1"/>
                <w:color w:val="auto"/>
              </w:rPr>
              <w:t>December 31, 2021</w:t>
            </w:r>
          </w:p>
        </w:tc>
      </w:tr>
      <w:tr>
        <w:trPr>
          <w:trHeight w:val="83"/>
        </w:trPr>
        <w:tc>
          <w:tcPr>
            <w:tcW w:w="3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Estimated Change in Tangible</w:t>
            </w:r>
          </w:p>
        </w:tc>
        <w:tc>
          <w:tcPr>
            <w:tcW w:w="14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Estimated Change in Tangible</w:t>
            </w:r>
          </w:p>
        </w:tc>
      </w:tr>
      <w:tr>
        <w:trPr>
          <w:trHeight w:val="95"/>
        </w:trPr>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6"/>
              </w:rPr>
              <w:t>Estimated Change in Portfolio</w:t>
            </w:r>
          </w:p>
        </w:tc>
        <w:tc>
          <w:tcPr>
            <w:tcW w:w="146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86"/>
              </w:rPr>
              <w:t>Net Book Value Per Common</w:t>
            </w:r>
          </w:p>
        </w:tc>
        <w:tc>
          <w:tcPr>
            <w:tcW w:w="142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6"/>
              </w:rPr>
              <w:t>Estimated Change in Portfolio</w:t>
            </w:r>
          </w:p>
        </w:tc>
        <w:tc>
          <w:tcPr>
            <w:tcW w:w="13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6"/>
              </w:rPr>
              <w:t>Net Book Value Per Common</w:t>
            </w:r>
          </w:p>
        </w:tc>
      </w:tr>
      <w:tr>
        <w:trPr>
          <w:trHeight w:val="131"/>
        </w:trPr>
        <w:tc>
          <w:tcPr>
            <w:tcW w:w="3200" w:type="dxa"/>
            <w:vAlign w:val="bottom"/>
            <w:gridSpan w:val="2"/>
          </w:tcPr>
          <w:p>
            <w:pPr>
              <w:ind w:left="20"/>
              <w:spacing w:after="0"/>
              <w:rPr>
                <w:sz w:val="20"/>
                <w:szCs w:val="20"/>
                <w:color w:val="auto"/>
              </w:rPr>
            </w:pPr>
            <w:r>
              <w:rPr>
                <w:rFonts w:ascii="Arial" w:cs="Arial" w:eastAsia="Arial" w:hAnsi="Arial"/>
                <w:sz w:val="10"/>
                <w:szCs w:val="10"/>
                <w:b w:val="1"/>
                <w:bCs w:val="1"/>
                <w:color w:val="auto"/>
              </w:rPr>
              <w:t>Change in MBS Spread</w:t>
            </w:r>
          </w:p>
        </w:tc>
        <w:tc>
          <w:tcPr>
            <w:tcW w:w="14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0"/>
              </w:rPr>
              <w:t>Market Value</w:t>
            </w:r>
          </w:p>
        </w:tc>
        <w:tc>
          <w:tcPr>
            <w:tcW w:w="14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6"/>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Market Value</w:t>
            </w: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86"/>
              </w:rPr>
              <w:t>Share</w:t>
            </w:r>
          </w:p>
        </w:tc>
      </w:tr>
      <w:tr>
        <w:trPr>
          <w:trHeight w:val="128"/>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-50 Basis Points</w:t>
            </w:r>
          </w:p>
        </w:tc>
        <w:tc>
          <w:tcPr>
            <w:tcW w:w="14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0"/>
              </w:rPr>
              <w:t>+3.1%</w:t>
            </w: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3"/>
              </w:rPr>
              <w:t>+37.5%</w:t>
            </w:r>
          </w:p>
        </w:tc>
        <w:tc>
          <w:tcPr>
            <w:tcW w:w="14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3"/>
              </w:rPr>
              <w:t>+2.7%</w:t>
            </w: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3"/>
              </w:rPr>
              <w:t>+27.1%</w:t>
            </w:r>
          </w:p>
        </w:tc>
      </w:tr>
      <w:tr>
        <w:trPr>
          <w:trHeight w:val="128"/>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90"/>
              </w:rPr>
              <w:t>+1.5%</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93"/>
              </w:rPr>
              <w:t>+18.8%</w:t>
            </w:r>
          </w:p>
        </w:tc>
        <w:tc>
          <w:tcPr>
            <w:tcW w:w="1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83"/>
              </w:rPr>
              <w:t>+1.4%</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93"/>
              </w:rPr>
              <w:t>+13.6%</w:t>
            </w:r>
          </w:p>
        </w:tc>
      </w:tr>
      <w:tr>
        <w:trPr>
          <w:trHeight w:val="142"/>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+0.6%</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+7.5%</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+0.5%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+5.4%</w:t>
            </w:r>
          </w:p>
        </w:tc>
      </w:tr>
      <w:tr>
        <w:trPr>
          <w:trHeight w:val="128"/>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+10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-0.6%</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91"/>
              </w:rPr>
              <w:t>-7.5%</w:t>
            </w:r>
          </w:p>
        </w:tc>
        <w:tc>
          <w:tcPr>
            <w:tcW w:w="1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91"/>
              </w:rPr>
              <w:t>-0.5%</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91"/>
              </w:rPr>
              <w:t>-5.4%</w:t>
            </w:r>
          </w:p>
        </w:tc>
      </w:tr>
      <w:tr>
        <w:trPr>
          <w:trHeight w:val="142"/>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-18.8%</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-13.6%</w:t>
            </w:r>
          </w:p>
        </w:tc>
      </w:tr>
      <w:tr>
        <w:trPr>
          <w:trHeight w:val="121"/>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+50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-3.1%</w:t>
            </w:r>
          </w:p>
        </w:tc>
        <w:tc>
          <w:tcPr>
            <w:tcW w:w="10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88"/>
              </w:rPr>
              <w:t>-37.5%</w:t>
            </w:r>
          </w:p>
        </w:tc>
        <w:tc>
          <w:tcPr>
            <w:tcW w:w="14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91"/>
              </w:rPr>
              <w:t>-2.7%</w:t>
            </w:r>
          </w:p>
        </w:tc>
        <w:tc>
          <w:tcPr>
            <w:tcW w:w="10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color w:val="auto"/>
                <w:w w:val="88"/>
              </w:rPr>
              <w:t>-27.1%</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0" w:lineRule="exact"/>
        <w:rPr>
          <w:sz w:val="20"/>
          <w:szCs w:val="20"/>
          <w:color w:val="auto"/>
        </w:rPr>
      </w:pPr>
    </w:p>
    <w:p>
      <w:pPr>
        <w:ind w:left="420" w:hanging="212"/>
        <w:spacing w:after="0"/>
        <w:tabs>
          <w:tab w:leader="none" w:pos="420" w:val="left"/>
        </w:tabs>
        <w:numPr>
          <w:ilvl w:val="0"/>
          <w:numId w:val="36"/>
        </w:numPr>
        <w:rPr>
          <w:rFonts w:ascii="Arial" w:cs="Arial" w:eastAsia="Arial" w:hAnsi="Arial"/>
          <w:sz w:val="10"/>
          <w:szCs w:val="10"/>
          <w:color w:val="auto"/>
        </w:rPr>
      </w:pPr>
      <w:r>
        <w:rPr>
          <w:rFonts w:ascii="Arial" w:cs="Arial" w:eastAsia="Arial" w:hAnsi="Arial"/>
          <w:sz w:val="10"/>
          <w:szCs w:val="10"/>
          <w:color w:val="auto"/>
        </w:rPr>
        <w:t>Spread sensitivity is derived from models that are dependent on inputs and assumptions, assumes there are no changes in interest rates and assumes a static portfolio. Actual results could differ materially from these estimates.</w:t>
      </w:r>
    </w:p>
    <w:p>
      <w:pPr>
        <w:spacing w:after="0" w:line="1" w:lineRule="exact"/>
        <w:rPr>
          <w:rFonts w:ascii="Arial" w:cs="Arial" w:eastAsia="Arial" w:hAnsi="Arial"/>
          <w:sz w:val="10"/>
          <w:szCs w:val="10"/>
          <w:color w:val="auto"/>
        </w:rPr>
      </w:pPr>
    </w:p>
    <w:p>
      <w:pPr>
        <w:ind w:left="420" w:hanging="212"/>
        <w:spacing w:after="0"/>
        <w:tabs>
          <w:tab w:leader="none" w:pos="42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Includes the effect of derivatives and other securities used for hedging purposes.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 Risk</w:t>
      </w:r>
    </w:p>
    <w:p>
      <w:pPr>
        <w:spacing w:after="0" w:line="114"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3" w:right="299" w:bottom="1440" w:gutter="0" w:footer="0" w:header="0"/>
        </w:sectPr>
      </w:pPr>
    </w:p>
    <w:bookmarkStart w:id="46" w:name="page47"/>
    <w:bookmarkEnd w:id="46"/>
    <w:p>
      <w:pPr>
        <w:jc w:val="both"/>
        <w:spacing w:after="0" w:line="276" w:lineRule="auto"/>
        <w:rPr>
          <w:sz w:val="20"/>
          <w:szCs w:val="20"/>
          <w:color w:val="auto"/>
        </w:rPr>
      </w:pPr>
      <w:r>
        <w:rPr>
          <w:rFonts w:ascii="Arial" w:cs="Arial" w:eastAsia="Arial" w:hAnsi="Arial"/>
          <w:sz w:val="12"/>
          <w:szCs w:val="12"/>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79"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1"/>
          <w:szCs w:val="11"/>
          <w:color w:val="auto"/>
        </w:rPr>
        <w:t xml:space="preserve">As of September 30, 2022, we believe that we have sufficient liquidity and capital resources available to execute our business strategy (see </w:t>
      </w:r>
      <w:r>
        <w:rPr>
          <w:rFonts w:ascii="Arial" w:cs="Arial" w:eastAsia="Arial" w:hAnsi="Arial"/>
          <w:sz w:val="11"/>
          <w:szCs w:val="11"/>
          <w:i w:val="1"/>
          <w:iCs w:val="1"/>
          <w:color w:val="auto"/>
        </w:rPr>
        <w:t>Liquidity and Capital Resources</w:t>
      </w:r>
      <w:r>
        <w:rPr>
          <w:rFonts w:ascii="Arial" w:cs="Arial" w:eastAsia="Arial" w:hAnsi="Arial"/>
          <w:sz w:val="11"/>
          <w:szCs w:val="11"/>
          <w:color w:val="auto"/>
        </w:rPr>
        <w:t xml:space="preserve"> in this Form 10-Q for additional details). However, should the value of our collateral or the value of our derivative instruments suddenly decrease, or initial/minimum margin requirements increase,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Risk</w:t>
      </w:r>
    </w:p>
    <w:p>
      <w:pPr>
        <w:spacing w:after="0" w:line="114"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86" w:lineRule="exact"/>
        <w:rPr>
          <w:sz w:val="20"/>
          <w:szCs w:val="20"/>
          <w:color w:val="auto"/>
        </w:rPr>
      </w:pPr>
    </w:p>
    <w:p>
      <w:pPr>
        <w:jc w:val="both"/>
        <w:ind w:firstLine="297"/>
        <w:spacing w:after="0" w:line="320" w:lineRule="auto"/>
        <w:rPr>
          <w:sz w:val="20"/>
          <w:szCs w:val="20"/>
          <w:color w:val="auto"/>
        </w:rPr>
      </w:pPr>
      <w:r>
        <w:rPr>
          <w:rFonts w:ascii="Arial" w:cs="Arial" w:eastAsia="Arial" w:hAnsi="Arial"/>
          <w:sz w:val="10"/>
          <w:szCs w:val="10"/>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2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There is no guarantee that our efforts to manage credit risk will be successful and we could suffer losses if credit performance is worse than our expectations or our counterparties default on their obligations. Excluding central clearing exchanges, as of September 30, 2022, our maximum amount at risk with any counterparty related to our repurchase agreements and derivative agreements was approximately 3% and less than 1%, respectively, of tangible stockholders' equity.</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Controls and Procedures</w:t>
      </w:r>
    </w:p>
    <w:p>
      <w:pPr>
        <w:spacing w:after="0" w:line="82"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56" w:lineRule="exact"/>
        <w:rPr>
          <w:sz w:val="20"/>
          <w:szCs w:val="20"/>
          <w:color w:val="auto"/>
        </w:rPr>
      </w:pPr>
    </w:p>
    <w:p>
      <w:pPr>
        <w:jc w:val="both"/>
        <w:ind w:firstLine="297"/>
        <w:spacing w:after="0" w:line="276" w:lineRule="auto"/>
        <w:rPr>
          <w:sz w:val="20"/>
          <w:szCs w:val="20"/>
          <w:color w:val="auto"/>
        </w:rPr>
      </w:pPr>
      <w:r>
        <w:rPr>
          <w:rFonts w:ascii="Arial" w:cs="Arial" w:eastAsia="Arial" w:hAnsi="Arial"/>
          <w:sz w:val="12"/>
          <w:szCs w:val="12"/>
          <w:color w:val="auto"/>
        </w:rPr>
        <w:t>We, including our Chief Executive Officer and Chief Financial Officer, evaluated the effectiveness of the design and operation of our disclosure controls and procedures as of September 30, 2022. Based on the foregoing, our Chief Executive Officer and Chief Financial Officer concluded that our disclosure controls and procedures were effective.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47" w:name="page48"/>
    <w:bookmarkEnd w:id="47"/>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Legal Proceedings</w:t>
      </w:r>
    </w:p>
    <w:p>
      <w:pPr>
        <w:spacing w:after="0" w:line="82" w:lineRule="exact"/>
        <w:rPr>
          <w:sz w:val="20"/>
          <w:szCs w:val="20"/>
          <w:color w:val="auto"/>
        </w:rPr>
      </w:pPr>
    </w:p>
    <w:p>
      <w:pPr>
        <w:ind w:firstLine="297"/>
        <w:spacing w:after="0" w:line="323" w:lineRule="auto"/>
        <w:rPr>
          <w:sz w:val="20"/>
          <w:szCs w:val="20"/>
          <w:color w:val="auto"/>
        </w:rPr>
      </w:pPr>
      <w:r>
        <w:rPr>
          <w:rFonts w:ascii="Arial" w:cs="Arial" w:eastAsia="Arial" w:hAnsi="Arial"/>
          <w:sz w:val="11"/>
          <w:szCs w:val="11"/>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have been no material changes to the risk factors previously disclosed in our Annual Report on Form 10-K for the year ended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Unregistered Sales of Equity Securities and Use of Proceeds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Defaults upon Senior Securities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Other Information</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None.</w:t>
      </w:r>
    </w:p>
    <w:p>
      <w:pPr>
        <w:spacing w:after="0" w:line="7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i w:val="1"/>
          <w:iCs w:val="1"/>
          <w:color w:val="auto"/>
        </w:rPr>
        <w:t>Exhibits and Financial Statement Schedules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(a) Exhibit Index</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0"/>
          <w:szCs w:val="10"/>
          <w:b w:val="1"/>
          <w:bCs w:val="1"/>
          <w:u w:val="single" w:color="auto"/>
          <w:color w:val="auto"/>
        </w:rPr>
        <w:t>Exhibit No.</w:t>
      </w:r>
      <w:r>
        <w:rPr>
          <w:sz w:val="20"/>
          <w:szCs w:val="20"/>
          <w:color w:val="auto"/>
        </w:rPr>
        <w:tab/>
      </w:r>
      <w:r>
        <w:rPr>
          <w:rFonts w:ascii="Arial" w:cs="Arial" w:eastAsia="Arial" w:hAnsi="Arial"/>
          <w:sz w:val="8"/>
          <w:szCs w:val="8"/>
          <w:b w:val="1"/>
          <w:bCs w:val="1"/>
          <w:u w:val="single" w:color="auto"/>
          <w:color w:val="auto"/>
        </w:rPr>
        <w:t>Description</w:t>
      </w:r>
    </w:p>
    <w:p>
      <w:pPr>
        <w:spacing w:after="0" w:line="116" w:lineRule="exact"/>
        <w:rPr>
          <w:sz w:val="20"/>
          <w:szCs w:val="20"/>
          <w:color w:val="auto"/>
        </w:rPr>
      </w:pPr>
    </w:p>
    <w:p>
      <w:pPr>
        <w:spacing w:after="0"/>
        <w:tabs>
          <w:tab w:leader="none" w:pos="320" w:val="left"/>
        </w:tabs>
        <w:rPr>
          <w:rFonts w:ascii="Arial" w:cs="Arial" w:eastAsia="Arial" w:hAnsi="Arial"/>
          <w:sz w:val="11"/>
          <w:szCs w:val="11"/>
          <w:color w:val="auto"/>
        </w:rPr>
      </w:pPr>
      <w:hyperlink r:id="rId65">
        <w:r>
          <w:rPr>
            <w:rFonts w:ascii="Arial" w:cs="Arial" w:eastAsia="Arial" w:hAnsi="Arial"/>
            <w:sz w:val="12"/>
            <w:szCs w:val="12"/>
            <w:color w:val="auto"/>
          </w:rPr>
          <w:t>*3.1</w:t>
        </w:r>
      </w:hyperlink>
      <w:r>
        <w:rPr>
          <w:rFonts w:ascii="Arial" w:cs="Arial" w:eastAsia="Arial" w:hAnsi="Arial"/>
          <w:sz w:val="12"/>
          <w:szCs w:val="12"/>
          <w:color w:val="auto"/>
        </w:rPr>
        <w:tab/>
      </w:r>
      <w:hyperlink r:id="rId65">
        <w:r>
          <w:rPr>
            <w:rFonts w:ascii="Arial" w:cs="Arial" w:eastAsia="Arial" w:hAnsi="Arial"/>
            <w:sz w:val="11"/>
            <w:szCs w:val="11"/>
            <w:color w:val="auto"/>
          </w:rPr>
          <w:t>AGNC Investment Corp. Amended and Restated Certificate of Incorporation, as amended, incorporated by reference from Exhibit 3.1 of Form 10-K for the year ended December 31, 2021 (File No. 001-34057), filed February</w:t>
        </w:r>
      </w:hyperlink>
    </w:p>
    <w:p>
      <w:pPr>
        <w:spacing w:after="0" w:line="15" w:lineRule="exact"/>
        <w:rPr>
          <w:sz w:val="20"/>
          <w:szCs w:val="20"/>
          <w:color w:val="auto"/>
        </w:rPr>
      </w:pPr>
    </w:p>
    <w:p>
      <w:pPr>
        <w:ind w:left="860"/>
        <w:spacing w:after="0"/>
        <w:rPr>
          <w:rFonts w:ascii="Arial" w:cs="Arial" w:eastAsia="Arial" w:hAnsi="Arial"/>
          <w:sz w:val="12"/>
          <w:szCs w:val="12"/>
          <w:color w:val="auto"/>
        </w:rPr>
      </w:pPr>
      <w:hyperlink r:id="rId65">
        <w:r>
          <w:rPr>
            <w:rFonts w:ascii="Arial" w:cs="Arial" w:eastAsia="Arial" w:hAnsi="Arial"/>
            <w:sz w:val="12"/>
            <w:szCs w:val="12"/>
            <w:color w:val="auto"/>
          </w:rPr>
          <w:t>23, 2022.</w:t>
        </w:r>
      </w:hyperlink>
    </w:p>
    <w:p>
      <w:pPr>
        <w:spacing w:after="0" w:line="105" w:lineRule="exact"/>
        <w:rPr>
          <w:sz w:val="20"/>
          <w:szCs w:val="20"/>
          <w:color w:val="auto"/>
        </w:rPr>
      </w:pPr>
    </w:p>
    <w:p>
      <w:pPr>
        <w:spacing w:after="0"/>
        <w:tabs>
          <w:tab w:leader="none" w:pos="300" w:val="left"/>
        </w:tabs>
        <w:rPr>
          <w:rFonts w:ascii="Arial" w:cs="Arial" w:eastAsia="Arial" w:hAnsi="Arial"/>
          <w:sz w:val="10"/>
          <w:szCs w:val="10"/>
          <w:color w:val="auto"/>
        </w:rPr>
      </w:pPr>
      <w:hyperlink r:id="rId66">
        <w:r>
          <w:rPr>
            <w:rFonts w:ascii="Arial" w:cs="Arial" w:eastAsia="Arial" w:hAnsi="Arial"/>
            <w:sz w:val="12"/>
            <w:szCs w:val="12"/>
            <w:color w:val="auto"/>
          </w:rPr>
          <w:t>*3.2</w:t>
        </w:r>
      </w:hyperlink>
      <w:r>
        <w:rPr>
          <w:rFonts w:ascii="Arial" w:cs="Arial" w:eastAsia="Arial" w:hAnsi="Arial"/>
          <w:sz w:val="12"/>
          <w:szCs w:val="12"/>
          <w:color w:val="auto"/>
        </w:rPr>
        <w:tab/>
      </w:r>
      <w:hyperlink r:id="rId66">
        <w:r>
          <w:rPr>
            <w:rFonts w:ascii="Arial" w:cs="Arial" w:eastAsia="Arial" w:hAnsi="Arial"/>
            <w:sz w:val="10"/>
            <w:szCs w:val="10"/>
            <w:color w:val="auto"/>
          </w:rPr>
          <w:t>AGNC Investment Corp. Fourth Amended and Restated Bylaws, as amended, incorporated herein by reference to Exhibit 3.1 of Form 8-K (File No. 001-34057), filed March 11, 2021.</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67">
        <w:r>
          <w:rPr>
            <w:rFonts w:ascii="Arial" w:cs="Arial" w:eastAsia="Arial" w:hAnsi="Arial"/>
            <w:sz w:val="12"/>
            <w:szCs w:val="12"/>
            <w:color w:val="auto"/>
          </w:rPr>
          <w:t>*3.3</w:t>
        </w:r>
      </w:hyperlink>
      <w:r>
        <w:rPr>
          <w:rFonts w:ascii="Arial" w:cs="Arial" w:eastAsia="Arial" w:hAnsi="Arial"/>
          <w:sz w:val="12"/>
          <w:szCs w:val="12"/>
          <w:color w:val="auto"/>
        </w:rPr>
        <w:tab/>
      </w:r>
      <w:hyperlink r:id="rId67">
        <w:r>
          <w:rPr>
            <w:rFonts w:ascii="Arial" w:cs="Arial" w:eastAsia="Arial" w:hAnsi="Arial"/>
            <w:sz w:val="10"/>
            <w:szCs w:val="10"/>
            <w:color w:val="auto"/>
          </w:rPr>
          <w:t>Certificate of Designations of 7.00% Series C Fixed-to-Floating Rate Cumulative Redeemable Preferred Stock, incorporated herein by reference to Exhibit 3.5 of Form 8-A (File No. 001-34057), filed August 18, 2017.</w:t>
        </w:r>
      </w:hyperlink>
    </w:p>
    <w:p>
      <w:pPr>
        <w:spacing w:after="0" w:line="114" w:lineRule="exact"/>
        <w:rPr>
          <w:sz w:val="20"/>
          <w:szCs w:val="20"/>
          <w:color w:val="auto"/>
        </w:rPr>
      </w:pPr>
    </w:p>
    <w:p>
      <w:pPr>
        <w:spacing w:after="0"/>
        <w:tabs>
          <w:tab w:leader="none" w:pos="300" w:val="left"/>
        </w:tabs>
        <w:rPr>
          <w:rFonts w:ascii="Arial" w:cs="Arial" w:eastAsia="Arial" w:hAnsi="Arial"/>
          <w:sz w:val="11"/>
          <w:szCs w:val="11"/>
          <w:color w:val="auto"/>
        </w:rPr>
      </w:pPr>
      <w:hyperlink r:id="rId68">
        <w:r>
          <w:rPr>
            <w:rFonts w:ascii="Arial" w:cs="Arial" w:eastAsia="Arial" w:hAnsi="Arial"/>
            <w:sz w:val="12"/>
            <w:szCs w:val="12"/>
            <w:color w:val="auto"/>
          </w:rPr>
          <w:t>*3.4</w:t>
        </w:r>
      </w:hyperlink>
      <w:r>
        <w:rPr>
          <w:rFonts w:ascii="Arial" w:cs="Arial" w:eastAsia="Arial" w:hAnsi="Arial"/>
          <w:sz w:val="12"/>
          <w:szCs w:val="12"/>
          <w:color w:val="auto"/>
        </w:rPr>
        <w:tab/>
      </w:r>
      <w:hyperlink r:id="rId68">
        <w:r>
          <w:rPr>
            <w:rFonts w:ascii="Arial" w:cs="Arial" w:eastAsia="Arial" w:hAnsi="Arial"/>
            <w:sz w:val="11"/>
            <w:szCs w:val="11"/>
            <w:color w:val="auto"/>
          </w:rPr>
          <w:t>Certificate of Elimination of 8.000% Series A Cumulative Redeemable Preferred Stock, incorporated herein by reference to Exhibit 3.1 of Form 8-K (File No 001-34057), filed October 26, 2017.</w:t>
        </w:r>
      </w:hyperlink>
    </w:p>
    <w:p>
      <w:pPr>
        <w:spacing w:after="0" w:line="114" w:lineRule="exact"/>
        <w:rPr>
          <w:sz w:val="20"/>
          <w:szCs w:val="20"/>
          <w:color w:val="auto"/>
        </w:rPr>
      </w:pPr>
    </w:p>
    <w:p>
      <w:pPr>
        <w:spacing w:after="0"/>
        <w:tabs>
          <w:tab w:leader="none" w:pos="300" w:val="left"/>
        </w:tabs>
        <w:rPr>
          <w:rFonts w:ascii="Arial" w:cs="Arial" w:eastAsia="Arial" w:hAnsi="Arial"/>
          <w:sz w:val="11"/>
          <w:szCs w:val="11"/>
          <w:color w:val="auto"/>
        </w:rPr>
      </w:pPr>
      <w:hyperlink r:id="rId69">
        <w:r>
          <w:rPr>
            <w:rFonts w:ascii="Arial" w:cs="Arial" w:eastAsia="Arial" w:hAnsi="Arial"/>
            <w:sz w:val="12"/>
            <w:szCs w:val="12"/>
            <w:color w:val="auto"/>
          </w:rPr>
          <w:t>*3.5</w:t>
        </w:r>
      </w:hyperlink>
      <w:r>
        <w:rPr>
          <w:rFonts w:ascii="Arial" w:cs="Arial" w:eastAsia="Arial" w:hAnsi="Arial"/>
          <w:sz w:val="12"/>
          <w:szCs w:val="12"/>
          <w:color w:val="auto"/>
        </w:rPr>
        <w:tab/>
      </w:r>
      <w:hyperlink r:id="rId69">
        <w:r>
          <w:rPr>
            <w:rFonts w:ascii="Arial" w:cs="Arial" w:eastAsia="Arial" w:hAnsi="Arial"/>
            <w:sz w:val="11"/>
            <w:szCs w:val="11"/>
            <w:color w:val="auto"/>
          </w:rPr>
          <w:t>Certificate of Designations of 6.875% Series D Fixed-to-Floating Rate Cumulative Redeemable Preferred Stock, incorporated herein by reference to Exhibit 3.5 of Form 8-A (File No 001-34057), filed March 6, 2019.</w:t>
        </w:r>
      </w:hyperlink>
    </w:p>
    <w:p>
      <w:pPr>
        <w:spacing w:after="0" w:line="114" w:lineRule="exact"/>
        <w:rPr>
          <w:sz w:val="20"/>
          <w:szCs w:val="20"/>
          <w:color w:val="auto"/>
        </w:rPr>
      </w:pPr>
    </w:p>
    <w:p>
      <w:pPr>
        <w:spacing w:after="0"/>
        <w:tabs>
          <w:tab w:leader="none" w:pos="300" w:val="left"/>
        </w:tabs>
        <w:rPr>
          <w:rFonts w:ascii="Arial" w:cs="Arial" w:eastAsia="Arial" w:hAnsi="Arial"/>
          <w:sz w:val="11"/>
          <w:szCs w:val="11"/>
          <w:color w:val="auto"/>
        </w:rPr>
      </w:pPr>
      <w:hyperlink r:id="rId70">
        <w:r>
          <w:rPr>
            <w:rFonts w:ascii="Arial" w:cs="Arial" w:eastAsia="Arial" w:hAnsi="Arial"/>
            <w:sz w:val="12"/>
            <w:szCs w:val="12"/>
            <w:color w:val="auto"/>
          </w:rPr>
          <w:t>*3.6</w:t>
        </w:r>
      </w:hyperlink>
      <w:r>
        <w:rPr>
          <w:rFonts w:ascii="Arial" w:cs="Arial" w:eastAsia="Arial" w:hAnsi="Arial"/>
          <w:sz w:val="12"/>
          <w:szCs w:val="12"/>
          <w:color w:val="auto"/>
        </w:rPr>
        <w:tab/>
      </w:r>
      <w:hyperlink r:id="rId70">
        <w:r>
          <w:rPr>
            <w:rFonts w:ascii="Arial" w:cs="Arial" w:eastAsia="Arial" w:hAnsi="Arial"/>
            <w:sz w:val="11"/>
            <w:szCs w:val="11"/>
            <w:color w:val="auto"/>
          </w:rPr>
          <w:t>Certificate of Designations of 6.50% Series E Fixed-to-Floating Rate Cumulative Redeemable Preferred Stock, incorporated herein by reference to Exhibit 3.6 of Form 8-A (File No 001-34057), filed October 3, 2019.</w:t>
        </w:r>
      </w:hyperlink>
    </w:p>
    <w:p>
      <w:pPr>
        <w:spacing w:after="0" w:line="114" w:lineRule="exact"/>
        <w:rPr>
          <w:sz w:val="20"/>
          <w:szCs w:val="20"/>
          <w:color w:val="auto"/>
        </w:rPr>
      </w:pPr>
    </w:p>
    <w:p>
      <w:pPr>
        <w:spacing w:after="0"/>
        <w:tabs>
          <w:tab w:leader="none" w:pos="300" w:val="left"/>
        </w:tabs>
        <w:rPr>
          <w:rFonts w:ascii="Arial" w:cs="Arial" w:eastAsia="Arial" w:hAnsi="Arial"/>
          <w:sz w:val="11"/>
          <w:szCs w:val="11"/>
          <w:color w:val="auto"/>
        </w:rPr>
      </w:pPr>
      <w:hyperlink r:id="rId71">
        <w:r>
          <w:rPr>
            <w:rFonts w:ascii="Arial" w:cs="Arial" w:eastAsia="Arial" w:hAnsi="Arial"/>
            <w:sz w:val="12"/>
            <w:szCs w:val="12"/>
            <w:color w:val="auto"/>
          </w:rPr>
          <w:t>*3.7</w:t>
        </w:r>
      </w:hyperlink>
      <w:r>
        <w:rPr>
          <w:rFonts w:ascii="Arial" w:cs="Arial" w:eastAsia="Arial" w:hAnsi="Arial"/>
          <w:sz w:val="12"/>
          <w:szCs w:val="12"/>
          <w:color w:val="auto"/>
        </w:rPr>
        <w:tab/>
      </w:r>
      <w:hyperlink r:id="rId71">
        <w:r>
          <w:rPr>
            <w:rFonts w:ascii="Arial" w:cs="Arial" w:eastAsia="Arial" w:hAnsi="Arial"/>
            <w:sz w:val="11"/>
            <w:szCs w:val="11"/>
            <w:color w:val="auto"/>
          </w:rPr>
          <w:t>Certificate of Elimination of 7.750% Series B Cumulative Redeemable Preferred Stock, incorporated herein by reference to Exhibit 3.1 of Form 8-K (File No 001-34057), filed December 13, 2019.</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2">
        <w:r>
          <w:rPr>
            <w:rFonts w:ascii="Arial" w:cs="Arial" w:eastAsia="Arial" w:hAnsi="Arial"/>
            <w:sz w:val="12"/>
            <w:szCs w:val="12"/>
            <w:color w:val="auto"/>
          </w:rPr>
          <w:t>*3.8</w:t>
        </w:r>
      </w:hyperlink>
      <w:r>
        <w:rPr>
          <w:rFonts w:ascii="Arial" w:cs="Arial" w:eastAsia="Arial" w:hAnsi="Arial"/>
          <w:sz w:val="12"/>
          <w:szCs w:val="12"/>
          <w:color w:val="auto"/>
        </w:rPr>
        <w:tab/>
      </w:r>
      <w:hyperlink r:id="rId72">
        <w:r>
          <w:rPr>
            <w:rFonts w:ascii="Arial" w:cs="Arial" w:eastAsia="Arial" w:hAnsi="Arial"/>
            <w:sz w:val="10"/>
            <w:szCs w:val="10"/>
            <w:color w:val="auto"/>
          </w:rPr>
          <w:t>Certificate of Designations of 6.125% Series F Fixed-to-Floating Rate Cumulative Redeemable Preferred Stock, incorporated herein by reference to Exhibit 3.6 of Form 8-A (File No 001-34057), filed February 11, 2020.</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3">
        <w:r>
          <w:rPr>
            <w:rFonts w:ascii="Arial" w:cs="Arial" w:eastAsia="Arial" w:hAnsi="Arial"/>
            <w:sz w:val="12"/>
            <w:szCs w:val="12"/>
            <w:color w:val="auto"/>
          </w:rPr>
          <w:t>*3.9</w:t>
        </w:r>
      </w:hyperlink>
      <w:r>
        <w:rPr>
          <w:rFonts w:ascii="Arial" w:cs="Arial" w:eastAsia="Arial" w:hAnsi="Arial"/>
          <w:sz w:val="12"/>
          <w:szCs w:val="12"/>
          <w:color w:val="auto"/>
        </w:rPr>
        <w:tab/>
      </w:r>
      <w:hyperlink r:id="rId73">
        <w:r>
          <w:rPr>
            <w:rFonts w:ascii="Arial" w:cs="Arial" w:eastAsia="Arial" w:hAnsi="Arial"/>
            <w:sz w:val="10"/>
            <w:szCs w:val="10"/>
            <w:color w:val="auto"/>
          </w:rPr>
          <w:t>Certificate of Designations of 7.75% Series G Fixed-Rate Reset Cumulative Redeemable Preferred Stock, incorporated herein by reference to Exhibit 3.7 of Form 8-A (File No 001-34057), filed September 14, 2022.</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48" w:name="page49"/>
    <w:bookmarkEnd w:id="48"/>
    <w:p>
      <w:pPr>
        <w:ind w:left="340" w:right="20" w:hanging="863"/>
        <w:spacing w:after="0" w:line="276" w:lineRule="auto"/>
        <w:tabs>
          <w:tab w:leader="none" w:pos="320" w:val="left"/>
        </w:tabs>
        <w:rPr>
          <w:rFonts w:ascii="Arial" w:cs="Arial" w:eastAsia="Arial" w:hAnsi="Arial"/>
          <w:sz w:val="12"/>
          <w:szCs w:val="12"/>
          <w:color w:val="auto"/>
        </w:rPr>
      </w:pPr>
      <w:hyperlink r:id="rId65">
        <w:r>
          <w:rPr>
            <w:rFonts w:ascii="Arial" w:cs="Arial" w:eastAsia="Arial" w:hAnsi="Arial"/>
            <w:sz w:val="12"/>
            <w:szCs w:val="12"/>
            <w:color w:val="auto"/>
          </w:rPr>
          <w:t>*4.1</w:t>
        </w:r>
      </w:hyperlink>
      <w:r>
        <w:rPr>
          <w:rFonts w:ascii="Arial" w:cs="Arial" w:eastAsia="Arial" w:hAnsi="Arial"/>
          <w:sz w:val="12"/>
          <w:szCs w:val="12"/>
          <w:color w:val="auto"/>
        </w:rPr>
        <w:tab/>
      </w:r>
      <w:hyperlink r:id="rId65">
        <w:r>
          <w:rPr>
            <w:rFonts w:ascii="Arial" w:cs="Arial" w:eastAsia="Arial" w:hAnsi="Arial"/>
            <w:sz w:val="12"/>
            <w:szCs w:val="12"/>
            <w:color w:val="auto"/>
          </w:rPr>
          <w:t>Instruments defining the rights of holders of securities: See Article IV of our Amended and Restated Certificate of Incorporation, as amended, incorporated herein by reference to Exhibit 3.1 of Form 10-K for the year ended</w:t>
        </w:r>
      </w:hyperlink>
      <w:r>
        <w:rPr>
          <w:rFonts w:ascii="Arial" w:cs="Arial" w:eastAsia="Arial" w:hAnsi="Arial"/>
          <w:sz w:val="12"/>
          <w:szCs w:val="12"/>
          <w:color w:val="auto"/>
        </w:rPr>
        <w:t xml:space="preserve"> </w:t>
      </w:r>
      <w:hyperlink r:id="rId65">
        <w:r>
          <w:rPr>
            <w:rFonts w:ascii="Arial" w:cs="Arial" w:eastAsia="Arial" w:hAnsi="Arial"/>
            <w:sz w:val="12"/>
            <w:szCs w:val="12"/>
            <w:color w:val="auto"/>
          </w:rPr>
          <w:t>December 31, 2021 (File No. 001-34057), filed February 23, 2022.</w:t>
        </w:r>
      </w:hyperlink>
    </w:p>
    <w:p>
      <w:pPr>
        <w:spacing w:after="0" w:line="79" w:lineRule="exact"/>
        <w:rPr>
          <w:rFonts w:ascii="Arial" w:cs="Arial" w:eastAsia="Arial" w:hAnsi="Arial"/>
          <w:sz w:val="12"/>
          <w:szCs w:val="12"/>
          <w:color w:val="auto"/>
        </w:rPr>
      </w:pPr>
    </w:p>
    <w:p>
      <w:pPr>
        <w:spacing w:after="0"/>
        <w:tabs>
          <w:tab w:leader="none" w:pos="300" w:val="left"/>
        </w:tabs>
        <w:rPr>
          <w:rFonts w:ascii="Arial" w:cs="Arial" w:eastAsia="Arial" w:hAnsi="Arial"/>
          <w:sz w:val="10"/>
          <w:szCs w:val="10"/>
          <w:color w:val="auto"/>
        </w:rPr>
      </w:pPr>
      <w:hyperlink r:id="rId66">
        <w:r>
          <w:rPr>
            <w:rFonts w:ascii="Arial" w:cs="Arial" w:eastAsia="Arial" w:hAnsi="Arial"/>
            <w:sz w:val="12"/>
            <w:szCs w:val="12"/>
            <w:color w:val="auto"/>
          </w:rPr>
          <w:t>*4.2</w:t>
        </w:r>
      </w:hyperlink>
      <w:r>
        <w:rPr>
          <w:rFonts w:ascii="Arial" w:cs="Arial" w:eastAsia="Arial" w:hAnsi="Arial"/>
          <w:sz w:val="12"/>
          <w:szCs w:val="12"/>
          <w:color w:val="auto"/>
        </w:rPr>
        <w:tab/>
      </w:r>
      <w:hyperlink r:id="rId66">
        <w:r>
          <w:rPr>
            <w:rFonts w:ascii="Arial" w:cs="Arial" w:eastAsia="Arial" w:hAnsi="Arial"/>
            <w:sz w:val="10"/>
            <w:szCs w:val="10"/>
            <w:color w:val="auto"/>
          </w:rPr>
          <w:t>Instruments defining the rights of holders of securities: See Article VI of our Fourth Amended and Restated Bylaws, as amended, incorporated herein by reference to Exhibit 3.1 of Form 8-K, filed March 11, 2021.</w:t>
        </w:r>
      </w:hyperlink>
    </w:p>
    <w:p>
      <w:pPr>
        <w:spacing w:after="0" w:line="11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color w:val="auto"/>
        </w:rPr>
        <w:t>Form of Certificate for Common Stock, filed herewith.</w:t>
      </w:r>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5">
        <w:r>
          <w:rPr>
            <w:rFonts w:ascii="Arial" w:cs="Arial" w:eastAsia="Arial" w:hAnsi="Arial"/>
            <w:sz w:val="12"/>
            <w:szCs w:val="12"/>
            <w:color w:val="auto"/>
          </w:rPr>
          <w:t>*4.4</w:t>
        </w:r>
      </w:hyperlink>
      <w:r>
        <w:rPr>
          <w:rFonts w:ascii="Arial" w:cs="Arial" w:eastAsia="Arial" w:hAnsi="Arial"/>
          <w:sz w:val="12"/>
          <w:szCs w:val="12"/>
          <w:color w:val="auto"/>
        </w:rPr>
        <w:tab/>
      </w:r>
      <w:hyperlink r:id="rId75">
        <w:r>
          <w:rPr>
            <w:rFonts w:ascii="Arial" w:cs="Arial" w:eastAsia="Arial" w:hAnsi="Arial"/>
            <w:sz w:val="10"/>
            <w:szCs w:val="10"/>
            <w:color w:val="auto"/>
          </w:rPr>
          <w:t>Specimen 7.00% Series C Fixed-to-Floating Rate Cumulative Redeemable Preferred Stock Certificate, incorporated herein by reference to Exhibit 4.1 of Form 8-A (File No. 001-34057), filed August 18, 2017.</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6">
        <w:r>
          <w:rPr>
            <w:rFonts w:ascii="Arial" w:cs="Arial" w:eastAsia="Arial" w:hAnsi="Arial"/>
            <w:sz w:val="12"/>
            <w:szCs w:val="12"/>
            <w:color w:val="auto"/>
          </w:rPr>
          <w:t>*4.5</w:t>
        </w:r>
      </w:hyperlink>
      <w:r>
        <w:rPr>
          <w:rFonts w:ascii="Arial" w:cs="Arial" w:eastAsia="Arial" w:hAnsi="Arial"/>
          <w:sz w:val="12"/>
          <w:szCs w:val="12"/>
          <w:color w:val="auto"/>
        </w:rPr>
        <w:tab/>
      </w:r>
      <w:hyperlink r:id="rId76">
        <w:r>
          <w:rPr>
            <w:rFonts w:ascii="Arial" w:cs="Arial" w:eastAsia="Arial" w:hAnsi="Arial"/>
            <w:sz w:val="10"/>
            <w:szCs w:val="10"/>
            <w:color w:val="auto"/>
          </w:rPr>
          <w:t>Specimen 6.875% Series D Fixed-to-Floating Rate Cumulative Redeemable Preferred Stock Certificate, incorporated herein by reference to Exhibit 4.1 of Form 8-A (File No. 001-34057), filed March 6, 2019.</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7">
        <w:r>
          <w:rPr>
            <w:rFonts w:ascii="Arial" w:cs="Arial" w:eastAsia="Arial" w:hAnsi="Arial"/>
            <w:sz w:val="12"/>
            <w:szCs w:val="12"/>
            <w:color w:val="auto"/>
          </w:rPr>
          <w:t>*4.6</w:t>
        </w:r>
      </w:hyperlink>
      <w:r>
        <w:rPr>
          <w:rFonts w:ascii="Arial" w:cs="Arial" w:eastAsia="Arial" w:hAnsi="Arial"/>
          <w:sz w:val="12"/>
          <w:szCs w:val="12"/>
          <w:color w:val="auto"/>
        </w:rPr>
        <w:tab/>
      </w:r>
      <w:hyperlink r:id="rId77">
        <w:r>
          <w:rPr>
            <w:rFonts w:ascii="Arial" w:cs="Arial" w:eastAsia="Arial" w:hAnsi="Arial"/>
            <w:sz w:val="10"/>
            <w:szCs w:val="10"/>
            <w:color w:val="auto"/>
          </w:rPr>
          <w:t>Specimen 6.50% Series E Fixed-to-Floating Rate Cumulative Redeemable Preferred Stock Certificate, incorporated herein by reference to Exhibit 4.1 of Form 8-A (File No. 001-34057), filed October 3, 2019.</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8">
        <w:r>
          <w:rPr>
            <w:rFonts w:ascii="Arial" w:cs="Arial" w:eastAsia="Arial" w:hAnsi="Arial"/>
            <w:sz w:val="12"/>
            <w:szCs w:val="12"/>
            <w:color w:val="auto"/>
          </w:rPr>
          <w:t>*4.7</w:t>
        </w:r>
      </w:hyperlink>
      <w:r>
        <w:rPr>
          <w:rFonts w:ascii="Arial" w:cs="Arial" w:eastAsia="Arial" w:hAnsi="Arial"/>
          <w:sz w:val="12"/>
          <w:szCs w:val="12"/>
          <w:color w:val="auto"/>
        </w:rPr>
        <w:tab/>
      </w:r>
      <w:hyperlink r:id="rId78">
        <w:r>
          <w:rPr>
            <w:rFonts w:ascii="Arial" w:cs="Arial" w:eastAsia="Arial" w:hAnsi="Arial"/>
            <w:sz w:val="10"/>
            <w:szCs w:val="10"/>
            <w:color w:val="auto"/>
          </w:rPr>
          <w:t>Specimen 6.125% Series F Fixed-to-Floating Rate Cumulative Redeemable Preferred Stock Certificate, incorporated herein by reference to Exhibit 4.1 of Form 8-A (File No 001-34057), filed February 11, 2020.</w:t>
        </w:r>
      </w:hyperlink>
    </w:p>
    <w:p>
      <w:pPr>
        <w:spacing w:after="0" w:line="114" w:lineRule="exact"/>
        <w:rPr>
          <w:sz w:val="20"/>
          <w:szCs w:val="20"/>
          <w:color w:val="auto"/>
        </w:rPr>
      </w:pPr>
    </w:p>
    <w:p>
      <w:pPr>
        <w:spacing w:after="0"/>
        <w:tabs>
          <w:tab w:leader="none" w:pos="300" w:val="left"/>
        </w:tabs>
        <w:rPr>
          <w:rFonts w:ascii="Arial" w:cs="Arial" w:eastAsia="Arial" w:hAnsi="Arial"/>
          <w:sz w:val="10"/>
          <w:szCs w:val="10"/>
          <w:color w:val="auto"/>
        </w:rPr>
      </w:pPr>
      <w:hyperlink r:id="rId79">
        <w:r>
          <w:rPr>
            <w:rFonts w:ascii="Arial" w:cs="Arial" w:eastAsia="Arial" w:hAnsi="Arial"/>
            <w:sz w:val="12"/>
            <w:szCs w:val="12"/>
            <w:color w:val="auto"/>
          </w:rPr>
          <w:t>*4.8</w:t>
        </w:r>
      </w:hyperlink>
      <w:r>
        <w:rPr>
          <w:rFonts w:ascii="Arial" w:cs="Arial" w:eastAsia="Arial" w:hAnsi="Arial"/>
          <w:sz w:val="12"/>
          <w:szCs w:val="12"/>
          <w:color w:val="auto"/>
        </w:rPr>
        <w:tab/>
      </w:r>
      <w:hyperlink r:id="rId79">
        <w:r>
          <w:rPr>
            <w:rFonts w:ascii="Arial" w:cs="Arial" w:eastAsia="Arial" w:hAnsi="Arial"/>
            <w:sz w:val="10"/>
            <w:szCs w:val="10"/>
            <w:color w:val="auto"/>
          </w:rPr>
          <w:t>Specimen 7.75% Series G Fixed-Rate Reset Cumulative Redeemable Preferred Stock Certificate, incorporated herein by reference to Exhibit 4.1 of Form 8-A (File No 001-34057), filed September 14, 2022.</w:t>
        </w:r>
      </w:hyperlink>
    </w:p>
    <w:p>
      <w:pPr>
        <w:spacing w:after="0" w:line="114" w:lineRule="exact"/>
        <w:rPr>
          <w:sz w:val="20"/>
          <w:szCs w:val="20"/>
          <w:color w:val="auto"/>
        </w:rPr>
      </w:pPr>
    </w:p>
    <w:p>
      <w:pPr>
        <w:ind w:left="340" w:hanging="863"/>
        <w:spacing w:after="0" w:line="276" w:lineRule="auto"/>
        <w:tabs>
          <w:tab w:leader="none" w:pos="320" w:val="left"/>
        </w:tabs>
        <w:rPr>
          <w:rFonts w:ascii="Arial" w:cs="Arial" w:eastAsia="Arial" w:hAnsi="Arial"/>
          <w:sz w:val="12"/>
          <w:szCs w:val="12"/>
          <w:color w:val="auto"/>
        </w:rPr>
      </w:pPr>
      <w:hyperlink r:id="rId80">
        <w:r>
          <w:rPr>
            <w:rFonts w:ascii="Arial" w:cs="Arial" w:eastAsia="Arial" w:hAnsi="Arial"/>
            <w:sz w:val="12"/>
            <w:szCs w:val="12"/>
            <w:color w:val="auto"/>
          </w:rPr>
          <w:t>*4.9</w:t>
        </w:r>
      </w:hyperlink>
      <w:r>
        <w:rPr>
          <w:rFonts w:ascii="Arial" w:cs="Arial" w:eastAsia="Arial" w:hAnsi="Arial"/>
          <w:sz w:val="12"/>
          <w:szCs w:val="12"/>
          <w:color w:val="auto"/>
        </w:rPr>
        <w:tab/>
      </w:r>
      <w:hyperlink r:id="rId80">
        <w:r>
          <w:rPr>
            <w:rFonts w:ascii="Arial" w:cs="Arial" w:eastAsia="Arial" w:hAnsi="Arial"/>
            <w:sz w:val="12"/>
            <w:szCs w:val="12"/>
            <w:color w:val="auto"/>
          </w:rPr>
          <w:t>Deposit Agreement relating to 7.00% Series C Fixed-to-Floating Rate Cumulative Redeemable Preferred Stock, dated August 22, 2017, among AGNC Investment Corp., Computershare Inc. and Computershare Trust Company,</w:t>
        </w:r>
      </w:hyperlink>
      <w:r>
        <w:rPr>
          <w:rFonts w:ascii="Arial" w:cs="Arial" w:eastAsia="Arial" w:hAnsi="Arial"/>
          <w:sz w:val="12"/>
          <w:szCs w:val="12"/>
          <w:color w:val="auto"/>
        </w:rPr>
        <w:t xml:space="preserve"> </w:t>
      </w:r>
      <w:hyperlink r:id="rId80">
        <w:r>
          <w:rPr>
            <w:rFonts w:ascii="Arial" w:cs="Arial" w:eastAsia="Arial" w:hAnsi="Arial"/>
            <w:sz w:val="12"/>
            <w:szCs w:val="12"/>
            <w:color w:val="auto"/>
          </w:rPr>
          <w:t>N.A., jointly as depositary, incorporated herein by reference to Exhibit 4.2 of Form 8-K (File No. 001-34057) filed August 22, 2017.</w:t>
        </w:r>
      </w:hyperlink>
    </w:p>
    <w:p>
      <w:pPr>
        <w:spacing w:after="0" w:line="79" w:lineRule="exact"/>
        <w:rPr>
          <w:rFonts w:ascii="Arial" w:cs="Arial" w:eastAsia="Arial" w:hAnsi="Arial"/>
          <w:sz w:val="12"/>
          <w:szCs w:val="12"/>
          <w:color w:val="auto"/>
        </w:rPr>
      </w:pPr>
    </w:p>
    <w:p>
      <w:pPr>
        <w:ind w:left="380" w:right="20" w:hanging="863"/>
        <w:spacing w:after="0" w:line="276" w:lineRule="auto"/>
        <w:tabs>
          <w:tab w:leader="none" w:pos="360" w:val="left"/>
        </w:tabs>
        <w:rPr>
          <w:rFonts w:ascii="Arial" w:cs="Arial" w:eastAsia="Arial" w:hAnsi="Arial"/>
          <w:sz w:val="12"/>
          <w:szCs w:val="12"/>
          <w:color w:val="auto"/>
        </w:rPr>
      </w:pPr>
      <w:hyperlink r:id="rId80">
        <w:r>
          <w:rPr>
            <w:rFonts w:ascii="Arial" w:cs="Arial" w:eastAsia="Arial" w:hAnsi="Arial"/>
            <w:sz w:val="12"/>
            <w:szCs w:val="12"/>
            <w:color w:val="auto"/>
          </w:rPr>
          <w:t>*4.10</w:t>
        </w:r>
      </w:hyperlink>
      <w:r>
        <w:rPr>
          <w:rFonts w:ascii="Arial" w:cs="Arial" w:eastAsia="Arial" w:hAnsi="Arial"/>
          <w:sz w:val="12"/>
          <w:szCs w:val="12"/>
          <w:color w:val="auto"/>
        </w:rPr>
        <w:tab/>
      </w:r>
      <w:hyperlink r:id="rId80">
        <w:r>
          <w:rPr>
            <w:rFonts w:ascii="Arial" w:cs="Arial" w:eastAsia="Arial" w:hAnsi="Arial"/>
            <w:sz w:val="12"/>
            <w:szCs w:val="12"/>
            <w:color w:val="auto"/>
          </w:rPr>
          <w:t>Form of Depositary Receipt representing 1/1,000th of a share of 7.00% Series C Fixed-to-Floating Rate Cumulative Redeemable Preferred Stock (included as part of Exhibit 4.9), incorporated herein by reference to Exhibit A of</w:t>
        </w:r>
      </w:hyperlink>
      <w:r>
        <w:rPr>
          <w:rFonts w:ascii="Arial" w:cs="Arial" w:eastAsia="Arial" w:hAnsi="Arial"/>
          <w:sz w:val="12"/>
          <w:szCs w:val="12"/>
          <w:color w:val="auto"/>
        </w:rPr>
        <w:t xml:space="preserve"> </w:t>
      </w:r>
      <w:hyperlink r:id="rId80">
        <w:r>
          <w:rPr>
            <w:rFonts w:ascii="Arial" w:cs="Arial" w:eastAsia="Arial" w:hAnsi="Arial"/>
            <w:sz w:val="12"/>
            <w:szCs w:val="12"/>
            <w:color w:val="auto"/>
          </w:rPr>
          <w:t>Exhibit 4.2 of Form 8-K (File No. 001-34057) filed August 22, 2017.</w:t>
        </w:r>
      </w:hyperlink>
    </w:p>
    <w:p>
      <w:pPr>
        <w:spacing w:after="0" w:line="79" w:lineRule="exact"/>
        <w:rPr>
          <w:rFonts w:ascii="Arial" w:cs="Arial" w:eastAsia="Arial" w:hAnsi="Arial"/>
          <w:sz w:val="12"/>
          <w:szCs w:val="12"/>
          <w:color w:val="auto"/>
        </w:rPr>
      </w:pPr>
    </w:p>
    <w:p>
      <w:pPr>
        <w:ind w:left="380" w:hanging="863"/>
        <w:spacing w:after="0" w:line="276" w:lineRule="auto"/>
        <w:tabs>
          <w:tab w:leader="none" w:pos="360" w:val="left"/>
        </w:tabs>
        <w:rPr>
          <w:rFonts w:ascii="Arial" w:cs="Arial" w:eastAsia="Arial" w:hAnsi="Arial"/>
          <w:sz w:val="12"/>
          <w:szCs w:val="12"/>
          <w:color w:val="auto"/>
        </w:rPr>
      </w:pPr>
      <w:hyperlink r:id="rId81">
        <w:r>
          <w:rPr>
            <w:rFonts w:ascii="Arial" w:cs="Arial" w:eastAsia="Arial" w:hAnsi="Arial"/>
            <w:sz w:val="12"/>
            <w:szCs w:val="12"/>
            <w:color w:val="auto"/>
          </w:rPr>
          <w:t>*4.11</w:t>
        </w:r>
      </w:hyperlink>
      <w:r>
        <w:rPr>
          <w:rFonts w:ascii="Arial" w:cs="Arial" w:eastAsia="Arial" w:hAnsi="Arial"/>
          <w:sz w:val="12"/>
          <w:szCs w:val="12"/>
          <w:color w:val="auto"/>
        </w:rPr>
        <w:tab/>
      </w:r>
      <w:hyperlink r:id="rId81">
        <w:r>
          <w:rPr>
            <w:rFonts w:ascii="Arial" w:cs="Arial" w:eastAsia="Arial" w:hAnsi="Arial"/>
            <w:sz w:val="12"/>
            <w:szCs w:val="12"/>
            <w:color w:val="auto"/>
          </w:rPr>
          <w:t>Deposit Agreement relating to 6.875% Series D Fixed-to-Floating Rate Cumulative Redeemable Preferred Stock, dated March 6, 2019, among AGNC Investment Corp., Computershare Inc. and Computershare Trust Company,</w:t>
        </w:r>
      </w:hyperlink>
      <w:r>
        <w:rPr>
          <w:rFonts w:ascii="Arial" w:cs="Arial" w:eastAsia="Arial" w:hAnsi="Arial"/>
          <w:sz w:val="12"/>
          <w:szCs w:val="12"/>
          <w:color w:val="auto"/>
        </w:rPr>
        <w:t xml:space="preserve"> </w:t>
      </w:r>
      <w:hyperlink r:id="rId81">
        <w:r>
          <w:rPr>
            <w:rFonts w:ascii="Arial" w:cs="Arial" w:eastAsia="Arial" w:hAnsi="Arial"/>
            <w:sz w:val="12"/>
            <w:szCs w:val="12"/>
            <w:color w:val="auto"/>
          </w:rPr>
          <w:t>N.A., jointly as depositary, incorporated herein by reference to Exhibit 4.2 of Form 8-K (File No. 001-34057) filed March 6, 2019.</w:t>
        </w:r>
      </w:hyperlink>
    </w:p>
    <w:p>
      <w:pPr>
        <w:spacing w:after="0" w:line="79" w:lineRule="exact"/>
        <w:rPr>
          <w:rFonts w:ascii="Arial" w:cs="Arial" w:eastAsia="Arial" w:hAnsi="Arial"/>
          <w:sz w:val="12"/>
          <w:szCs w:val="12"/>
          <w:color w:val="auto"/>
        </w:rPr>
      </w:pPr>
    </w:p>
    <w:p>
      <w:pPr>
        <w:ind w:left="380" w:right="20" w:hanging="863"/>
        <w:spacing w:after="0" w:line="276" w:lineRule="auto"/>
        <w:tabs>
          <w:tab w:leader="none" w:pos="360" w:val="left"/>
        </w:tabs>
        <w:rPr>
          <w:rFonts w:ascii="Arial" w:cs="Arial" w:eastAsia="Arial" w:hAnsi="Arial"/>
          <w:sz w:val="12"/>
          <w:szCs w:val="12"/>
          <w:color w:val="auto"/>
        </w:rPr>
      </w:pPr>
      <w:hyperlink r:id="rId81">
        <w:r>
          <w:rPr>
            <w:rFonts w:ascii="Arial" w:cs="Arial" w:eastAsia="Arial" w:hAnsi="Arial"/>
            <w:sz w:val="12"/>
            <w:szCs w:val="12"/>
            <w:color w:val="auto"/>
          </w:rPr>
          <w:t>*4.12</w:t>
        </w:r>
      </w:hyperlink>
      <w:r>
        <w:rPr>
          <w:rFonts w:ascii="Arial" w:cs="Arial" w:eastAsia="Arial" w:hAnsi="Arial"/>
          <w:sz w:val="12"/>
          <w:szCs w:val="12"/>
          <w:color w:val="auto"/>
        </w:rPr>
        <w:tab/>
      </w:r>
      <w:hyperlink r:id="rId81">
        <w:r>
          <w:rPr>
            <w:rFonts w:ascii="Arial" w:cs="Arial" w:eastAsia="Arial" w:hAnsi="Arial"/>
            <w:sz w:val="12"/>
            <w:szCs w:val="12"/>
            <w:color w:val="auto"/>
          </w:rPr>
          <w:t>Form of Depositary Receipt representing 1/1,000th of a share of 6.875% Series D Fixed-to-Floating Rate Cumulative Redeemable Preferred Stock (included as part of Exhibit 4.11), incorporated herein by reference to Exhibit A</w:t>
        </w:r>
      </w:hyperlink>
      <w:r>
        <w:rPr>
          <w:rFonts w:ascii="Arial" w:cs="Arial" w:eastAsia="Arial" w:hAnsi="Arial"/>
          <w:sz w:val="12"/>
          <w:szCs w:val="12"/>
          <w:color w:val="auto"/>
        </w:rPr>
        <w:t xml:space="preserve"> </w:t>
      </w:r>
      <w:hyperlink r:id="rId81">
        <w:r>
          <w:rPr>
            <w:rFonts w:ascii="Arial" w:cs="Arial" w:eastAsia="Arial" w:hAnsi="Arial"/>
            <w:sz w:val="12"/>
            <w:szCs w:val="12"/>
            <w:color w:val="auto"/>
          </w:rPr>
          <w:t>of Exhibit 4.2 of Form 8-K (File No. 001-34057) filed March 6, 2019.</w:t>
        </w:r>
      </w:hyperlink>
    </w:p>
    <w:p>
      <w:pPr>
        <w:spacing w:after="0" w:line="79" w:lineRule="exact"/>
        <w:rPr>
          <w:rFonts w:ascii="Arial" w:cs="Arial" w:eastAsia="Arial" w:hAnsi="Arial"/>
          <w:sz w:val="12"/>
          <w:szCs w:val="12"/>
          <w:color w:val="auto"/>
        </w:rPr>
      </w:pPr>
    </w:p>
    <w:p>
      <w:pPr>
        <w:ind w:left="380" w:right="60" w:hanging="863"/>
        <w:spacing w:after="0" w:line="276" w:lineRule="auto"/>
        <w:tabs>
          <w:tab w:leader="none" w:pos="360" w:val="left"/>
        </w:tabs>
        <w:rPr>
          <w:rFonts w:ascii="Arial" w:cs="Arial" w:eastAsia="Arial" w:hAnsi="Arial"/>
          <w:sz w:val="12"/>
          <w:szCs w:val="12"/>
          <w:color w:val="auto"/>
        </w:rPr>
      </w:pPr>
      <w:hyperlink r:id="rId82">
        <w:r>
          <w:rPr>
            <w:rFonts w:ascii="Arial" w:cs="Arial" w:eastAsia="Arial" w:hAnsi="Arial"/>
            <w:sz w:val="12"/>
            <w:szCs w:val="12"/>
            <w:color w:val="auto"/>
          </w:rPr>
          <w:t>*4.13</w:t>
        </w:r>
      </w:hyperlink>
      <w:r>
        <w:rPr>
          <w:rFonts w:ascii="Arial" w:cs="Arial" w:eastAsia="Arial" w:hAnsi="Arial"/>
          <w:sz w:val="12"/>
          <w:szCs w:val="12"/>
          <w:color w:val="auto"/>
        </w:rPr>
        <w:tab/>
      </w:r>
      <w:hyperlink r:id="rId82">
        <w:r>
          <w:rPr>
            <w:rFonts w:ascii="Arial" w:cs="Arial" w:eastAsia="Arial" w:hAnsi="Arial"/>
            <w:sz w:val="12"/>
            <w:szCs w:val="12"/>
            <w:color w:val="auto"/>
          </w:rPr>
          <w:t>Deposit Agreement relating to 6.50% Series E Fixed-to-Floating Rate Cumulative Redeemable Preferred Stock, dated October 3, 2019, among AGNC Investment Corp., Computershare Inc. and Computershare Trust Company,</w:t>
        </w:r>
      </w:hyperlink>
      <w:r>
        <w:rPr>
          <w:rFonts w:ascii="Arial" w:cs="Arial" w:eastAsia="Arial" w:hAnsi="Arial"/>
          <w:sz w:val="12"/>
          <w:szCs w:val="12"/>
          <w:color w:val="auto"/>
        </w:rPr>
        <w:t xml:space="preserve"> </w:t>
      </w:r>
      <w:hyperlink r:id="rId82">
        <w:r>
          <w:rPr>
            <w:rFonts w:ascii="Arial" w:cs="Arial" w:eastAsia="Arial" w:hAnsi="Arial"/>
            <w:sz w:val="12"/>
            <w:szCs w:val="12"/>
            <w:color w:val="auto"/>
          </w:rPr>
          <w:t>N.A., jointly as depositary, incorporated herein by reference to Exhibit 4.2 of Form 8-K (File No. 001-34057) filed October 3, 2019.</w:t>
        </w:r>
      </w:hyperlink>
    </w:p>
    <w:p>
      <w:pPr>
        <w:spacing w:after="0" w:line="79" w:lineRule="exact"/>
        <w:rPr>
          <w:rFonts w:ascii="Arial" w:cs="Arial" w:eastAsia="Arial" w:hAnsi="Arial"/>
          <w:sz w:val="12"/>
          <w:szCs w:val="12"/>
          <w:color w:val="auto"/>
        </w:rPr>
      </w:pPr>
    </w:p>
    <w:p>
      <w:pPr>
        <w:ind w:left="380" w:right="80" w:hanging="863"/>
        <w:spacing w:after="0" w:line="276" w:lineRule="auto"/>
        <w:tabs>
          <w:tab w:leader="none" w:pos="360" w:val="left"/>
        </w:tabs>
        <w:rPr>
          <w:rFonts w:ascii="Arial" w:cs="Arial" w:eastAsia="Arial" w:hAnsi="Arial"/>
          <w:sz w:val="12"/>
          <w:szCs w:val="12"/>
          <w:color w:val="auto"/>
        </w:rPr>
      </w:pPr>
      <w:hyperlink r:id="rId82">
        <w:r>
          <w:rPr>
            <w:rFonts w:ascii="Arial" w:cs="Arial" w:eastAsia="Arial" w:hAnsi="Arial"/>
            <w:sz w:val="12"/>
            <w:szCs w:val="12"/>
            <w:color w:val="auto"/>
          </w:rPr>
          <w:t>*4.14</w:t>
        </w:r>
      </w:hyperlink>
      <w:r>
        <w:rPr>
          <w:rFonts w:ascii="Arial" w:cs="Arial" w:eastAsia="Arial" w:hAnsi="Arial"/>
          <w:sz w:val="12"/>
          <w:szCs w:val="12"/>
          <w:color w:val="auto"/>
        </w:rPr>
        <w:tab/>
      </w:r>
      <w:hyperlink r:id="rId82">
        <w:r>
          <w:rPr>
            <w:rFonts w:ascii="Arial" w:cs="Arial" w:eastAsia="Arial" w:hAnsi="Arial"/>
            <w:sz w:val="12"/>
            <w:szCs w:val="12"/>
            <w:color w:val="auto"/>
          </w:rPr>
          <w:t>Form of Depositary Receipt representing 1/1,000th of a share of 6.50% Series E Fixed-to-Floating Rate Cumulative Redeemable Preferred Stock (included as part of Exhibit 4.13), incorporated herein by reference to Exhibit A</w:t>
        </w:r>
      </w:hyperlink>
      <w:r>
        <w:rPr>
          <w:rFonts w:ascii="Arial" w:cs="Arial" w:eastAsia="Arial" w:hAnsi="Arial"/>
          <w:sz w:val="12"/>
          <w:szCs w:val="12"/>
          <w:color w:val="auto"/>
        </w:rPr>
        <w:t xml:space="preserve"> </w:t>
      </w:r>
      <w:hyperlink r:id="rId82">
        <w:r>
          <w:rPr>
            <w:rFonts w:ascii="Arial" w:cs="Arial" w:eastAsia="Arial" w:hAnsi="Arial"/>
            <w:sz w:val="12"/>
            <w:szCs w:val="12"/>
            <w:color w:val="auto"/>
          </w:rPr>
          <w:t>of Exhibit 4.2 of Form 8-K (File No. 001-34057) filed October 3, 2019.</w:t>
        </w:r>
      </w:hyperlink>
    </w:p>
    <w:p>
      <w:pPr>
        <w:spacing w:after="0" w:line="79" w:lineRule="exact"/>
        <w:rPr>
          <w:rFonts w:ascii="Arial" w:cs="Arial" w:eastAsia="Arial" w:hAnsi="Arial"/>
          <w:sz w:val="12"/>
          <w:szCs w:val="12"/>
          <w:color w:val="auto"/>
        </w:rPr>
      </w:pPr>
    </w:p>
    <w:p>
      <w:pPr>
        <w:ind w:left="380" w:right="420" w:hanging="863"/>
        <w:spacing w:after="0" w:line="276" w:lineRule="auto"/>
        <w:tabs>
          <w:tab w:leader="none" w:pos="360" w:val="left"/>
        </w:tabs>
        <w:rPr>
          <w:rFonts w:ascii="Arial" w:cs="Arial" w:eastAsia="Arial" w:hAnsi="Arial"/>
          <w:sz w:val="12"/>
          <w:szCs w:val="12"/>
          <w:color w:val="auto"/>
        </w:rPr>
      </w:pPr>
      <w:hyperlink r:id="rId83">
        <w:r>
          <w:rPr>
            <w:rFonts w:ascii="Arial" w:cs="Arial" w:eastAsia="Arial" w:hAnsi="Arial"/>
            <w:sz w:val="12"/>
            <w:szCs w:val="12"/>
            <w:color w:val="auto"/>
          </w:rPr>
          <w:t>*4.15</w:t>
        </w:r>
      </w:hyperlink>
      <w:r>
        <w:rPr>
          <w:rFonts w:ascii="Arial" w:cs="Arial" w:eastAsia="Arial" w:hAnsi="Arial"/>
          <w:sz w:val="12"/>
          <w:szCs w:val="12"/>
          <w:color w:val="auto"/>
        </w:rPr>
        <w:tab/>
      </w:r>
      <w:hyperlink r:id="rId83">
        <w:r>
          <w:rPr>
            <w:rFonts w:ascii="Arial" w:cs="Arial" w:eastAsia="Arial" w:hAnsi="Arial"/>
            <w:sz w:val="12"/>
            <w:szCs w:val="12"/>
            <w:color w:val="auto"/>
          </w:rPr>
          <w:t>Deposit Agreement relating to 6.125% Series F Fixed-to-Floating Rate Cumulative Redeemable Preferred Stock, dated February 11, 2020, among AGNC Investment Corp., Computershare Inc. and Computershare Trust</w:t>
        </w:r>
      </w:hyperlink>
      <w:r>
        <w:rPr>
          <w:rFonts w:ascii="Arial" w:cs="Arial" w:eastAsia="Arial" w:hAnsi="Arial"/>
          <w:sz w:val="12"/>
          <w:szCs w:val="12"/>
          <w:color w:val="auto"/>
        </w:rPr>
        <w:t xml:space="preserve"> </w:t>
      </w:r>
      <w:hyperlink r:id="rId83">
        <w:r>
          <w:rPr>
            <w:rFonts w:ascii="Arial" w:cs="Arial" w:eastAsia="Arial" w:hAnsi="Arial"/>
            <w:sz w:val="12"/>
            <w:szCs w:val="12"/>
            <w:color w:val="auto"/>
          </w:rPr>
          <w:t>Company, N.A., jointly as depositary, incorporated herein by reference to Exhibit 4.1 of Form 8-K (File No. 001-34057) filed February 11, 2020.</w:t>
        </w:r>
      </w:hyperlink>
    </w:p>
    <w:p>
      <w:pPr>
        <w:spacing w:after="0" w:line="79" w:lineRule="exact"/>
        <w:rPr>
          <w:rFonts w:ascii="Arial" w:cs="Arial" w:eastAsia="Arial" w:hAnsi="Arial"/>
          <w:sz w:val="12"/>
          <w:szCs w:val="12"/>
          <w:color w:val="auto"/>
        </w:rPr>
      </w:pPr>
    </w:p>
    <w:p>
      <w:pPr>
        <w:ind w:left="380" w:right="40" w:hanging="863"/>
        <w:spacing w:after="0" w:line="276" w:lineRule="auto"/>
        <w:tabs>
          <w:tab w:leader="none" w:pos="360" w:val="left"/>
        </w:tabs>
        <w:rPr>
          <w:rFonts w:ascii="Arial" w:cs="Arial" w:eastAsia="Arial" w:hAnsi="Arial"/>
          <w:sz w:val="12"/>
          <w:szCs w:val="12"/>
          <w:color w:val="auto"/>
        </w:rPr>
      </w:pPr>
      <w:hyperlink r:id="rId83">
        <w:r>
          <w:rPr>
            <w:rFonts w:ascii="Arial" w:cs="Arial" w:eastAsia="Arial" w:hAnsi="Arial"/>
            <w:sz w:val="12"/>
            <w:szCs w:val="12"/>
            <w:color w:val="auto"/>
          </w:rPr>
          <w:t>*4.16</w:t>
        </w:r>
      </w:hyperlink>
      <w:r>
        <w:rPr>
          <w:rFonts w:ascii="Arial" w:cs="Arial" w:eastAsia="Arial" w:hAnsi="Arial"/>
          <w:sz w:val="12"/>
          <w:szCs w:val="12"/>
          <w:color w:val="auto"/>
        </w:rPr>
        <w:tab/>
      </w:r>
      <w:hyperlink r:id="rId83">
        <w:r>
          <w:rPr>
            <w:rFonts w:ascii="Arial" w:cs="Arial" w:eastAsia="Arial" w:hAnsi="Arial"/>
            <w:sz w:val="12"/>
            <w:szCs w:val="12"/>
            <w:color w:val="auto"/>
          </w:rPr>
          <w:t>Form of Depositary Receipt representing 1/1,000th of a share of 6.125% Series F Fixed-to-Floating Rate Cumulative Redeemable Preferred Stock (included as part of Exhibit 4.15), incorporated herein by reference to Exhibit A</w:t>
        </w:r>
      </w:hyperlink>
      <w:r>
        <w:rPr>
          <w:rFonts w:ascii="Arial" w:cs="Arial" w:eastAsia="Arial" w:hAnsi="Arial"/>
          <w:sz w:val="12"/>
          <w:szCs w:val="12"/>
          <w:color w:val="auto"/>
        </w:rPr>
        <w:t xml:space="preserve"> </w:t>
      </w:r>
      <w:hyperlink r:id="rId83">
        <w:r>
          <w:rPr>
            <w:rFonts w:ascii="Arial" w:cs="Arial" w:eastAsia="Arial" w:hAnsi="Arial"/>
            <w:sz w:val="12"/>
            <w:szCs w:val="12"/>
            <w:color w:val="auto"/>
          </w:rPr>
          <w:t>of Exhibit 4.1 of Form 8-K (File No. 001-34057) filed February 11, 2020.</w:t>
        </w:r>
      </w:hyperlink>
    </w:p>
    <w:p>
      <w:pPr>
        <w:spacing w:after="0" w:line="79" w:lineRule="exact"/>
        <w:rPr>
          <w:rFonts w:ascii="Arial" w:cs="Arial" w:eastAsia="Arial" w:hAnsi="Arial"/>
          <w:sz w:val="12"/>
          <w:szCs w:val="12"/>
          <w:color w:val="auto"/>
        </w:rPr>
      </w:pPr>
    </w:p>
    <w:p>
      <w:pPr>
        <w:spacing w:after="0"/>
        <w:tabs>
          <w:tab w:leader="none" w:pos="360" w:val="left"/>
        </w:tabs>
        <w:rPr>
          <w:rFonts w:ascii="Arial" w:cs="Arial" w:eastAsia="Arial" w:hAnsi="Arial"/>
          <w:sz w:val="10"/>
          <w:szCs w:val="10"/>
          <w:color w:val="auto"/>
        </w:rPr>
      </w:pPr>
      <w:hyperlink r:id="rId84">
        <w:r>
          <w:rPr>
            <w:rFonts w:ascii="Arial" w:cs="Arial" w:eastAsia="Arial" w:hAnsi="Arial"/>
            <w:sz w:val="12"/>
            <w:szCs w:val="12"/>
            <w:color w:val="auto"/>
          </w:rPr>
          <w:t>*4.17</w:t>
        </w:r>
      </w:hyperlink>
      <w:r>
        <w:rPr>
          <w:rFonts w:ascii="Arial" w:cs="Arial" w:eastAsia="Arial" w:hAnsi="Arial"/>
          <w:sz w:val="12"/>
          <w:szCs w:val="12"/>
          <w:color w:val="auto"/>
        </w:rPr>
        <w:tab/>
      </w:r>
      <w:hyperlink r:id="rId84">
        <w:r>
          <w:rPr>
            <w:rFonts w:ascii="Arial" w:cs="Arial" w:eastAsia="Arial" w:hAnsi="Arial"/>
            <w:sz w:val="10"/>
            <w:szCs w:val="10"/>
            <w:color w:val="auto"/>
          </w:rPr>
          <w:t>Deposit Agreement relating to 7.75% Series G Fixed-Rate Reset Cumulative Redeemable Preferred Stock, dated September 14, 2022, among AGNC Investment Corp., Computershare Inc. and Computershare Trust</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49" w:name="page50"/>
    <w:bookmarkEnd w:id="49"/>
    <w:p>
      <w:pPr>
        <w:ind w:left="868"/>
        <w:spacing w:after="0"/>
        <w:rPr>
          <w:rFonts w:ascii="Arial" w:cs="Arial" w:eastAsia="Arial" w:hAnsi="Arial"/>
          <w:sz w:val="12"/>
          <w:szCs w:val="12"/>
          <w:color w:val="auto"/>
        </w:rPr>
      </w:pPr>
      <w:hyperlink r:id="rId84">
        <w:r>
          <w:rPr>
            <w:rFonts w:ascii="Arial" w:cs="Arial" w:eastAsia="Arial" w:hAnsi="Arial"/>
            <w:sz w:val="12"/>
            <w:szCs w:val="12"/>
            <w:color w:val="auto"/>
          </w:rPr>
          <w:t>Company, N.A., jointly as depositary, incorporated herein by reference to Exhibit 4.2 of Form 8-K (File No. 001-34057) filed September 14, 2022.</w:t>
        </w:r>
      </w:hyperlink>
    </w:p>
    <w:p>
      <w:pPr>
        <w:spacing w:after="0" w:line="114" w:lineRule="exact"/>
        <w:rPr>
          <w:sz w:val="20"/>
          <w:szCs w:val="20"/>
          <w:color w:val="auto"/>
        </w:rPr>
      </w:pPr>
    </w:p>
    <w:p>
      <w:pPr>
        <w:ind w:left="388" w:hanging="863"/>
        <w:spacing w:after="0" w:line="276" w:lineRule="auto"/>
        <w:tabs>
          <w:tab w:leader="none" w:pos="368" w:val="left"/>
        </w:tabs>
        <w:rPr>
          <w:rFonts w:ascii="Arial" w:cs="Arial" w:eastAsia="Arial" w:hAnsi="Arial"/>
          <w:sz w:val="12"/>
          <w:szCs w:val="12"/>
          <w:color w:val="auto"/>
        </w:rPr>
      </w:pPr>
      <w:hyperlink r:id="rId84">
        <w:r>
          <w:rPr>
            <w:rFonts w:ascii="Arial" w:cs="Arial" w:eastAsia="Arial" w:hAnsi="Arial"/>
            <w:sz w:val="12"/>
            <w:szCs w:val="12"/>
            <w:color w:val="auto"/>
          </w:rPr>
          <w:t>*4.18</w:t>
        </w:r>
      </w:hyperlink>
      <w:r>
        <w:rPr>
          <w:rFonts w:ascii="Arial" w:cs="Arial" w:eastAsia="Arial" w:hAnsi="Arial"/>
          <w:sz w:val="12"/>
          <w:szCs w:val="12"/>
          <w:color w:val="auto"/>
        </w:rPr>
        <w:tab/>
      </w:r>
      <w:hyperlink r:id="rId84">
        <w:r>
          <w:rPr>
            <w:rFonts w:ascii="Arial" w:cs="Arial" w:eastAsia="Arial" w:hAnsi="Arial"/>
            <w:sz w:val="12"/>
            <w:szCs w:val="12"/>
            <w:color w:val="auto"/>
          </w:rPr>
          <w:t>Form of Depositary Receipt representing 1/1,000th of a share of 7.75% Series G Fixed-Rate Reset Cumulative Redeemable Preferred Stock (included as part of Exhibit 4.17), incorporated herein by reference to Exhibit A of</w:t>
        </w:r>
      </w:hyperlink>
      <w:r>
        <w:rPr>
          <w:rFonts w:ascii="Arial" w:cs="Arial" w:eastAsia="Arial" w:hAnsi="Arial"/>
          <w:sz w:val="12"/>
          <w:szCs w:val="12"/>
          <w:color w:val="auto"/>
        </w:rPr>
        <w:t xml:space="preserve"> </w:t>
      </w:r>
      <w:hyperlink r:id="rId84">
        <w:r>
          <w:rPr>
            <w:rFonts w:ascii="Arial" w:cs="Arial" w:eastAsia="Arial" w:hAnsi="Arial"/>
            <w:sz w:val="12"/>
            <w:szCs w:val="12"/>
            <w:color w:val="auto"/>
          </w:rPr>
          <w:t>Exhibit 4.2 of Form 8-K (File No. 001-34057) filed September 14, 2022.</w:t>
        </w:r>
      </w:hyperlink>
    </w:p>
    <w:p>
      <w:pPr>
        <w:spacing w:after="0" w:line="79" w:lineRule="exact"/>
        <w:rPr>
          <w:rFonts w:ascii="Arial" w:cs="Arial" w:eastAsia="Arial" w:hAnsi="Arial"/>
          <w:sz w:val="12"/>
          <w:szCs w:val="12"/>
          <w:color w:val="auto"/>
        </w:rPr>
      </w:pPr>
    </w:p>
    <w:p>
      <w:pPr>
        <w:ind w:left="8"/>
        <w:spacing w:after="0"/>
        <w:tabs>
          <w:tab w:leader="none" w:pos="308" w:val="left"/>
        </w:tabs>
        <w:rPr>
          <w:sz w:val="20"/>
          <w:szCs w:val="20"/>
          <w:color w:val="auto"/>
        </w:rPr>
      </w:pPr>
      <w:r>
        <w:rPr>
          <w:rFonts w:ascii="Arial" w:cs="Arial" w:eastAsia="Arial" w:hAnsi="Arial"/>
          <w:sz w:val="12"/>
          <w:szCs w:val="12"/>
          <w:color w:val="auto"/>
        </w:rPr>
        <w:t>31.1</w:t>
      </w:r>
      <w:r>
        <w:rPr>
          <w:sz w:val="20"/>
          <w:szCs w:val="20"/>
          <w:color w:val="auto"/>
        </w:rPr>
        <w:tab/>
      </w:r>
      <w:r>
        <w:rPr>
          <w:rFonts w:ascii="Arial" w:cs="Arial" w:eastAsia="Arial" w:hAnsi="Arial"/>
          <w:sz w:val="10"/>
          <w:szCs w:val="10"/>
          <w:color w:val="auto"/>
        </w:rPr>
        <w:t>Certification of CEO Pursuant to Section 302(a) of the Sarbanes-Oxley Act of 2002.</w:t>
      </w:r>
    </w:p>
    <w:p>
      <w:pPr>
        <w:spacing w:after="0" w:line="114" w:lineRule="exact"/>
        <w:rPr>
          <w:rFonts w:ascii="Arial" w:cs="Arial" w:eastAsia="Arial" w:hAnsi="Arial"/>
          <w:sz w:val="12"/>
          <w:szCs w:val="12"/>
          <w:color w:val="auto"/>
        </w:rPr>
      </w:pPr>
    </w:p>
    <w:p>
      <w:pPr>
        <w:ind w:left="8"/>
        <w:spacing w:after="0"/>
        <w:tabs>
          <w:tab w:leader="none" w:pos="308" w:val="left"/>
        </w:tabs>
        <w:rPr>
          <w:sz w:val="20"/>
          <w:szCs w:val="20"/>
          <w:color w:val="auto"/>
        </w:rPr>
      </w:pPr>
      <w:r>
        <w:rPr>
          <w:rFonts w:ascii="Arial" w:cs="Arial" w:eastAsia="Arial" w:hAnsi="Arial"/>
          <w:sz w:val="12"/>
          <w:szCs w:val="12"/>
          <w:color w:val="auto"/>
        </w:rPr>
        <w:t>31.2</w:t>
      </w:r>
      <w:r>
        <w:rPr>
          <w:sz w:val="20"/>
          <w:szCs w:val="20"/>
          <w:color w:val="auto"/>
        </w:rPr>
        <w:tab/>
      </w:r>
      <w:r>
        <w:rPr>
          <w:rFonts w:ascii="Arial" w:cs="Arial" w:eastAsia="Arial" w:hAnsi="Arial"/>
          <w:sz w:val="10"/>
          <w:szCs w:val="10"/>
          <w:color w:val="auto"/>
        </w:rPr>
        <w:t>Certification of CFO Pursuant to Section 302(a) of the Sarbanes-Oxley Act of 2002.</w:t>
      </w:r>
    </w:p>
    <w:p>
      <w:pPr>
        <w:spacing w:after="0" w:line="114" w:lineRule="exact"/>
        <w:rPr>
          <w:rFonts w:ascii="Arial" w:cs="Arial" w:eastAsia="Arial" w:hAnsi="Arial"/>
          <w:sz w:val="12"/>
          <w:szCs w:val="12"/>
          <w:color w:val="auto"/>
        </w:rPr>
      </w:pPr>
    </w:p>
    <w:p>
      <w:pPr>
        <w:ind w:left="8"/>
        <w:spacing w:after="0"/>
        <w:tabs>
          <w:tab w:leader="none" w:pos="228"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color w:val="auto"/>
        </w:rPr>
        <w:t>Certification of CEO and CFO Pursuant to Section 906 of the Sarbanes-Oxley Act of 2002.</w:t>
      </w:r>
    </w:p>
    <w:p>
      <w:pPr>
        <w:spacing w:after="0" w:line="114" w:lineRule="exact"/>
        <w:rPr>
          <w:rFonts w:ascii="Arial" w:cs="Arial" w:eastAsia="Arial" w:hAnsi="Arial"/>
          <w:sz w:val="12"/>
          <w:szCs w:val="12"/>
          <w:color w:val="auto"/>
        </w:rPr>
      </w:pPr>
    </w:p>
    <w:p>
      <w:pPr>
        <w:ind w:left="8"/>
        <w:spacing w:after="0"/>
        <w:tabs>
          <w:tab w:leader="none" w:pos="628" w:val="left"/>
        </w:tabs>
        <w:rPr>
          <w:sz w:val="20"/>
          <w:szCs w:val="20"/>
          <w:color w:val="auto"/>
        </w:rPr>
      </w:pPr>
      <w:r>
        <w:rPr>
          <w:rFonts w:ascii="Arial" w:cs="Arial" w:eastAsia="Arial" w:hAnsi="Arial"/>
          <w:sz w:val="12"/>
          <w:szCs w:val="12"/>
          <w:color w:val="auto"/>
        </w:rPr>
        <w:t>101.INS**</w:t>
      </w:r>
      <w:r>
        <w:rPr>
          <w:sz w:val="20"/>
          <w:szCs w:val="20"/>
          <w:color w:val="auto"/>
        </w:rPr>
        <w:tab/>
      </w:r>
      <w:r>
        <w:rPr>
          <w:rFonts w:ascii="Arial" w:cs="Arial" w:eastAsia="Arial" w:hAnsi="Arial"/>
          <w:sz w:val="10"/>
          <w:szCs w:val="10"/>
          <w:color w:val="auto"/>
        </w:rPr>
        <w:t>The instance document does not appear in the interactive data file because its XBRL tags are embedded within the inline XBRL document</w:t>
      </w:r>
    </w:p>
    <w:p>
      <w:pPr>
        <w:spacing w:after="0" w:line="114" w:lineRule="exact"/>
        <w:rPr>
          <w:rFonts w:ascii="Arial" w:cs="Arial" w:eastAsia="Arial" w:hAnsi="Arial"/>
          <w:sz w:val="12"/>
          <w:szCs w:val="12"/>
          <w:color w:val="auto"/>
        </w:rPr>
      </w:pPr>
    </w:p>
    <w:p>
      <w:pPr>
        <w:ind w:left="8"/>
        <w:spacing w:after="0"/>
        <w:tabs>
          <w:tab w:leader="none" w:pos="668" w:val="left"/>
        </w:tabs>
        <w:rPr>
          <w:sz w:val="20"/>
          <w:szCs w:val="20"/>
          <w:color w:val="auto"/>
        </w:rPr>
      </w:pPr>
      <w:r>
        <w:rPr>
          <w:rFonts w:ascii="Arial" w:cs="Arial" w:eastAsia="Arial" w:hAnsi="Arial"/>
          <w:sz w:val="12"/>
          <w:szCs w:val="12"/>
          <w:color w:val="auto"/>
        </w:rPr>
        <w:t>101.SCH**</w:t>
      </w:r>
      <w:r>
        <w:rPr>
          <w:sz w:val="20"/>
          <w:szCs w:val="20"/>
          <w:color w:val="auto"/>
        </w:rPr>
        <w:tab/>
      </w:r>
      <w:r>
        <w:rPr>
          <w:rFonts w:ascii="Arial" w:cs="Arial" w:eastAsia="Arial" w:hAnsi="Arial"/>
          <w:sz w:val="10"/>
          <w:szCs w:val="10"/>
          <w:color w:val="auto"/>
        </w:rPr>
        <w:t>XBRL Taxonomy Extension Schema Document</w:t>
      </w:r>
    </w:p>
    <w:p>
      <w:pPr>
        <w:spacing w:after="0" w:line="114" w:lineRule="exact"/>
        <w:rPr>
          <w:rFonts w:ascii="Arial" w:cs="Arial" w:eastAsia="Arial" w:hAnsi="Arial"/>
          <w:sz w:val="12"/>
          <w:szCs w:val="12"/>
          <w:color w:val="auto"/>
        </w:rPr>
      </w:pPr>
    </w:p>
    <w:p>
      <w:pPr>
        <w:ind w:left="8"/>
        <w:spacing w:after="0"/>
        <w:tabs>
          <w:tab w:leader="none" w:pos="668" w:val="left"/>
        </w:tabs>
        <w:rPr>
          <w:sz w:val="20"/>
          <w:szCs w:val="20"/>
          <w:color w:val="auto"/>
        </w:rPr>
      </w:pPr>
      <w:r>
        <w:rPr>
          <w:rFonts w:ascii="Arial" w:cs="Arial" w:eastAsia="Arial" w:hAnsi="Arial"/>
          <w:sz w:val="12"/>
          <w:szCs w:val="12"/>
          <w:color w:val="auto"/>
        </w:rPr>
        <w:t>101.CAL**</w:t>
      </w:r>
      <w:r>
        <w:rPr>
          <w:sz w:val="20"/>
          <w:szCs w:val="20"/>
          <w:color w:val="auto"/>
        </w:rPr>
        <w:tab/>
      </w:r>
      <w:r>
        <w:rPr>
          <w:rFonts w:ascii="Arial" w:cs="Arial" w:eastAsia="Arial" w:hAnsi="Arial"/>
          <w:sz w:val="11"/>
          <w:szCs w:val="11"/>
          <w:color w:val="auto"/>
        </w:rPr>
        <w:t>XBRL Taxonomy Extension Calculation Linkbase Document</w:t>
      </w:r>
    </w:p>
    <w:p>
      <w:pPr>
        <w:spacing w:after="0" w:line="114" w:lineRule="exact"/>
        <w:rPr>
          <w:rFonts w:ascii="Arial" w:cs="Arial" w:eastAsia="Arial" w:hAnsi="Arial"/>
          <w:sz w:val="12"/>
          <w:szCs w:val="12"/>
          <w:color w:val="auto"/>
        </w:rPr>
      </w:pPr>
    </w:p>
    <w:p>
      <w:pPr>
        <w:ind w:left="8"/>
        <w:spacing w:after="0"/>
        <w:tabs>
          <w:tab w:leader="none" w:pos="668" w:val="left"/>
        </w:tabs>
        <w:rPr>
          <w:sz w:val="20"/>
          <w:szCs w:val="20"/>
          <w:color w:val="auto"/>
        </w:rPr>
      </w:pPr>
      <w:r>
        <w:rPr>
          <w:rFonts w:ascii="Arial" w:cs="Arial" w:eastAsia="Arial" w:hAnsi="Arial"/>
          <w:sz w:val="12"/>
          <w:szCs w:val="12"/>
          <w:color w:val="auto"/>
        </w:rPr>
        <w:t>101.LAB**</w:t>
      </w:r>
      <w:r>
        <w:rPr>
          <w:sz w:val="20"/>
          <w:szCs w:val="20"/>
          <w:color w:val="auto"/>
        </w:rPr>
        <w:tab/>
      </w:r>
      <w:r>
        <w:rPr>
          <w:rFonts w:ascii="Arial" w:cs="Arial" w:eastAsia="Arial" w:hAnsi="Arial"/>
          <w:sz w:val="11"/>
          <w:szCs w:val="11"/>
          <w:color w:val="auto"/>
        </w:rPr>
        <w:t>XBRL Taxonomy Extension Labels Linkbase Document</w:t>
      </w:r>
    </w:p>
    <w:p>
      <w:pPr>
        <w:spacing w:after="0" w:line="114" w:lineRule="exact"/>
        <w:rPr>
          <w:rFonts w:ascii="Arial" w:cs="Arial" w:eastAsia="Arial" w:hAnsi="Arial"/>
          <w:sz w:val="12"/>
          <w:szCs w:val="12"/>
          <w:color w:val="auto"/>
        </w:rPr>
      </w:pPr>
    </w:p>
    <w:p>
      <w:pPr>
        <w:ind w:left="8"/>
        <w:spacing w:after="0"/>
        <w:tabs>
          <w:tab w:leader="none" w:pos="648" w:val="left"/>
        </w:tabs>
        <w:rPr>
          <w:sz w:val="20"/>
          <w:szCs w:val="20"/>
          <w:color w:val="auto"/>
        </w:rPr>
      </w:pPr>
      <w:r>
        <w:rPr>
          <w:rFonts w:ascii="Arial" w:cs="Arial" w:eastAsia="Arial" w:hAnsi="Arial"/>
          <w:sz w:val="12"/>
          <w:szCs w:val="12"/>
          <w:color w:val="auto"/>
        </w:rPr>
        <w:t>101.PRE**</w:t>
      </w:r>
      <w:r>
        <w:rPr>
          <w:sz w:val="20"/>
          <w:szCs w:val="20"/>
          <w:color w:val="auto"/>
        </w:rPr>
        <w:tab/>
      </w:r>
      <w:r>
        <w:rPr>
          <w:rFonts w:ascii="Arial" w:cs="Arial" w:eastAsia="Arial" w:hAnsi="Arial"/>
          <w:sz w:val="11"/>
          <w:szCs w:val="11"/>
          <w:color w:val="auto"/>
        </w:rPr>
        <w:t>XBRL Taxonomy Extension Presentation Linkbase Document</w:t>
      </w:r>
    </w:p>
    <w:p>
      <w:pPr>
        <w:spacing w:after="0" w:line="114" w:lineRule="exact"/>
        <w:rPr>
          <w:rFonts w:ascii="Arial" w:cs="Arial" w:eastAsia="Arial" w:hAnsi="Arial"/>
          <w:sz w:val="12"/>
          <w:szCs w:val="12"/>
          <w:color w:val="auto"/>
        </w:rPr>
      </w:pPr>
    </w:p>
    <w:p>
      <w:pPr>
        <w:ind w:left="8"/>
        <w:spacing w:after="0"/>
        <w:tabs>
          <w:tab w:leader="none" w:pos="648" w:val="left"/>
        </w:tabs>
        <w:rPr>
          <w:sz w:val="20"/>
          <w:szCs w:val="20"/>
          <w:color w:val="auto"/>
        </w:rPr>
      </w:pPr>
      <w:r>
        <w:rPr>
          <w:rFonts w:ascii="Arial" w:cs="Arial" w:eastAsia="Arial" w:hAnsi="Arial"/>
          <w:sz w:val="12"/>
          <w:szCs w:val="12"/>
          <w:color w:val="auto"/>
        </w:rPr>
        <w:t>101.DEF**</w:t>
      </w:r>
      <w:r>
        <w:rPr>
          <w:sz w:val="20"/>
          <w:szCs w:val="20"/>
          <w:color w:val="auto"/>
        </w:rPr>
        <w:tab/>
      </w:r>
      <w:r>
        <w:rPr>
          <w:rFonts w:ascii="Arial" w:cs="Arial" w:eastAsia="Arial" w:hAnsi="Arial"/>
          <w:sz w:val="11"/>
          <w:szCs w:val="11"/>
          <w:color w:val="auto"/>
        </w:rPr>
        <w:t>XBRL Taxonomy Extension Definition Linkbase Document</w:t>
      </w:r>
    </w:p>
    <w:p>
      <w:pPr>
        <w:spacing w:after="0" w:line="14" w:lineRule="exact"/>
        <w:rPr>
          <w:rFonts w:ascii="Arial" w:cs="Arial" w:eastAsia="Arial" w:hAnsi="Arial"/>
          <w:sz w:val="12"/>
          <w:szCs w:val="12"/>
          <w:color w:val="auto"/>
        </w:rPr>
      </w:pPr>
    </w:p>
    <w:p>
      <w:pPr>
        <w:ind w:left="8"/>
        <w:spacing w:after="0"/>
        <w:rPr>
          <w:sz w:val="20"/>
          <w:szCs w:val="20"/>
          <w:color w:val="auto"/>
        </w:rPr>
      </w:pPr>
      <w:r>
        <w:rPr>
          <w:rFonts w:ascii="Arial" w:cs="Arial" w:eastAsia="Arial" w:hAnsi="Arial"/>
          <w:sz w:val="7"/>
          <w:szCs w:val="7"/>
          <w:color w:val="auto"/>
        </w:rPr>
        <w:t>________________________________</w:t>
      </w:r>
    </w:p>
    <w:p>
      <w:pPr>
        <w:spacing w:after="0" w:line="4" w:lineRule="exact"/>
        <w:rPr>
          <w:rFonts w:ascii="Arial" w:cs="Arial" w:eastAsia="Arial" w:hAnsi="Arial"/>
          <w:sz w:val="12"/>
          <w:szCs w:val="12"/>
          <w:color w:val="auto"/>
        </w:rPr>
      </w:pPr>
    </w:p>
    <w:p>
      <w:pPr>
        <w:ind w:left="188" w:hanging="188"/>
        <w:spacing w:after="0"/>
        <w:tabs>
          <w:tab w:leader="none" w:pos="1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13" w:lineRule="exact"/>
        <w:rPr>
          <w:rFonts w:ascii="Arial" w:cs="Arial" w:eastAsia="Arial" w:hAnsi="Arial"/>
          <w:sz w:val="12"/>
          <w:szCs w:val="12"/>
          <w:color w:val="auto"/>
        </w:rPr>
      </w:pPr>
    </w:p>
    <w:p>
      <w:pPr>
        <w:ind w:left="228" w:hanging="228"/>
        <w:spacing w:after="0"/>
        <w:tabs>
          <w:tab w:leader="none" w:pos="22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This exhibit is being furnished rather than filed, and shall not be deemed incorporated by reference into any filing, in accordance with Item 601 of Regulation S-K</w:t>
      </w:r>
    </w:p>
    <w:p>
      <w:pPr>
        <w:spacing w:after="0" w:line="159" w:lineRule="exact"/>
        <w:rPr>
          <w:rFonts w:ascii="Arial" w:cs="Arial" w:eastAsia="Arial" w:hAnsi="Arial"/>
          <w:sz w:val="12"/>
          <w:szCs w:val="12"/>
          <w:color w:val="auto"/>
        </w:rPr>
      </w:pPr>
    </w:p>
    <w:p>
      <w:pPr>
        <w:ind w:left="548" w:hanging="251"/>
        <w:spacing w:after="0"/>
        <w:tabs>
          <w:tab w:leader="none" w:pos="548" w:val="left"/>
        </w:tabs>
        <w:numPr>
          <w:ilvl w:val="1"/>
          <w:numId w:val="38"/>
        </w:numPr>
        <w:rPr>
          <w:rFonts w:ascii="Arial" w:cs="Arial" w:eastAsia="Arial" w:hAnsi="Arial"/>
          <w:sz w:val="12"/>
          <w:szCs w:val="12"/>
          <w:color w:val="auto"/>
        </w:rPr>
      </w:pPr>
      <w:r>
        <w:rPr>
          <w:rFonts w:ascii="Arial" w:cs="Arial" w:eastAsia="Arial" w:hAnsi="Arial"/>
          <w:sz w:val="12"/>
          <w:szCs w:val="12"/>
          <w:color w:val="auto"/>
        </w:rPr>
        <w:t>Exhibits</w:t>
      </w:r>
    </w:p>
    <w:p>
      <w:pPr>
        <w:spacing w:after="0" w:line="14" w:lineRule="exact"/>
        <w:rPr>
          <w:rFonts w:ascii="Arial" w:cs="Arial" w:eastAsia="Arial" w:hAnsi="Arial"/>
          <w:sz w:val="12"/>
          <w:szCs w:val="12"/>
          <w:color w:val="auto"/>
        </w:rPr>
      </w:pPr>
    </w:p>
    <w:p>
      <w:pPr>
        <w:ind w:left="528"/>
        <w:spacing w:after="0"/>
        <w:rPr>
          <w:rFonts w:ascii="Arial" w:cs="Arial" w:eastAsia="Arial" w:hAnsi="Arial"/>
          <w:sz w:val="12"/>
          <w:szCs w:val="12"/>
          <w:color w:val="auto"/>
        </w:rPr>
      </w:pPr>
      <w:r>
        <w:rPr>
          <w:rFonts w:ascii="Arial" w:cs="Arial" w:eastAsia="Arial" w:hAnsi="Arial"/>
          <w:sz w:val="12"/>
          <w:szCs w:val="12"/>
          <w:color w:val="auto"/>
        </w:rPr>
        <w:t>See the exhibits filed herewith.</w:t>
      </w:r>
    </w:p>
    <w:p>
      <w:pPr>
        <w:spacing w:after="0" w:line="141" w:lineRule="exact"/>
        <w:rPr>
          <w:rFonts w:ascii="Arial" w:cs="Arial" w:eastAsia="Arial" w:hAnsi="Arial"/>
          <w:sz w:val="12"/>
          <w:szCs w:val="12"/>
          <w:color w:val="auto"/>
        </w:rPr>
      </w:pPr>
    </w:p>
    <w:p>
      <w:pPr>
        <w:ind w:left="548" w:hanging="251"/>
        <w:spacing w:after="0"/>
        <w:tabs>
          <w:tab w:leader="none" w:pos="548" w:val="left"/>
        </w:tabs>
        <w:numPr>
          <w:ilvl w:val="1"/>
          <w:numId w:val="38"/>
        </w:numPr>
        <w:rPr>
          <w:rFonts w:ascii="Arial" w:cs="Arial" w:eastAsia="Arial" w:hAnsi="Arial"/>
          <w:sz w:val="12"/>
          <w:szCs w:val="12"/>
          <w:color w:val="auto"/>
        </w:rPr>
      </w:pPr>
      <w:r>
        <w:rPr>
          <w:rFonts w:ascii="Arial" w:cs="Arial" w:eastAsia="Arial" w:hAnsi="Arial"/>
          <w:sz w:val="12"/>
          <w:szCs w:val="12"/>
          <w:color w:val="auto"/>
        </w:rPr>
        <w:t>Additional financial statement schedules</w:t>
      </w:r>
    </w:p>
    <w:p>
      <w:pPr>
        <w:spacing w:after="0" w:line="15" w:lineRule="exact"/>
        <w:rPr>
          <w:rFonts w:ascii="Arial" w:cs="Arial" w:eastAsia="Arial" w:hAnsi="Arial"/>
          <w:sz w:val="12"/>
          <w:szCs w:val="12"/>
          <w:color w:val="auto"/>
        </w:rPr>
      </w:pPr>
    </w:p>
    <w:p>
      <w:pPr>
        <w:ind w:left="448"/>
        <w:spacing w:after="0"/>
        <w:rPr>
          <w:sz w:val="20"/>
          <w:szCs w:val="20"/>
          <w:color w:val="auto"/>
        </w:rPr>
      </w:pPr>
      <w:r>
        <w:rPr>
          <w:rFonts w:ascii="Arial" w:cs="Arial" w:eastAsia="Arial" w:hAnsi="Arial"/>
          <w:sz w:val="12"/>
          <w:szCs w:val="12"/>
          <w:color w:val="auto"/>
        </w:rPr>
        <w:t>None.</w:t>
      </w:r>
    </w:p>
    <w:p>
      <w:pPr>
        <w:spacing w:after="0" w:line="366" w:lineRule="exact"/>
        <w:rPr>
          <w:rFonts w:ascii="Arial" w:cs="Arial" w:eastAsia="Arial" w:hAnsi="Arial"/>
          <w:sz w:val="12"/>
          <w:szCs w:val="12"/>
          <w:color w:val="auto"/>
        </w:rPr>
      </w:pPr>
    </w:p>
    <w:p>
      <w:pPr>
        <w:jc w:val="center"/>
        <w:ind w:right="-207"/>
        <w:spacing w:after="0"/>
        <w:rPr>
          <w:sz w:val="20"/>
          <w:szCs w:val="20"/>
          <w:color w:val="auto"/>
        </w:rPr>
      </w:pPr>
      <w:r>
        <w:rPr>
          <w:rFonts w:ascii="Arial" w:cs="Arial" w:eastAsia="Arial" w:hAnsi="Arial"/>
          <w:sz w:val="12"/>
          <w:szCs w:val="12"/>
          <w:color w:val="auto"/>
        </w:rPr>
        <w:t>49</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8"/>
          </w:cols>
          <w:pgMar w:left="292" w:top="752" w:right="519" w:bottom="1440" w:gutter="0" w:footer="0" w:header="0"/>
        </w:sectPr>
      </w:pPr>
    </w:p>
    <w:bookmarkStart w:id="50" w:name="page51"/>
    <w:bookmarkEnd w:id="50"/>
    <w:p>
      <w:pPr>
        <w:ind w:left="52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Section 13 or 15(d) of the Securities Exchange Act of 1934, the Company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 w:type="dxa"/>
            <w:vAlign w:val="bottom"/>
          </w:tcPr>
          <w:p>
            <w:pPr>
              <w:spacing w:after="0"/>
              <w:rPr>
                <w:sz w:val="13"/>
                <w:szCs w:val="13"/>
                <w:color w:val="auto"/>
              </w:rPr>
            </w:pPr>
          </w:p>
        </w:tc>
        <w:tc>
          <w:tcPr>
            <w:tcW w:w="6420" w:type="dxa"/>
            <w:vAlign w:val="bottom"/>
            <w:gridSpan w:val="2"/>
          </w:tcPr>
          <w:p>
            <w:pPr>
              <w:ind w:left="5100"/>
              <w:spacing w:after="0"/>
              <w:rPr>
                <w:sz w:val="20"/>
                <w:szCs w:val="20"/>
                <w:color w:val="auto"/>
              </w:rPr>
            </w:pPr>
            <w:r>
              <w:rPr>
                <w:rFonts w:ascii="Arial" w:cs="Arial" w:eastAsia="Arial" w:hAnsi="Arial"/>
                <w:sz w:val="12"/>
                <w:szCs w:val="12"/>
                <w:color w:val="auto"/>
                <w:w w:val="98"/>
              </w:rPr>
              <w:t>AGNC I</w:t>
            </w:r>
            <w:r>
              <w:rPr>
                <w:rFonts w:ascii="Arial" w:cs="Arial" w:eastAsia="Arial" w:hAnsi="Arial"/>
                <w:sz w:val="9"/>
                <w:szCs w:val="9"/>
                <w:color w:val="auto"/>
                <w:w w:val="98"/>
              </w:rPr>
              <w:t>NVESTMENT</w:t>
            </w:r>
            <w:r>
              <w:rPr>
                <w:rFonts w:ascii="Arial" w:cs="Arial" w:eastAsia="Arial" w:hAnsi="Arial"/>
                <w:sz w:val="12"/>
                <w:szCs w:val="12"/>
                <w:color w:val="auto"/>
                <w:w w:val="98"/>
              </w:rPr>
              <w:t xml:space="preserve"> C</w:t>
            </w:r>
            <w:r>
              <w:rPr>
                <w:rFonts w:ascii="Arial" w:cs="Arial" w:eastAsia="Arial" w:hAnsi="Arial"/>
                <w:sz w:val="9"/>
                <w:szCs w:val="9"/>
                <w:color w:val="auto"/>
                <w:w w:val="98"/>
              </w:rPr>
              <w:t>ORP</w:t>
            </w:r>
            <w:r>
              <w:rPr>
                <w:rFonts w:ascii="Arial" w:cs="Arial" w:eastAsia="Arial" w:hAnsi="Arial"/>
                <w:sz w:val="12"/>
                <w:szCs w:val="12"/>
                <w:color w:val="auto"/>
                <w:w w:val="98"/>
              </w:rPr>
              <w:t>.</w:t>
            </w:r>
          </w:p>
        </w:tc>
        <w:tc>
          <w:tcPr>
            <w:tcW w:w="14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203"/>
        </w:trPr>
        <w:tc>
          <w:tcPr>
            <w:tcW w:w="440" w:type="dxa"/>
            <w:vAlign w:val="bottom"/>
          </w:tcPr>
          <w:p>
            <w:pPr>
              <w:spacing w:after="0"/>
              <w:rPr>
                <w:sz w:val="17"/>
                <w:szCs w:val="17"/>
                <w:color w:val="auto"/>
              </w:rPr>
            </w:pPr>
          </w:p>
        </w:tc>
        <w:tc>
          <w:tcPr>
            <w:tcW w:w="6420" w:type="dxa"/>
            <w:vAlign w:val="bottom"/>
            <w:gridSpan w:val="2"/>
          </w:tcPr>
          <w:p>
            <w:pPr>
              <w:ind w:left="5100"/>
              <w:spacing w:after="0"/>
              <w:rPr>
                <w:sz w:val="20"/>
                <w:szCs w:val="20"/>
                <w:color w:val="auto"/>
              </w:rPr>
            </w:pPr>
            <w:r>
              <w:rPr>
                <w:rFonts w:ascii="Arial" w:cs="Arial" w:eastAsia="Arial" w:hAnsi="Arial"/>
                <w:sz w:val="12"/>
                <w:szCs w:val="12"/>
                <w:color w:val="auto"/>
              </w:rPr>
              <w:t>By:</w:t>
            </w:r>
          </w:p>
        </w:tc>
        <w:tc>
          <w:tcPr>
            <w:tcW w:w="1400" w:type="dxa"/>
            <w:vAlign w:val="bottom"/>
          </w:tcPr>
          <w:p>
            <w:pPr>
              <w:ind w:left="1200"/>
              <w:spacing w:after="0"/>
              <w:rPr>
                <w:sz w:val="20"/>
                <w:szCs w:val="20"/>
                <w:color w:val="auto"/>
              </w:rPr>
            </w:pPr>
            <w:r>
              <w:rPr>
                <w:rFonts w:ascii="Arial" w:cs="Arial" w:eastAsia="Arial" w:hAnsi="Arial"/>
                <w:sz w:val="12"/>
                <w:szCs w:val="12"/>
                <w:color w:val="auto"/>
              </w:rPr>
              <w:t>/s/</w:t>
            </w:r>
          </w:p>
        </w:tc>
        <w:tc>
          <w:tcPr>
            <w:tcW w:w="2960" w:type="dxa"/>
            <w:vAlign w:val="bottom"/>
          </w:tcPr>
          <w:p>
            <w:pPr>
              <w:jc w:val="center"/>
              <w:ind w:right="1907"/>
              <w:spacing w:after="0"/>
              <w:rPr>
                <w:sz w:val="20"/>
                <w:szCs w:val="20"/>
                <w:color w:val="auto"/>
              </w:rPr>
            </w:pPr>
            <w:r>
              <w:rPr>
                <w:rFonts w:ascii="Arial" w:cs="Arial" w:eastAsia="Arial" w:hAnsi="Arial"/>
                <w:sz w:val="12"/>
                <w:szCs w:val="12"/>
                <w:color w:val="auto"/>
                <w:w w:val="95"/>
              </w:rPr>
              <w:t>P</w:t>
            </w:r>
            <w:r>
              <w:rPr>
                <w:rFonts w:ascii="Arial" w:cs="Arial" w:eastAsia="Arial" w:hAnsi="Arial"/>
                <w:sz w:val="9"/>
                <w:szCs w:val="9"/>
                <w:color w:val="auto"/>
                <w:w w:val="95"/>
              </w:rPr>
              <w:t>ETER</w:t>
            </w:r>
            <w:r>
              <w:rPr>
                <w:rFonts w:ascii="Arial" w:cs="Arial" w:eastAsia="Arial" w:hAnsi="Arial"/>
                <w:sz w:val="12"/>
                <w:szCs w:val="12"/>
                <w:color w:val="auto"/>
                <w:w w:val="95"/>
              </w:rPr>
              <w:t xml:space="preserve"> J. F</w:t>
            </w:r>
            <w:r>
              <w:rPr>
                <w:rFonts w:ascii="Arial" w:cs="Arial" w:eastAsia="Arial" w:hAnsi="Arial"/>
                <w:sz w:val="9"/>
                <w:szCs w:val="9"/>
                <w:color w:val="auto"/>
                <w:w w:val="95"/>
              </w:rPr>
              <w:t>EDERICO</w:t>
            </w:r>
          </w:p>
        </w:tc>
      </w:tr>
      <w:tr>
        <w:trPr>
          <w:trHeight w:val="87"/>
        </w:trPr>
        <w:tc>
          <w:tcPr>
            <w:tcW w:w="440" w:type="dxa"/>
            <w:vAlign w:val="bottom"/>
          </w:tcPr>
          <w:p>
            <w:pPr>
              <w:spacing w:after="0"/>
              <w:rPr>
                <w:sz w:val="7"/>
                <w:szCs w:val="7"/>
                <w:color w:val="auto"/>
              </w:rPr>
            </w:pPr>
          </w:p>
        </w:tc>
        <w:tc>
          <w:tcPr>
            <w:tcW w:w="5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2960" w:type="dxa"/>
            <w:vAlign w:val="bottom"/>
            <w:tcBorders>
              <w:top w:val="single" w:sz="8" w:color="auto"/>
            </w:tcBorders>
          </w:tcPr>
          <w:p>
            <w:pPr>
              <w:jc w:val="center"/>
              <w:ind w:right="2127"/>
              <w:spacing w:after="0" w:line="87" w:lineRule="exact"/>
              <w:rPr>
                <w:sz w:val="20"/>
                <w:szCs w:val="20"/>
                <w:color w:val="auto"/>
              </w:rPr>
            </w:pPr>
            <w:r>
              <w:rPr>
                <w:rFonts w:ascii="Arial" w:cs="Arial" w:eastAsia="Arial" w:hAnsi="Arial"/>
                <w:sz w:val="10"/>
                <w:szCs w:val="10"/>
                <w:b w:val="1"/>
                <w:bCs w:val="1"/>
                <w:color w:val="auto"/>
                <w:w w:val="86"/>
              </w:rPr>
              <w:t>Peter J. Federico</w:t>
            </w:r>
          </w:p>
        </w:tc>
      </w:tr>
      <w:tr>
        <w:trPr>
          <w:trHeight w:val="99"/>
        </w:trPr>
        <w:tc>
          <w:tcPr>
            <w:tcW w:w="44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960" w:type="dxa"/>
            <w:vAlign w:val="bottom"/>
          </w:tcPr>
          <w:p>
            <w:pPr>
              <w:jc w:val="center"/>
              <w:ind w:right="2147"/>
              <w:spacing w:after="0" w:line="99" w:lineRule="exact"/>
              <w:rPr>
                <w:sz w:val="20"/>
                <w:szCs w:val="20"/>
                <w:color w:val="auto"/>
              </w:rPr>
            </w:pPr>
            <w:r>
              <w:rPr>
                <w:rFonts w:ascii="Arial" w:cs="Arial" w:eastAsia="Arial" w:hAnsi="Arial"/>
                <w:sz w:val="10"/>
                <w:szCs w:val="10"/>
                <w:b w:val="1"/>
                <w:bCs w:val="1"/>
                <w:color w:val="auto"/>
                <w:w w:val="84"/>
              </w:rPr>
              <w:t>President and</w:t>
            </w:r>
          </w:p>
        </w:tc>
      </w:tr>
      <w:tr>
        <w:trPr>
          <w:trHeight w:val="123"/>
        </w:trPr>
        <w:tc>
          <w:tcPr>
            <w:tcW w:w="44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360" w:type="dxa"/>
            <w:vAlign w:val="bottom"/>
            <w:gridSpan w:val="2"/>
          </w:tcPr>
          <w:p>
            <w:pPr>
              <w:jc w:val="center"/>
              <w:ind w:right="727"/>
              <w:spacing w:after="0"/>
              <w:rPr>
                <w:sz w:val="20"/>
                <w:szCs w:val="20"/>
                <w:color w:val="auto"/>
              </w:rPr>
            </w:pPr>
            <w:r>
              <w:rPr>
                <w:rFonts w:ascii="Arial" w:cs="Arial" w:eastAsia="Arial" w:hAnsi="Arial"/>
                <w:sz w:val="10"/>
                <w:szCs w:val="10"/>
                <w:b w:val="1"/>
                <w:bCs w:val="1"/>
                <w:color w:val="auto"/>
                <w:w w:val="88"/>
              </w:rPr>
              <w:t>Chief Executive Officer (Principal Executive Officer)</w:t>
            </w:r>
          </w:p>
        </w:tc>
      </w:tr>
      <w:tr>
        <w:trPr>
          <w:trHeight w:val="161"/>
        </w:trPr>
        <w:tc>
          <w:tcPr>
            <w:tcW w:w="440" w:type="dxa"/>
            <w:vAlign w:val="bottom"/>
          </w:tcPr>
          <w:p>
            <w:pPr>
              <w:spacing w:after="0"/>
              <w:rPr>
                <w:sz w:val="20"/>
                <w:szCs w:val="20"/>
                <w:color w:val="auto"/>
              </w:rPr>
            </w:pPr>
            <w:r>
              <w:rPr>
                <w:rFonts w:ascii="Arial" w:cs="Arial" w:eastAsia="Arial" w:hAnsi="Arial"/>
                <w:sz w:val="12"/>
                <w:szCs w:val="12"/>
                <w:color w:val="auto"/>
              </w:rPr>
              <w:t>Date:</w:t>
            </w:r>
          </w:p>
        </w:tc>
        <w:tc>
          <w:tcPr>
            <w:tcW w:w="6420" w:type="dxa"/>
            <w:vAlign w:val="bottom"/>
            <w:gridSpan w:val="2"/>
          </w:tcPr>
          <w:p>
            <w:pPr>
              <w:ind w:left="180"/>
              <w:spacing w:after="0"/>
              <w:rPr>
                <w:sz w:val="20"/>
                <w:szCs w:val="20"/>
                <w:color w:val="auto"/>
              </w:rPr>
            </w:pPr>
            <w:r>
              <w:rPr>
                <w:rFonts w:ascii="Arial" w:cs="Arial" w:eastAsia="Arial" w:hAnsi="Arial"/>
                <w:sz w:val="12"/>
                <w:szCs w:val="12"/>
                <w:color w:val="auto"/>
              </w:rPr>
              <w:t>November 7, 2022</w:t>
            </w:r>
          </w:p>
        </w:tc>
        <w:tc>
          <w:tcPr>
            <w:tcW w:w="14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338"/>
        </w:trPr>
        <w:tc>
          <w:tcPr>
            <w:tcW w:w="440" w:type="dxa"/>
            <w:vAlign w:val="bottom"/>
          </w:tcPr>
          <w:p>
            <w:pPr>
              <w:spacing w:after="0"/>
              <w:rPr>
                <w:sz w:val="24"/>
                <w:szCs w:val="24"/>
                <w:color w:val="auto"/>
              </w:rPr>
            </w:pPr>
          </w:p>
        </w:tc>
        <w:tc>
          <w:tcPr>
            <w:tcW w:w="6420" w:type="dxa"/>
            <w:vAlign w:val="bottom"/>
            <w:gridSpan w:val="2"/>
          </w:tcPr>
          <w:p>
            <w:pPr>
              <w:ind w:left="5100"/>
              <w:spacing w:after="0"/>
              <w:rPr>
                <w:sz w:val="20"/>
                <w:szCs w:val="20"/>
                <w:color w:val="auto"/>
              </w:rPr>
            </w:pPr>
            <w:r>
              <w:rPr>
                <w:rFonts w:ascii="Arial" w:cs="Arial" w:eastAsia="Arial" w:hAnsi="Arial"/>
                <w:sz w:val="12"/>
                <w:szCs w:val="12"/>
                <w:color w:val="auto"/>
              </w:rPr>
              <w:t>By:</w:t>
            </w:r>
          </w:p>
        </w:tc>
        <w:tc>
          <w:tcPr>
            <w:tcW w:w="1400" w:type="dxa"/>
            <w:vAlign w:val="bottom"/>
          </w:tcPr>
          <w:p>
            <w:pPr>
              <w:ind w:left="1240"/>
              <w:spacing w:after="0"/>
              <w:rPr>
                <w:sz w:val="20"/>
                <w:szCs w:val="20"/>
                <w:color w:val="auto"/>
              </w:rPr>
            </w:pPr>
            <w:r>
              <w:rPr>
                <w:rFonts w:ascii="Arial" w:cs="Arial" w:eastAsia="Arial" w:hAnsi="Arial"/>
                <w:sz w:val="12"/>
                <w:szCs w:val="12"/>
                <w:color w:val="auto"/>
              </w:rPr>
              <w:t>/s/</w:t>
            </w:r>
          </w:p>
        </w:tc>
        <w:tc>
          <w:tcPr>
            <w:tcW w:w="2960" w:type="dxa"/>
            <w:vAlign w:val="bottom"/>
          </w:tcPr>
          <w:p>
            <w:pPr>
              <w:jc w:val="center"/>
              <w:ind w:right="1907"/>
              <w:spacing w:after="0"/>
              <w:rPr>
                <w:sz w:val="20"/>
                <w:szCs w:val="20"/>
                <w:color w:val="auto"/>
              </w:rPr>
            </w:pPr>
            <w:r>
              <w:rPr>
                <w:rFonts w:ascii="Arial" w:cs="Arial" w:eastAsia="Arial" w:hAnsi="Arial"/>
                <w:sz w:val="12"/>
                <w:szCs w:val="12"/>
                <w:color w:val="auto"/>
                <w:w w:val="99"/>
              </w:rPr>
              <w:t>B</w:t>
            </w:r>
            <w:r>
              <w:rPr>
                <w:rFonts w:ascii="Arial" w:cs="Arial" w:eastAsia="Arial" w:hAnsi="Arial"/>
                <w:sz w:val="9"/>
                <w:szCs w:val="9"/>
                <w:color w:val="auto"/>
                <w:w w:val="99"/>
              </w:rPr>
              <w:t>ERNICE</w:t>
            </w:r>
            <w:r>
              <w:rPr>
                <w:rFonts w:ascii="Arial" w:cs="Arial" w:eastAsia="Arial" w:hAnsi="Arial"/>
                <w:sz w:val="12"/>
                <w:szCs w:val="12"/>
                <w:color w:val="auto"/>
                <w:w w:val="99"/>
              </w:rPr>
              <w:t xml:space="preserve"> E. B</w:t>
            </w:r>
            <w:r>
              <w:rPr>
                <w:rFonts w:ascii="Arial" w:cs="Arial" w:eastAsia="Arial" w:hAnsi="Arial"/>
                <w:sz w:val="9"/>
                <w:szCs w:val="9"/>
                <w:color w:val="auto"/>
                <w:w w:val="99"/>
              </w:rPr>
              <w:t>ELL</w:t>
            </w:r>
          </w:p>
        </w:tc>
      </w:tr>
      <w:tr>
        <w:trPr>
          <w:trHeight w:val="87"/>
        </w:trPr>
        <w:tc>
          <w:tcPr>
            <w:tcW w:w="440" w:type="dxa"/>
            <w:vAlign w:val="bottom"/>
          </w:tcPr>
          <w:p>
            <w:pPr>
              <w:spacing w:after="0"/>
              <w:rPr>
                <w:sz w:val="7"/>
                <w:szCs w:val="7"/>
                <w:color w:val="auto"/>
              </w:rPr>
            </w:pPr>
          </w:p>
        </w:tc>
        <w:tc>
          <w:tcPr>
            <w:tcW w:w="5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2960" w:type="dxa"/>
            <w:vAlign w:val="bottom"/>
            <w:tcBorders>
              <w:top w:val="single" w:sz="8" w:color="auto"/>
            </w:tcBorders>
          </w:tcPr>
          <w:p>
            <w:pPr>
              <w:jc w:val="center"/>
              <w:ind w:right="2127"/>
              <w:spacing w:after="0" w:line="87" w:lineRule="exact"/>
              <w:rPr>
                <w:sz w:val="20"/>
                <w:szCs w:val="20"/>
                <w:color w:val="auto"/>
              </w:rPr>
            </w:pPr>
            <w:r>
              <w:rPr>
                <w:rFonts w:ascii="Arial" w:cs="Arial" w:eastAsia="Arial" w:hAnsi="Arial"/>
                <w:sz w:val="10"/>
                <w:szCs w:val="10"/>
                <w:b w:val="1"/>
                <w:bCs w:val="1"/>
                <w:color w:val="auto"/>
                <w:w w:val="88"/>
              </w:rPr>
              <w:t>Bernice E. Bell</w:t>
            </w:r>
          </w:p>
        </w:tc>
      </w:tr>
      <w:tr>
        <w:trPr>
          <w:trHeight w:val="99"/>
        </w:trPr>
        <w:tc>
          <w:tcPr>
            <w:tcW w:w="44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360" w:type="dxa"/>
            <w:vAlign w:val="bottom"/>
            <w:gridSpan w:val="2"/>
          </w:tcPr>
          <w:p>
            <w:pPr>
              <w:jc w:val="center"/>
              <w:ind w:right="767"/>
              <w:spacing w:after="0" w:line="99" w:lineRule="exact"/>
              <w:rPr>
                <w:sz w:val="20"/>
                <w:szCs w:val="20"/>
                <w:color w:val="auto"/>
              </w:rPr>
            </w:pPr>
            <w:r>
              <w:rPr>
                <w:rFonts w:ascii="Arial" w:cs="Arial" w:eastAsia="Arial" w:hAnsi="Arial"/>
                <w:sz w:val="10"/>
                <w:szCs w:val="10"/>
                <w:b w:val="1"/>
                <w:bCs w:val="1"/>
                <w:color w:val="auto"/>
                <w:w w:val="84"/>
              </w:rPr>
              <w:t>Executive Vice President and</w:t>
            </w:r>
          </w:p>
        </w:tc>
      </w:tr>
      <w:tr>
        <w:trPr>
          <w:trHeight w:val="123"/>
        </w:trPr>
        <w:tc>
          <w:tcPr>
            <w:tcW w:w="44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360" w:type="dxa"/>
            <w:vAlign w:val="bottom"/>
            <w:gridSpan w:val="2"/>
          </w:tcPr>
          <w:p>
            <w:pPr>
              <w:jc w:val="center"/>
              <w:ind w:right="727"/>
              <w:spacing w:after="0"/>
              <w:rPr>
                <w:sz w:val="20"/>
                <w:szCs w:val="20"/>
                <w:color w:val="auto"/>
              </w:rPr>
            </w:pPr>
            <w:r>
              <w:rPr>
                <w:rFonts w:ascii="Arial" w:cs="Arial" w:eastAsia="Arial" w:hAnsi="Arial"/>
                <w:sz w:val="10"/>
                <w:szCs w:val="10"/>
                <w:b w:val="1"/>
                <w:bCs w:val="1"/>
                <w:color w:val="auto"/>
                <w:w w:val="89"/>
              </w:rPr>
              <w:t>Chief Financial Officer (Principal Financial Officer and Principal Accounting Officer)</w:t>
            </w:r>
          </w:p>
        </w:tc>
      </w:tr>
      <w:tr>
        <w:trPr>
          <w:trHeight w:val="161"/>
        </w:trPr>
        <w:tc>
          <w:tcPr>
            <w:tcW w:w="440" w:type="dxa"/>
            <w:vAlign w:val="bottom"/>
          </w:tcPr>
          <w:p>
            <w:pPr>
              <w:spacing w:after="0"/>
              <w:rPr>
                <w:sz w:val="20"/>
                <w:szCs w:val="20"/>
                <w:color w:val="auto"/>
              </w:rPr>
            </w:pPr>
            <w:r>
              <w:rPr>
                <w:rFonts w:ascii="Arial" w:cs="Arial" w:eastAsia="Arial" w:hAnsi="Arial"/>
                <w:sz w:val="12"/>
                <w:szCs w:val="12"/>
                <w:color w:val="auto"/>
              </w:rPr>
              <w:t>Date:</w:t>
            </w:r>
          </w:p>
        </w:tc>
        <w:tc>
          <w:tcPr>
            <w:tcW w:w="6420" w:type="dxa"/>
            <w:vAlign w:val="bottom"/>
            <w:gridSpan w:val="2"/>
          </w:tcPr>
          <w:p>
            <w:pPr>
              <w:ind w:left="180"/>
              <w:spacing w:after="0"/>
              <w:rPr>
                <w:sz w:val="20"/>
                <w:szCs w:val="20"/>
                <w:color w:val="auto"/>
              </w:rPr>
            </w:pPr>
            <w:r>
              <w:rPr>
                <w:rFonts w:ascii="Arial" w:cs="Arial" w:eastAsia="Arial" w:hAnsi="Arial"/>
                <w:sz w:val="12"/>
                <w:szCs w:val="12"/>
                <w:color w:val="auto"/>
              </w:rPr>
              <w:t>November 7, 2022</w:t>
            </w:r>
          </w:p>
        </w:tc>
        <w:tc>
          <w:tcPr>
            <w:tcW w:w="14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810"/>
        </w:trPr>
        <w:tc>
          <w:tcPr>
            <w:tcW w:w="440" w:type="dxa"/>
            <w:vAlign w:val="bottom"/>
          </w:tcPr>
          <w:p>
            <w:pPr>
              <w:spacing w:after="0"/>
              <w:rPr>
                <w:sz w:val="24"/>
                <w:szCs w:val="24"/>
                <w:color w:val="auto"/>
              </w:rPr>
            </w:pPr>
          </w:p>
        </w:tc>
        <w:tc>
          <w:tcPr>
            <w:tcW w:w="5620" w:type="dxa"/>
            <w:vAlign w:val="bottom"/>
          </w:tcPr>
          <w:p>
            <w:pPr>
              <w:ind w:left="5100"/>
              <w:spacing w:after="0"/>
              <w:rPr>
                <w:sz w:val="20"/>
                <w:szCs w:val="20"/>
                <w:color w:val="auto"/>
              </w:rPr>
            </w:pPr>
            <w:r>
              <w:rPr>
                <w:rFonts w:ascii="Arial" w:cs="Arial" w:eastAsia="Arial" w:hAnsi="Arial"/>
                <w:sz w:val="12"/>
                <w:szCs w:val="12"/>
                <w:color w:val="auto"/>
              </w:rPr>
              <w:t>50</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220"/>
          </w:cols>
          <w:pgMar w:left="340" w:top="640" w:right="339" w:bottom="1440"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861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0415" cy="4861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30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041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2"/>
          <w:szCs w:val="12"/>
          <w:color w:val="auto"/>
        </w:rPr>
        <w:t>Exhibit 31.1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302(a)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Peter J. Federico, certify that:</w:t>
      </w:r>
    </w:p>
    <w:p>
      <w:pPr>
        <w:spacing w:after="0" w:line="105" w:lineRule="exact"/>
        <w:rPr>
          <w:sz w:val="20"/>
          <w:szCs w:val="20"/>
          <w:color w:val="auto"/>
        </w:rPr>
      </w:pPr>
    </w:p>
    <w:p>
      <w:pPr>
        <w:ind w:left="500" w:hanging="211"/>
        <w:spacing w:after="0"/>
        <w:tabs>
          <w:tab w:leader="none" w:pos="5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AGNC Investment Corp.;</w:t>
      </w:r>
    </w:p>
    <w:p>
      <w:pPr>
        <w:spacing w:after="0" w:line="105" w:lineRule="exact"/>
        <w:rPr>
          <w:rFonts w:ascii="Arial" w:cs="Arial" w:eastAsia="Arial" w:hAnsi="Arial"/>
          <w:sz w:val="12"/>
          <w:szCs w:val="12"/>
          <w:color w:val="auto"/>
        </w:rPr>
      </w:pPr>
    </w:p>
    <w:p>
      <w:pPr>
        <w:ind w:left="560" w:right="20" w:hanging="271"/>
        <w:spacing w:after="0" w:line="276" w:lineRule="auto"/>
        <w:tabs>
          <w:tab w:leader="none" w:pos="515"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560" w:right="20" w:hanging="271"/>
        <w:spacing w:after="0" w:line="276" w:lineRule="auto"/>
        <w:tabs>
          <w:tab w:leader="none" w:pos="5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560" w:hanging="271"/>
        <w:spacing w:after="0" w:line="276" w:lineRule="auto"/>
        <w:tabs>
          <w:tab w:leader="none" w:pos="503"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940" w:hanging="273"/>
        <w:spacing w:after="0" w:line="276" w:lineRule="auto"/>
        <w:tabs>
          <w:tab w:leader="none" w:pos="943" w:val="left"/>
        </w:tabs>
        <w:numPr>
          <w:ilvl w:val="1"/>
          <w:numId w:val="3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940" w:hanging="273"/>
        <w:spacing w:after="0" w:line="276" w:lineRule="auto"/>
        <w:tabs>
          <w:tab w:leader="none" w:pos="975" w:val="left"/>
        </w:tabs>
        <w:numPr>
          <w:ilvl w:val="1"/>
          <w:numId w:val="3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2"/>
          <w:szCs w:val="12"/>
          <w:color w:val="auto"/>
        </w:rPr>
      </w:pPr>
    </w:p>
    <w:p>
      <w:pPr>
        <w:ind w:left="940" w:hanging="273"/>
        <w:spacing w:after="0" w:line="276" w:lineRule="auto"/>
        <w:tabs>
          <w:tab w:leader="none" w:pos="956" w:val="left"/>
        </w:tabs>
        <w:numPr>
          <w:ilvl w:val="1"/>
          <w:numId w:val="3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940" w:hanging="273"/>
        <w:spacing w:after="0" w:line="276" w:lineRule="auto"/>
        <w:tabs>
          <w:tab w:leader="none" w:pos="970" w:val="left"/>
        </w:tabs>
        <w:numPr>
          <w:ilvl w:val="1"/>
          <w:numId w:val="3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560" w:right="20" w:hanging="271"/>
        <w:spacing w:after="0" w:line="276" w:lineRule="auto"/>
        <w:tabs>
          <w:tab w:leader="none" w:pos="531"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9" w:lineRule="exact"/>
        <w:rPr>
          <w:rFonts w:ascii="Arial" w:cs="Arial" w:eastAsia="Arial" w:hAnsi="Arial"/>
          <w:sz w:val="12"/>
          <w:szCs w:val="12"/>
          <w:color w:val="auto"/>
        </w:rPr>
      </w:pPr>
    </w:p>
    <w:p>
      <w:pPr>
        <w:ind w:left="940" w:hanging="273"/>
        <w:spacing w:after="0" w:line="276" w:lineRule="auto"/>
        <w:tabs>
          <w:tab w:leader="none" w:pos="955" w:val="left"/>
        </w:tabs>
        <w:numPr>
          <w:ilvl w:val="1"/>
          <w:numId w:val="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920" w:hanging="253"/>
        <w:spacing w:after="0"/>
        <w:tabs>
          <w:tab w:leader="none" w:pos="920" w:val="left"/>
        </w:tabs>
        <w:numPr>
          <w:ilvl w:val="1"/>
          <w:numId w:val="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3720" w:type="dxa"/>
            <w:vAlign w:val="bottom"/>
          </w:tcPr>
          <w:p>
            <w:pPr>
              <w:ind w:left="20"/>
              <w:spacing w:after="0"/>
              <w:rPr>
                <w:sz w:val="20"/>
                <w:szCs w:val="20"/>
                <w:color w:val="auto"/>
              </w:rPr>
            </w:pPr>
            <w:r>
              <w:rPr>
                <w:rFonts w:ascii="Arial" w:cs="Arial" w:eastAsia="Arial" w:hAnsi="Arial"/>
                <w:sz w:val="12"/>
                <w:szCs w:val="12"/>
                <w:color w:val="auto"/>
              </w:rPr>
              <w:t>November 7, 2022</w:t>
            </w:r>
          </w:p>
        </w:tc>
      </w:tr>
      <w:tr>
        <w:trPr>
          <w:trHeight w:val="293"/>
        </w:trPr>
        <w:tc>
          <w:tcPr>
            <w:tcW w:w="600" w:type="dxa"/>
            <w:vAlign w:val="bottom"/>
          </w:tcPr>
          <w:p>
            <w:pPr>
              <w:spacing w:after="0"/>
              <w:rPr>
                <w:sz w:val="24"/>
                <w:szCs w:val="24"/>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P</w:t>
            </w:r>
            <w:r>
              <w:rPr>
                <w:rFonts w:ascii="Arial" w:cs="Arial" w:eastAsia="Arial" w:hAnsi="Arial"/>
                <w:sz w:val="9"/>
                <w:szCs w:val="9"/>
                <w:color w:val="auto"/>
              </w:rPr>
              <w:t>ETER</w:t>
            </w:r>
            <w:r>
              <w:rPr>
                <w:rFonts w:ascii="Arial" w:cs="Arial" w:eastAsia="Arial" w:hAnsi="Arial"/>
                <w:sz w:val="12"/>
                <w:szCs w:val="12"/>
                <w:color w:val="auto"/>
              </w:rPr>
              <w:t xml:space="preserve"> J. F</w:t>
            </w:r>
            <w:r>
              <w:rPr>
                <w:rFonts w:ascii="Arial" w:cs="Arial" w:eastAsia="Arial" w:hAnsi="Arial"/>
                <w:sz w:val="9"/>
                <w:szCs w:val="9"/>
                <w:color w:val="auto"/>
              </w:rPr>
              <w:t>EDERICO</w:t>
            </w:r>
          </w:p>
        </w:tc>
      </w:tr>
      <w:tr>
        <w:trPr>
          <w:trHeight w:val="147"/>
        </w:trPr>
        <w:tc>
          <w:tcPr>
            <w:tcW w:w="600" w:type="dxa"/>
            <w:vAlign w:val="bottom"/>
          </w:tcPr>
          <w:p>
            <w:pPr>
              <w:spacing w:after="0"/>
              <w:rPr>
                <w:sz w:val="12"/>
                <w:szCs w:val="12"/>
                <w:color w:val="auto"/>
              </w:rPr>
            </w:pPr>
          </w:p>
        </w:tc>
        <w:tc>
          <w:tcPr>
            <w:tcW w:w="3720" w:type="dxa"/>
            <w:vAlign w:val="bottom"/>
          </w:tcPr>
          <w:p>
            <w:pPr>
              <w:ind w:left="20"/>
              <w:spacing w:after="0"/>
              <w:rPr>
                <w:sz w:val="20"/>
                <w:szCs w:val="20"/>
                <w:color w:val="auto"/>
              </w:rPr>
            </w:pPr>
            <w:r>
              <w:rPr>
                <w:rFonts w:ascii="Arial" w:cs="Arial" w:eastAsia="Arial" w:hAnsi="Arial"/>
                <w:sz w:val="12"/>
                <w:szCs w:val="12"/>
                <w:color w:val="auto"/>
              </w:rPr>
              <w:t>Peter J. Federico</w:t>
            </w:r>
          </w:p>
        </w:tc>
      </w:tr>
      <w:tr>
        <w:trPr>
          <w:trHeight w:val="153"/>
        </w:trPr>
        <w:tc>
          <w:tcPr>
            <w:tcW w:w="60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2"/>
                <w:szCs w:val="12"/>
                <w:color w:val="auto"/>
              </w:rPr>
              <w:t>President and Chief Executive Officer (Principal Executive Officer)</w:t>
            </w:r>
          </w:p>
        </w:tc>
      </w:tr>
    </w:tbl>
    <w:p>
      <w:pPr>
        <w:sectPr>
          <w:pgSz w:w="11900" w:h="16838" w:orient="portrait"/>
          <w:cols w:equalWidth="0" w:num="1">
            <w:col w:w="11300"/>
          </w:cols>
          <w:pgMar w:left="300" w:top="644"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2"/>
          <w:szCs w:val="12"/>
          <w:color w:val="auto"/>
        </w:rPr>
        <w:t>Exhibit 31.2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302(a)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I, Bernice E. Bell, certify that:</w:t>
      </w:r>
    </w:p>
    <w:p>
      <w:pPr>
        <w:spacing w:after="0" w:line="105" w:lineRule="exact"/>
        <w:rPr>
          <w:sz w:val="20"/>
          <w:szCs w:val="20"/>
          <w:color w:val="auto"/>
        </w:rPr>
      </w:pPr>
    </w:p>
    <w:p>
      <w:pPr>
        <w:ind w:left="500" w:hanging="211"/>
        <w:spacing w:after="0"/>
        <w:tabs>
          <w:tab w:leader="none" w:pos="5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AGNC Investment Corp;</w:t>
      </w:r>
    </w:p>
    <w:p>
      <w:pPr>
        <w:spacing w:after="0" w:line="105" w:lineRule="exact"/>
        <w:rPr>
          <w:rFonts w:ascii="Arial" w:cs="Arial" w:eastAsia="Arial" w:hAnsi="Arial"/>
          <w:sz w:val="12"/>
          <w:szCs w:val="12"/>
          <w:color w:val="auto"/>
        </w:rPr>
      </w:pPr>
    </w:p>
    <w:p>
      <w:pPr>
        <w:ind w:left="560" w:right="20" w:hanging="271"/>
        <w:spacing w:after="0" w:line="276" w:lineRule="auto"/>
        <w:tabs>
          <w:tab w:leader="none" w:pos="515"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560" w:right="20" w:hanging="271"/>
        <w:spacing w:after="0" w:line="276" w:lineRule="auto"/>
        <w:tabs>
          <w:tab w:leader="none" w:pos="5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560" w:hanging="271"/>
        <w:spacing w:after="0" w:line="276" w:lineRule="auto"/>
        <w:tabs>
          <w:tab w:leader="none" w:pos="503"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940" w:hanging="273"/>
        <w:spacing w:after="0" w:line="276" w:lineRule="auto"/>
        <w:tabs>
          <w:tab w:leader="none" w:pos="943"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69" w:lineRule="exact"/>
        <w:rPr>
          <w:rFonts w:ascii="Arial" w:cs="Arial" w:eastAsia="Arial" w:hAnsi="Arial"/>
          <w:sz w:val="12"/>
          <w:szCs w:val="12"/>
          <w:color w:val="auto"/>
        </w:rPr>
      </w:pPr>
    </w:p>
    <w:p>
      <w:pPr>
        <w:ind w:left="940" w:hanging="273"/>
        <w:spacing w:after="0" w:line="276" w:lineRule="auto"/>
        <w:tabs>
          <w:tab w:leader="none" w:pos="975"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2"/>
          <w:szCs w:val="12"/>
          <w:color w:val="auto"/>
        </w:rPr>
      </w:pPr>
    </w:p>
    <w:p>
      <w:pPr>
        <w:ind w:left="940" w:hanging="273"/>
        <w:spacing w:after="0" w:line="276" w:lineRule="auto"/>
        <w:tabs>
          <w:tab w:leader="none" w:pos="956" w:val="left"/>
        </w:tabs>
        <w:numPr>
          <w:ilvl w:val="1"/>
          <w:numId w:val="4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940" w:hanging="273"/>
        <w:spacing w:after="0" w:line="276" w:lineRule="auto"/>
        <w:tabs>
          <w:tab w:leader="none" w:pos="970" w:val="left"/>
        </w:tabs>
        <w:numPr>
          <w:ilvl w:val="1"/>
          <w:numId w:val="4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560" w:right="20" w:hanging="271"/>
        <w:spacing w:after="0" w:line="276" w:lineRule="auto"/>
        <w:tabs>
          <w:tab w:leader="none" w:pos="53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9" w:lineRule="exact"/>
        <w:rPr>
          <w:rFonts w:ascii="Arial" w:cs="Arial" w:eastAsia="Arial" w:hAnsi="Arial"/>
          <w:sz w:val="12"/>
          <w:szCs w:val="12"/>
          <w:color w:val="auto"/>
        </w:rPr>
      </w:pPr>
    </w:p>
    <w:p>
      <w:pPr>
        <w:ind w:left="940" w:right="20" w:hanging="273"/>
        <w:spacing w:after="0" w:line="276" w:lineRule="auto"/>
        <w:tabs>
          <w:tab w:leader="none" w:pos="967" w:val="left"/>
        </w:tabs>
        <w:numPr>
          <w:ilvl w:val="1"/>
          <w:numId w:val="4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920" w:hanging="253"/>
        <w:spacing w:after="0"/>
        <w:tabs>
          <w:tab w:leader="none" w:pos="920" w:val="left"/>
        </w:tabs>
        <w:numPr>
          <w:ilvl w:val="1"/>
          <w:numId w:val="4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3720" w:type="dxa"/>
            <w:vAlign w:val="bottom"/>
          </w:tcPr>
          <w:p>
            <w:pPr>
              <w:ind w:left="20"/>
              <w:spacing w:after="0"/>
              <w:rPr>
                <w:sz w:val="20"/>
                <w:szCs w:val="20"/>
                <w:color w:val="auto"/>
              </w:rPr>
            </w:pPr>
            <w:r>
              <w:rPr>
                <w:rFonts w:ascii="Arial" w:cs="Arial" w:eastAsia="Arial" w:hAnsi="Arial"/>
                <w:sz w:val="12"/>
                <w:szCs w:val="12"/>
                <w:color w:val="auto"/>
              </w:rPr>
              <w:t>November 7, 2022</w:t>
            </w:r>
          </w:p>
        </w:tc>
      </w:tr>
      <w:tr>
        <w:trPr>
          <w:trHeight w:val="292"/>
        </w:trPr>
        <w:tc>
          <w:tcPr>
            <w:tcW w:w="600" w:type="dxa"/>
            <w:vAlign w:val="bottom"/>
          </w:tcPr>
          <w:p>
            <w:pPr>
              <w:spacing w:after="0"/>
              <w:rPr>
                <w:sz w:val="24"/>
                <w:szCs w:val="24"/>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w:t>
            </w:r>
            <w:r>
              <w:rPr>
                <w:rFonts w:ascii="Arial" w:cs="Arial" w:eastAsia="Arial" w:hAnsi="Arial"/>
                <w:sz w:val="9"/>
                <w:szCs w:val="9"/>
                <w:color w:val="auto"/>
              </w:rPr>
              <w:t>ERNICE</w:t>
            </w:r>
            <w:r>
              <w:rPr>
                <w:rFonts w:ascii="Arial" w:cs="Arial" w:eastAsia="Arial" w:hAnsi="Arial"/>
                <w:sz w:val="12"/>
                <w:szCs w:val="12"/>
                <w:color w:val="auto"/>
              </w:rPr>
              <w:t xml:space="preserve"> E. B</w:t>
            </w:r>
            <w:r>
              <w:rPr>
                <w:rFonts w:ascii="Arial" w:cs="Arial" w:eastAsia="Arial" w:hAnsi="Arial"/>
                <w:sz w:val="9"/>
                <w:szCs w:val="9"/>
                <w:color w:val="auto"/>
              </w:rPr>
              <w:t>ELL</w:t>
            </w:r>
          </w:p>
        </w:tc>
      </w:tr>
      <w:tr>
        <w:trPr>
          <w:trHeight w:val="147"/>
        </w:trPr>
        <w:tc>
          <w:tcPr>
            <w:tcW w:w="600" w:type="dxa"/>
            <w:vAlign w:val="bottom"/>
          </w:tcPr>
          <w:p>
            <w:pPr>
              <w:spacing w:after="0"/>
              <w:rPr>
                <w:sz w:val="12"/>
                <w:szCs w:val="12"/>
                <w:color w:val="auto"/>
              </w:rPr>
            </w:pPr>
          </w:p>
        </w:tc>
        <w:tc>
          <w:tcPr>
            <w:tcW w:w="3720" w:type="dxa"/>
            <w:vAlign w:val="bottom"/>
          </w:tcPr>
          <w:p>
            <w:pPr>
              <w:ind w:left="20"/>
              <w:spacing w:after="0"/>
              <w:rPr>
                <w:sz w:val="20"/>
                <w:szCs w:val="20"/>
                <w:color w:val="auto"/>
              </w:rPr>
            </w:pPr>
            <w:r>
              <w:rPr>
                <w:rFonts w:ascii="Arial" w:cs="Arial" w:eastAsia="Arial" w:hAnsi="Arial"/>
                <w:sz w:val="12"/>
                <w:szCs w:val="12"/>
                <w:color w:val="auto"/>
              </w:rPr>
              <w:t>Bernice E. Bell</w:t>
            </w:r>
          </w:p>
        </w:tc>
      </w:tr>
      <w:tr>
        <w:trPr>
          <w:trHeight w:val="117"/>
        </w:trPr>
        <w:tc>
          <w:tcPr>
            <w:tcW w:w="600" w:type="dxa"/>
            <w:vAlign w:val="bottom"/>
          </w:tcPr>
          <w:p>
            <w:pPr>
              <w:spacing w:after="0"/>
              <w:rPr>
                <w:sz w:val="10"/>
                <w:szCs w:val="10"/>
                <w:color w:val="auto"/>
              </w:rPr>
            </w:pPr>
          </w:p>
        </w:tc>
        <w:tc>
          <w:tcPr>
            <w:tcW w:w="3720" w:type="dxa"/>
            <w:vAlign w:val="bottom"/>
          </w:tcPr>
          <w:p>
            <w:pPr>
              <w:ind w:left="20"/>
              <w:spacing w:after="0" w:line="117" w:lineRule="exact"/>
              <w:rPr>
                <w:sz w:val="20"/>
                <w:szCs w:val="20"/>
                <w:color w:val="auto"/>
              </w:rPr>
            </w:pPr>
            <w:r>
              <w:rPr>
                <w:rFonts w:ascii="Arial" w:cs="Arial" w:eastAsia="Arial" w:hAnsi="Arial"/>
                <w:sz w:val="12"/>
                <w:szCs w:val="12"/>
                <w:color w:val="auto"/>
                <w:w w:val="96"/>
              </w:rPr>
              <w:t>Executive Vice President and Chief Financial Officer (Principal Financial</w:t>
            </w:r>
          </w:p>
        </w:tc>
      </w:tr>
      <w:tr>
        <w:trPr>
          <w:trHeight w:val="153"/>
        </w:trPr>
        <w:tc>
          <w:tcPr>
            <w:tcW w:w="60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2"/>
                <w:szCs w:val="12"/>
                <w:color w:val="auto"/>
              </w:rPr>
              <w:t>Officer)</w:t>
            </w:r>
          </w:p>
        </w:tc>
      </w:tr>
    </w:tbl>
    <w:p>
      <w:pPr>
        <w:sectPr>
          <w:pgSz w:w="11900" w:h="16838" w:orient="portrait"/>
          <w:cols w:equalWidth="0" w:num="1">
            <w:col w:w="11300"/>
          </w:cols>
          <w:pgMar w:left="300" w:top="644"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color w:val="auto"/>
        </w:rPr>
        <w:t>Exhibit 32</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We, Peter J. Federico, President and Chief Executive Officer, and Bernice E. Bell, Executive Vice President and Chief Financial Officer of AGNC Investment Corp. (the “Company”), certify pursuant to Section 906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Sarbanes-Oxley Act of 2002, 18 U.S.C. Section 1350 that:</w:t>
      </w:r>
    </w:p>
    <w:p>
      <w:pPr>
        <w:spacing w:after="0" w:line="105" w:lineRule="exact"/>
        <w:rPr>
          <w:sz w:val="20"/>
          <w:szCs w:val="20"/>
          <w:color w:val="auto"/>
        </w:rPr>
      </w:pPr>
    </w:p>
    <w:p>
      <w:pPr>
        <w:ind w:left="420" w:right="200" w:hanging="212"/>
        <w:spacing w:after="0" w:line="276" w:lineRule="auto"/>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quarter ended September 30, 2022 (the “Report”) fully complies with the requirements of Section 13(a) of the Securities Exchange Act of 1934 (15 U.S.C. 78m);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0" w:type="dxa"/>
            <w:vAlign w:val="bottom"/>
          </w:tcPr>
          <w:p>
            <w:pPr>
              <w:spacing w:after="0"/>
              <w:rPr>
                <w:sz w:val="13"/>
                <w:szCs w:val="13"/>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w:t>
            </w:r>
          </w:p>
        </w:tc>
        <w:tc>
          <w:tcPr>
            <w:tcW w:w="61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P</w:t>
            </w:r>
            <w:r>
              <w:rPr>
                <w:rFonts w:ascii="Arial" w:cs="Arial" w:eastAsia="Arial" w:hAnsi="Arial"/>
                <w:sz w:val="9"/>
                <w:szCs w:val="9"/>
                <w:color w:val="auto"/>
              </w:rPr>
              <w:t>ETER</w:t>
            </w:r>
            <w:r>
              <w:rPr>
                <w:rFonts w:ascii="Arial" w:cs="Arial" w:eastAsia="Arial" w:hAnsi="Arial"/>
                <w:sz w:val="12"/>
                <w:szCs w:val="12"/>
                <w:color w:val="auto"/>
              </w:rPr>
              <w:t xml:space="preserve"> J. F</w:t>
            </w:r>
            <w:r>
              <w:rPr>
                <w:rFonts w:ascii="Arial" w:cs="Arial" w:eastAsia="Arial" w:hAnsi="Arial"/>
                <w:sz w:val="9"/>
                <w:szCs w:val="9"/>
                <w:color w:val="auto"/>
              </w:rPr>
              <w:t>EDERICO</w:t>
            </w:r>
          </w:p>
        </w:tc>
      </w:tr>
      <w:tr>
        <w:trPr>
          <w:trHeight w:val="151"/>
        </w:trPr>
        <w:tc>
          <w:tcPr>
            <w:tcW w:w="720" w:type="dxa"/>
            <w:vAlign w:val="bottom"/>
          </w:tcPr>
          <w:p>
            <w:pPr>
              <w:spacing w:after="0"/>
              <w:rPr>
                <w:sz w:val="20"/>
                <w:szCs w:val="20"/>
                <w:color w:val="auto"/>
              </w:rPr>
            </w:pPr>
            <w:r>
              <w:rPr>
                <w:rFonts w:ascii="Arial" w:cs="Arial" w:eastAsia="Arial" w:hAnsi="Arial"/>
                <w:sz w:val="12"/>
                <w:szCs w:val="12"/>
                <w:color w:val="auto"/>
              </w:rPr>
              <w:t>Name:</w:t>
            </w:r>
          </w:p>
        </w:tc>
        <w:tc>
          <w:tcPr>
            <w:tcW w:w="6280" w:type="dxa"/>
            <w:vAlign w:val="bottom"/>
            <w:gridSpan w:val="2"/>
          </w:tcPr>
          <w:p>
            <w:pPr>
              <w:spacing w:after="0"/>
              <w:rPr>
                <w:sz w:val="20"/>
                <w:szCs w:val="20"/>
                <w:color w:val="auto"/>
              </w:rPr>
            </w:pPr>
            <w:r>
              <w:rPr>
                <w:rFonts w:ascii="Arial" w:cs="Arial" w:eastAsia="Arial" w:hAnsi="Arial"/>
                <w:sz w:val="12"/>
                <w:szCs w:val="12"/>
                <w:color w:val="auto"/>
              </w:rPr>
              <w:t>Peter J. Federico</w:t>
            </w:r>
          </w:p>
        </w:tc>
      </w:tr>
      <w:tr>
        <w:trPr>
          <w:trHeight w:val="126"/>
        </w:trPr>
        <w:tc>
          <w:tcPr>
            <w:tcW w:w="720" w:type="dxa"/>
            <w:vAlign w:val="bottom"/>
          </w:tcPr>
          <w:p>
            <w:pPr>
              <w:spacing w:after="0" w:line="126" w:lineRule="exact"/>
              <w:rPr>
                <w:sz w:val="20"/>
                <w:szCs w:val="20"/>
                <w:color w:val="auto"/>
              </w:rPr>
            </w:pPr>
            <w:r>
              <w:rPr>
                <w:rFonts w:ascii="Arial" w:cs="Arial" w:eastAsia="Arial" w:hAnsi="Arial"/>
                <w:sz w:val="12"/>
                <w:szCs w:val="12"/>
                <w:color w:val="auto"/>
              </w:rPr>
              <w:t>Title:</w:t>
            </w:r>
          </w:p>
        </w:tc>
        <w:tc>
          <w:tcPr>
            <w:tcW w:w="6280" w:type="dxa"/>
            <w:vAlign w:val="bottom"/>
            <w:gridSpan w:val="2"/>
          </w:tcPr>
          <w:p>
            <w:pPr>
              <w:spacing w:after="0" w:line="126" w:lineRule="exact"/>
              <w:rPr>
                <w:sz w:val="20"/>
                <w:szCs w:val="20"/>
                <w:color w:val="auto"/>
              </w:rPr>
            </w:pPr>
            <w:r>
              <w:rPr>
                <w:rFonts w:ascii="Arial" w:cs="Arial" w:eastAsia="Arial" w:hAnsi="Arial"/>
                <w:sz w:val="12"/>
                <w:szCs w:val="12"/>
                <w:color w:val="auto"/>
              </w:rPr>
              <w:t>President and</w:t>
            </w:r>
          </w:p>
        </w:tc>
      </w:tr>
      <w:tr>
        <w:trPr>
          <w:trHeight w:val="153"/>
        </w:trPr>
        <w:tc>
          <w:tcPr>
            <w:tcW w:w="7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Arial" w:cs="Arial" w:eastAsia="Arial" w:hAnsi="Arial"/>
                <w:sz w:val="12"/>
                <w:szCs w:val="12"/>
                <w:color w:val="auto"/>
              </w:rPr>
              <w:t>Chief Executive Officer (Principal Executive Officer)</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6280" w:type="dxa"/>
            <w:vAlign w:val="bottom"/>
            <w:gridSpan w:val="2"/>
          </w:tcPr>
          <w:p>
            <w:pPr>
              <w:spacing w:after="0"/>
              <w:rPr>
                <w:sz w:val="20"/>
                <w:szCs w:val="20"/>
                <w:color w:val="auto"/>
              </w:rPr>
            </w:pPr>
            <w:r>
              <w:rPr>
                <w:rFonts w:ascii="Arial" w:cs="Arial" w:eastAsia="Arial" w:hAnsi="Arial"/>
                <w:sz w:val="12"/>
                <w:szCs w:val="12"/>
                <w:color w:val="auto"/>
              </w:rPr>
              <w:t>November 7, 2022</w:t>
            </w:r>
          </w:p>
        </w:tc>
      </w:tr>
      <w:tr>
        <w:trPr>
          <w:trHeight w:val="324"/>
        </w:trPr>
        <w:tc>
          <w:tcPr>
            <w:tcW w:w="720" w:type="dxa"/>
            <w:vAlign w:val="bottom"/>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w:t>
            </w:r>
          </w:p>
        </w:tc>
        <w:tc>
          <w:tcPr>
            <w:tcW w:w="61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B</w:t>
            </w:r>
            <w:r>
              <w:rPr>
                <w:rFonts w:ascii="Arial" w:cs="Arial" w:eastAsia="Arial" w:hAnsi="Arial"/>
                <w:sz w:val="9"/>
                <w:szCs w:val="9"/>
                <w:color w:val="auto"/>
              </w:rPr>
              <w:t>ERNICE</w:t>
            </w:r>
            <w:r>
              <w:rPr>
                <w:rFonts w:ascii="Arial" w:cs="Arial" w:eastAsia="Arial" w:hAnsi="Arial"/>
                <w:sz w:val="12"/>
                <w:szCs w:val="12"/>
                <w:color w:val="auto"/>
              </w:rPr>
              <w:t xml:space="preserve"> E. B</w:t>
            </w:r>
            <w:r>
              <w:rPr>
                <w:rFonts w:ascii="Arial" w:cs="Arial" w:eastAsia="Arial" w:hAnsi="Arial"/>
                <w:sz w:val="9"/>
                <w:szCs w:val="9"/>
                <w:color w:val="auto"/>
              </w:rPr>
              <w:t>ELL</w:t>
            </w:r>
          </w:p>
        </w:tc>
      </w:tr>
      <w:tr>
        <w:trPr>
          <w:trHeight w:val="151"/>
        </w:trPr>
        <w:tc>
          <w:tcPr>
            <w:tcW w:w="720" w:type="dxa"/>
            <w:vAlign w:val="bottom"/>
          </w:tcPr>
          <w:p>
            <w:pPr>
              <w:spacing w:after="0"/>
              <w:rPr>
                <w:sz w:val="20"/>
                <w:szCs w:val="20"/>
                <w:color w:val="auto"/>
              </w:rPr>
            </w:pPr>
            <w:r>
              <w:rPr>
                <w:rFonts w:ascii="Arial" w:cs="Arial" w:eastAsia="Arial" w:hAnsi="Arial"/>
                <w:sz w:val="12"/>
                <w:szCs w:val="12"/>
                <w:color w:val="auto"/>
              </w:rPr>
              <w:t>Name:</w:t>
            </w:r>
          </w:p>
        </w:tc>
        <w:tc>
          <w:tcPr>
            <w:tcW w:w="6280" w:type="dxa"/>
            <w:vAlign w:val="bottom"/>
            <w:gridSpan w:val="2"/>
          </w:tcPr>
          <w:p>
            <w:pPr>
              <w:spacing w:after="0"/>
              <w:rPr>
                <w:sz w:val="20"/>
                <w:szCs w:val="20"/>
                <w:color w:val="auto"/>
              </w:rPr>
            </w:pPr>
            <w:r>
              <w:rPr>
                <w:rFonts w:ascii="Arial" w:cs="Arial" w:eastAsia="Arial" w:hAnsi="Arial"/>
                <w:sz w:val="12"/>
                <w:szCs w:val="12"/>
                <w:color w:val="auto"/>
              </w:rPr>
              <w:t>Bernice E. Bell</w:t>
            </w:r>
          </w:p>
        </w:tc>
      </w:tr>
      <w:tr>
        <w:trPr>
          <w:trHeight w:val="126"/>
        </w:trPr>
        <w:tc>
          <w:tcPr>
            <w:tcW w:w="720" w:type="dxa"/>
            <w:vAlign w:val="bottom"/>
          </w:tcPr>
          <w:p>
            <w:pPr>
              <w:spacing w:after="0" w:line="126" w:lineRule="exact"/>
              <w:rPr>
                <w:sz w:val="20"/>
                <w:szCs w:val="20"/>
                <w:color w:val="auto"/>
              </w:rPr>
            </w:pPr>
            <w:r>
              <w:rPr>
                <w:rFonts w:ascii="Arial" w:cs="Arial" w:eastAsia="Arial" w:hAnsi="Arial"/>
                <w:sz w:val="12"/>
                <w:szCs w:val="12"/>
                <w:color w:val="auto"/>
              </w:rPr>
              <w:t>Title:</w:t>
            </w:r>
          </w:p>
        </w:tc>
        <w:tc>
          <w:tcPr>
            <w:tcW w:w="6280" w:type="dxa"/>
            <w:vAlign w:val="bottom"/>
            <w:gridSpan w:val="2"/>
          </w:tcPr>
          <w:p>
            <w:pPr>
              <w:spacing w:after="0" w:line="126" w:lineRule="exact"/>
              <w:rPr>
                <w:sz w:val="20"/>
                <w:szCs w:val="20"/>
                <w:color w:val="auto"/>
              </w:rPr>
            </w:pPr>
            <w:r>
              <w:rPr>
                <w:rFonts w:ascii="Arial" w:cs="Arial" w:eastAsia="Arial" w:hAnsi="Arial"/>
                <w:sz w:val="12"/>
                <w:szCs w:val="12"/>
                <w:color w:val="auto"/>
              </w:rPr>
              <w:t>Executive Vice President and</w:t>
            </w:r>
          </w:p>
        </w:tc>
      </w:tr>
      <w:tr>
        <w:trPr>
          <w:trHeight w:val="153"/>
        </w:trPr>
        <w:tc>
          <w:tcPr>
            <w:tcW w:w="720" w:type="dxa"/>
            <w:vAlign w:val="bottom"/>
          </w:tcPr>
          <w:p>
            <w:pPr>
              <w:spacing w:after="0"/>
              <w:rPr>
                <w:sz w:val="13"/>
                <w:szCs w:val="13"/>
                <w:color w:val="auto"/>
              </w:rPr>
            </w:pPr>
          </w:p>
        </w:tc>
        <w:tc>
          <w:tcPr>
            <w:tcW w:w="6280" w:type="dxa"/>
            <w:vAlign w:val="bottom"/>
            <w:gridSpan w:val="2"/>
          </w:tcPr>
          <w:p>
            <w:pPr>
              <w:spacing w:after="0"/>
              <w:rPr>
                <w:sz w:val="20"/>
                <w:szCs w:val="20"/>
                <w:color w:val="auto"/>
              </w:rPr>
            </w:pPr>
            <w:r>
              <w:rPr>
                <w:rFonts w:ascii="Arial" w:cs="Arial" w:eastAsia="Arial" w:hAnsi="Arial"/>
                <w:sz w:val="12"/>
                <w:szCs w:val="12"/>
                <w:color w:val="auto"/>
              </w:rPr>
              <w:t>Chief Financial Officer (Principal Financial Officer)</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6280" w:type="dxa"/>
            <w:vAlign w:val="bottom"/>
            <w:gridSpan w:val="2"/>
          </w:tcPr>
          <w:p>
            <w:pPr>
              <w:spacing w:after="0"/>
              <w:rPr>
                <w:sz w:val="20"/>
                <w:szCs w:val="20"/>
                <w:color w:val="auto"/>
              </w:rPr>
            </w:pPr>
            <w:r>
              <w:rPr>
                <w:rFonts w:ascii="Arial" w:cs="Arial" w:eastAsia="Arial" w:hAnsi="Arial"/>
                <w:sz w:val="12"/>
                <w:szCs w:val="12"/>
                <w:color w:val="auto"/>
              </w:rPr>
              <w:t>November 7, 2022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64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lvl w:ilvl="1">
      <w:lvlJc w:val="left"/>
      <w:lvlText w:val="(%2)"/>
      <w:numFmt w:val="lowerLetter"/>
      <w:start w:val="2"/>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65" Type="http://schemas.openxmlformats.org/officeDocument/2006/relationships/hyperlink" Target="http://www.sec.gov/Archives/edgar/data/1423689/000142368922000014/agncexhibit3112312110-k.htm" TargetMode="External"/><Relationship Id="rId66" Type="http://schemas.openxmlformats.org/officeDocument/2006/relationships/hyperlink" Target="http://www.sec.gov/Archives/edgar/data/1423689/000142368921000017/arbylaws-march2021vrevised.htm" TargetMode="External"/><Relationship Id="rId67" Type="http://schemas.openxmlformats.org/officeDocument/2006/relationships/hyperlink" Target="http://www.sec.gov/Archives/edgar/data/1423689/000142368917000044/ex35certificateofdesignati.htm" TargetMode="External"/><Relationship Id="rId68" Type="http://schemas.openxmlformats.org/officeDocument/2006/relationships/hyperlink" Target="http://www.sec.gov/Archives/edgar/data/1423689/000142368917000065/certificateofelimination.htm" TargetMode="External"/><Relationship Id="rId69" Type="http://schemas.openxmlformats.org/officeDocument/2006/relationships/hyperlink" Target="http://www.sec.gov/Archives/edgar/data/1423689/000142368919000019/certificateofdesignations.htm" TargetMode="External"/><Relationship Id="rId70" Type="http://schemas.openxmlformats.org/officeDocument/2006/relationships/hyperlink" Target="http://www.sec.gov/Archives/edgar/data/1423689/000142368919000064/certofdesignations.htm" TargetMode="External"/><Relationship Id="rId71" Type="http://schemas.openxmlformats.org/officeDocument/2006/relationships/hyperlink" Target="http://www.sec.gov/Archives/edgar/data/1423689/000142368919000078/certificateofeliminati.htm" TargetMode="External"/><Relationship Id="rId72" Type="http://schemas.openxmlformats.org/officeDocument/2006/relationships/hyperlink" Target="http://www.sec.gov/Archives/edgar/data/1423689/000142368920000012/certificateofdesignations-.htm" TargetMode="External"/><Relationship Id="rId73" Type="http://schemas.openxmlformats.org/officeDocument/2006/relationships/hyperlink" Target="http://www.sec.gov/Archives/edgar/data/1423689/000142368922000061/seriesgcertificateofdesign.htm" TargetMode="External"/><Relationship Id="rId75" Type="http://schemas.openxmlformats.org/officeDocument/2006/relationships/hyperlink" Target="http://www.sec.gov/Archives/edgar/data/1423689/000142368917000044/exhibit41.htm" TargetMode="External"/><Relationship Id="rId76" Type="http://schemas.openxmlformats.org/officeDocument/2006/relationships/hyperlink" Target="http://www.sec.gov/Archives/edgar/data/1423689/000142368919000019/stockcertificateb98.htm" TargetMode="External"/><Relationship Id="rId77" Type="http://schemas.openxmlformats.org/officeDocument/2006/relationships/hyperlink" Target="http://www.sec.gov/Archives/edgar/data/1423689/000142368919000064/stockcertificate.htm" TargetMode="External"/><Relationship Id="rId78" Type="http://schemas.openxmlformats.org/officeDocument/2006/relationships/hyperlink" Target="http://www.sec.gov/Archives/edgar/data/1423689/000142368920000012/stockcertificate.htm" TargetMode="External"/><Relationship Id="rId79" Type="http://schemas.openxmlformats.org/officeDocument/2006/relationships/hyperlink" Target="http://www.sec.gov/Archives/edgar/data/1423689/000142368922000061/stockcertificate1.htm" TargetMode="External"/><Relationship Id="rId80" Type="http://schemas.openxmlformats.org/officeDocument/2006/relationships/hyperlink" Target="http://www.sec.gov/Archives/edgar/data/1423689/000142368917000049/depositagreement.htm" TargetMode="External"/><Relationship Id="rId81" Type="http://schemas.openxmlformats.org/officeDocument/2006/relationships/hyperlink" Target="http://www.sec.gov/Archives/edgar/data/1423689/000142368919000021/prefddepositagmt.htm" TargetMode="External"/><Relationship Id="rId82" Type="http://schemas.openxmlformats.org/officeDocument/2006/relationships/hyperlink" Target="http://www.sec.gov/Archives/edgar/data/1423689/000142368919000068/depositagmt-prefe.htm" TargetMode="External"/><Relationship Id="rId83" Type="http://schemas.openxmlformats.org/officeDocument/2006/relationships/hyperlink" Target="http://www.sec.gov/Archives/edgar/data/1423689/000142368920000014/depositaryagmt-seriesf.htm" TargetMode="External"/><Relationship Id="rId84" Type="http://schemas.openxmlformats.org/officeDocument/2006/relationships/hyperlink" Target="http://www.sec.gov/Archives/edgar/data/1423689/000142368922000069/depositary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2022-11-07T15:29:38Z</dcterms:created>
  <dcterms:modified xsi:type="dcterms:W3CDTF">2022-11-07T15:29:38Z</dcterms:modified>
</cp:coreProperties>
</file>