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9057" w:type="dxa"/>
        <w:jc w:val="left"/>
        <w:tblInd w:w="0" w:type="dxa"/>
        <w:tblLayout w:type="fixed"/>
        <w:tblCellMar>
          <w:top w:w="28" w:type="dxa"/>
          <w:left w:w="28" w:type="dxa"/>
          <w:bottom w:w="28" w:type="dxa"/>
          <w:right w:w="28" w:type="dxa"/>
        </w:tblCellMar>
      </w:tblPr>
      <w:tblGrid>
        <w:gridCol w:w="124"/>
        <w:gridCol w:w="109"/>
        <w:gridCol w:w="109"/>
        <w:gridCol w:w="2547"/>
        <w:gridCol w:w="2547"/>
        <w:gridCol w:w="3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Commission file number 001-34057 </w:t>
      </w:r>
    </w:p>
    <w:p>
      <w:pPr>
        <w:pStyle w:val="TextBody"/>
        <w:bidi w:val="0"/>
        <w:spacing w:before="180" w:after="283"/>
        <w:ind w:left="0" w:right="0" w:firstLine="720"/>
        <w:jc w:val="center"/>
        <w:rPr/>
      </w:pPr>
      <w:r>
        <w:rPr/>
        <w:drawing>
          <wp:inline distT="0" distB="0" distL="0" distR="0">
            <wp:extent cx="21145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3817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0"/>
        </w:rPr>
        <w:t>AGNC INVESTMENT CORP.</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26-1701984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7373 Wisconsin Avenue, 22nd Floor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Bethesda, Maryland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(301) 968-9315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05"/>
        <w:gridCol w:w="1764"/>
        <w:gridCol w:w="1775"/>
        <w:gridCol w:w="109"/>
        <w:gridCol w:w="109"/>
        <w:gridCol w:w="109"/>
        <w:gridCol w:w="426"/>
        <w:gridCol w:w="422"/>
        <w:gridCol w:w="424"/>
        <w:gridCol w:w="109"/>
        <w:gridCol w:w="109"/>
        <w:gridCol w:w="109"/>
        <w:gridCol w:w="740"/>
        <w:gridCol w:w="740"/>
        <w:gridCol w:w="1055"/>
      </w:tblGrid>
      <w:tr>
        <w:trPr/>
        <w:tc>
          <w:tcPr>
            <w:tcW w:w="22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5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ind w:left="0" w:right="0" w:firstLine="3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5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94"/>
        <w:gridCol w:w="694"/>
        <w:gridCol w:w="698"/>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number of shares of the issuer's common stock, $0.01 par value, outstanding as of July 31, 2025 was 1,041,732,565.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7690" w:type="dxa"/>
        <w:jc w:val="left"/>
        <w:tblInd w:w="0" w:type="dxa"/>
        <w:tblLayout w:type="fixed"/>
        <w:tblCellMar>
          <w:top w:w="28" w:type="dxa"/>
          <w:left w:w="28" w:type="dxa"/>
          <w:bottom w:w="28" w:type="dxa"/>
          <w:right w:w="28" w:type="dxa"/>
        </w:tblCellMar>
      </w:tblPr>
      <w:tblGrid>
        <w:gridCol w:w="309"/>
        <w:gridCol w:w="272"/>
        <w:gridCol w:w="273"/>
        <w:gridCol w:w="2153"/>
        <w:gridCol w:w="2153"/>
        <w:gridCol w:w="2158"/>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4">
              <w:r>
                <w:rPr>
                  <w:rStyle w:val="InternetLink"/>
                  <w:rFonts w:ascii="Times New Roman;serif" w:hAnsi="Times New Roman;serif"/>
                  <w:b/>
                  <w:color w:val="0000FF"/>
                  <w:sz w:val="18"/>
                  <w:u w:val="single"/>
                </w:rPr>
                <w:t>PART 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0">
              <w:r>
                <w:rPr>
                  <w:rStyle w:val="InternetLink"/>
                  <w:rFonts w:ascii="Times New Roman;serif" w:hAnsi="Times New Roman;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
              <w:r>
                <w:rPr>
                  <w:rStyle w:val="InternetLink"/>
                  <w:rFonts w:ascii="Times New Roman;serif" w:hAnsi="Times New Roman;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
              <w:r>
                <w:rPr>
                  <w:rStyle w:val="InternetLink"/>
                  <w:rFonts w:ascii="Times New Roman;serif" w:hAnsi="Times New Roman;serif"/>
                  <w:b w:val="false"/>
                  <w:color w:val="0000FF"/>
                  <w:sz w:val="18"/>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3">
              <w:r>
                <w:rPr>
                  <w:rStyle w:val="InternetLink"/>
                  <w:rFonts w:ascii="Times New Roman;serif" w:hAnsi="Times New Roman;serif"/>
                  <w:b w:val="false"/>
                  <w:color w:val="0000FF"/>
                  <w:sz w:val="18"/>
                  <w:u w:val="single"/>
                </w:rPr>
                <w:t>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73">
              <w:r>
                <w:rPr>
                  <w:rStyle w:val="InternetLink"/>
                  <w:rFonts w:ascii="Times New Roman;serif" w:hAnsi="Times New Roman;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73">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73">
              <w:r>
                <w:rPr>
                  <w:rStyle w:val="InternetLink"/>
                  <w:rFonts w:ascii="Times New Roman;serif" w:hAnsi="Times New Roman;serif"/>
                  <w:b w:val="false"/>
                  <w:color w:val="0000FF"/>
                  <w:sz w:val="18"/>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18">
              <w:r>
                <w:rPr>
                  <w:rStyle w:val="InternetLink"/>
                  <w:rFonts w:ascii="Times New Roman;serif" w:hAnsi="Times New Roman;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18">
              <w:r>
                <w:rPr>
                  <w:rStyle w:val="InternetLink"/>
                  <w:rFonts w:ascii="Times New Roman;serif" w:hAnsi="Times New Roman;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18">
              <w:r>
                <w:rPr>
                  <w:rStyle w:val="InternetLink"/>
                  <w:rFonts w:ascii="Times New Roman;serif" w:hAnsi="Times New Roman;serif"/>
                  <w:b w:val="false"/>
                  <w:color w:val="0000FF"/>
                  <w:sz w:val="18"/>
                  <w:u w:val="single"/>
                </w:rPr>
                <w:t>43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1">
              <w:r>
                <w:rPr>
                  <w:rStyle w:val="InternetLink"/>
                  <w:rFonts w:ascii="Times New Roman;serif" w:hAnsi="Times New Roman;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1">
              <w:r>
                <w:rPr>
                  <w:rStyle w:val="InternetLink"/>
                  <w:rFonts w:ascii="Times New Roman;serif" w:hAnsi="Times New Roman;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21">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4">
              <w:r>
                <w:rPr>
                  <w:rStyle w:val="InternetLink"/>
                  <w:rFonts w:ascii="Times New Roman;serif" w:hAnsi="Times New Roman;serif"/>
                  <w:b/>
                  <w:color w:val="0000FF"/>
                  <w:sz w:val="18"/>
                  <w:u w:val="single"/>
                </w:rPr>
                <w:t>PART II.</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4">
              <w:r>
                <w:rPr>
                  <w:rStyle w:val="InternetLink"/>
                  <w:rFonts w:ascii="Times New Roman;serif" w:hAnsi="Times New Roman;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7">
              <w:r>
                <w:rPr>
                  <w:rStyle w:val="InternetLink"/>
                  <w:rFonts w:ascii="Times New Roman;serif" w:hAnsi="Times New Roman;serif"/>
                  <w:b w:val="false"/>
                  <w:color w:val="0000FF"/>
                  <w:sz w:val="18"/>
                  <w:u w:val="single"/>
                </w:rPr>
                <w:t>Item 1.</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27">
              <w:r>
                <w:rPr>
                  <w:rStyle w:val="InternetLink"/>
                  <w:rFonts w:ascii="Times New Roman;serif" w:hAnsi="Times New Roman;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27">
              <w:r>
                <w:rPr>
                  <w:rStyle w:val="InternetLink"/>
                  <w:rFonts w:ascii="Times New Roman;serif" w:hAnsi="Times New Roman;serif"/>
                  <w:b w:val="false"/>
                  <w:color w:val="0000FF"/>
                  <w:sz w:val="20"/>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0">
              <w:r>
                <w:rPr>
                  <w:rStyle w:val="InternetLink"/>
                  <w:rFonts w:ascii="Times New Roman;serif" w:hAnsi="Times New Roman;serif"/>
                  <w:b w:val="false"/>
                  <w:color w:val="0000FF"/>
                  <w:sz w:val="18"/>
                  <w:u w:val="single"/>
                </w:rPr>
                <w:t>Item 1A.</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0">
              <w:r>
                <w:rPr>
                  <w:rStyle w:val="InternetLink"/>
                  <w:rFonts w:ascii="Times New Roman;serif" w:hAnsi="Times New Roman;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30">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3">
              <w:r>
                <w:rPr>
                  <w:rStyle w:val="InternetLink"/>
                  <w:rFonts w:ascii="Times New Roman;serif" w:hAnsi="Times New Roman;serif"/>
                  <w:b w:val="false"/>
                  <w:color w:val="0000FF"/>
                  <w:sz w:val="18"/>
                  <w:u w:val="single"/>
                </w:rPr>
                <w:t>Item 2.</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3">
              <w:r>
                <w:rPr>
                  <w:rStyle w:val="InternetLink"/>
                  <w:rFonts w:ascii="Times New Roman;serif" w:hAnsi="Times New Roman;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33">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6">
              <w:r>
                <w:rPr>
                  <w:rStyle w:val="InternetLink"/>
                  <w:rFonts w:ascii="Times New Roman;serif" w:hAnsi="Times New Roman;serif"/>
                  <w:b w:val="false"/>
                  <w:color w:val="0000FF"/>
                  <w:sz w:val="18"/>
                  <w:u w:val="single"/>
                </w:rPr>
                <w:t>Item 3.</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6">
              <w:r>
                <w:rPr>
                  <w:rStyle w:val="InternetLink"/>
                  <w:rFonts w:ascii="Times New Roman;serif" w:hAnsi="Times New Roman;serif"/>
                  <w:b w:val="false"/>
                  <w:color w:val="0000FF"/>
                  <w:sz w:val="18"/>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36">
              <w:r>
                <w:rPr>
                  <w:rStyle w:val="InternetLink"/>
                  <w:rFonts w:ascii="Times New Roman;serif" w:hAnsi="Times New Roman;serif"/>
                  <w:b w:val="false"/>
                  <w:color w:val="0000FF"/>
                  <w:sz w:val="20"/>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9">
              <w:r>
                <w:rPr>
                  <w:rStyle w:val="InternetLink"/>
                  <w:rFonts w:ascii="Times New Roman;serif" w:hAnsi="Times New Roman;serif"/>
                  <w:b w:val="false"/>
                  <w:color w:val="0000FF"/>
                  <w:sz w:val="18"/>
                  <w:u w:val="single"/>
                </w:rPr>
                <w:t>Item 4.</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39">
              <w:r>
                <w:rPr>
                  <w:rStyle w:val="InternetLink"/>
                  <w:rFonts w:ascii="Times New Roman;serif" w:hAnsi="Times New Roman;serif"/>
                  <w:b w:val="false"/>
                  <w:color w:val="0000FF"/>
                  <w:sz w:val="18"/>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39">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42">
              <w:r>
                <w:rPr>
                  <w:rStyle w:val="InternetLink"/>
                  <w:rFonts w:ascii="Times New Roman;serif" w:hAnsi="Times New Roman;serif"/>
                  <w:b w:val="false"/>
                  <w:color w:val="0000FF"/>
                  <w:sz w:val="18"/>
                  <w:u w:val="single"/>
                </w:rPr>
                <w:t>Item 5.</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42">
              <w:r>
                <w:rPr>
                  <w:rStyle w:val="InternetLink"/>
                  <w:rFonts w:ascii="Times New Roman;serif" w:hAnsi="Times New Roman;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42">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45">
              <w:r>
                <w:rPr>
                  <w:rStyle w:val="InternetLink"/>
                  <w:rFonts w:ascii="Times New Roman;serif" w:hAnsi="Times New Roman;serif"/>
                  <w:b w:val="false"/>
                  <w:color w:val="0000FF"/>
                  <w:sz w:val="18"/>
                  <w:u w:val="single"/>
                </w:rPr>
                <w:t>Item 6.</w:t>
              </w:r>
            </w:hyperlink>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45">
              <w:r>
                <w:rPr>
                  <w:rStyle w:val="InternetLink"/>
                  <w:rFonts w:ascii="Times New Roman;serif" w:hAnsi="Times New Roman;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45">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52d32eeb08b4084940effbdb95fb920_148">
              <w:r>
                <w:rPr>
                  <w:rStyle w:val="InternetLink"/>
                  <w:rFonts w:ascii="Times New Roman;serif" w:hAnsi="Times New Roman;serif"/>
                  <w:b w:val="false"/>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2d32eeb08b4084940effbdb95fb920_148">
              <w:r>
                <w:rPr>
                  <w:rStyle w:val="InternetLink"/>
                  <w:rFonts w:ascii="Times New Roman;serif" w:hAnsi="Times New Roman;serif"/>
                  <w:b w:val="false"/>
                  <w:color w:val="0000FF"/>
                  <w:sz w:val="18"/>
                  <w:u w:val="single"/>
                </w:rPr>
                <w:t>51</w:t>
              </w:r>
            </w:hyperlink>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728"/>
        <w:gridCol w:w="2313"/>
        <w:gridCol w:w="2339"/>
        <w:gridCol w:w="207"/>
        <w:gridCol w:w="779"/>
        <w:gridCol w:w="114"/>
        <w:gridCol w:w="109"/>
        <w:gridCol w:w="109"/>
        <w:gridCol w:w="109"/>
        <w:gridCol w:w="274"/>
        <w:gridCol w:w="904"/>
        <w:gridCol w:w="220"/>
      </w:tblGrid>
      <w:tr>
        <w:trPr/>
        <w:tc>
          <w:tcPr>
            <w:tcW w:w="2728"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725" w:type="dxa"/>
            <w:gridSpan w:val="6"/>
            <w:tcBorders/>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Agency securities, at fair value (including pledged securities of $67,375 and $59,952, respectively)</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securities transferred to consolidated variable interest entities, at fair value (pledged securities)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Credit risk transfer securities, at fair value (including pledged securities of $558 and $590, respectively)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Non-Agency securities, at fair value, and other mortgage credit investments (including pledged securities of $30 and $206, respectively)</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 (including pledged securities of $3,554 and $1,565, respectively)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 for investment securities sold (including pledged securities of $0 and $0, respectively)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under reverse repurchase agreements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102,021 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of consolidated variable interest entities, at fair value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 securities purchased</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 aggregate liquidation preference of $1,688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1,500 shares authorized; 1,041.7 and 897.4 shares issued and outstanding, respectively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102,021 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05"/>
        <w:gridCol w:w="1530"/>
        <w:gridCol w:w="1537"/>
        <w:gridCol w:w="240"/>
        <w:gridCol w:w="591"/>
        <w:gridCol w:w="115"/>
        <w:gridCol w:w="115"/>
        <w:gridCol w:w="115"/>
        <w:gridCol w:w="115"/>
        <w:gridCol w:w="224"/>
        <w:gridCol w:w="591"/>
        <w:gridCol w:w="115"/>
        <w:gridCol w:w="109"/>
        <w:gridCol w:w="109"/>
        <w:gridCol w:w="109"/>
        <w:gridCol w:w="212"/>
        <w:gridCol w:w="620"/>
        <w:gridCol w:w="109"/>
        <w:gridCol w:w="109"/>
        <w:gridCol w:w="109"/>
        <w:gridCol w:w="109"/>
        <w:gridCol w:w="212"/>
        <w:gridCol w:w="620"/>
        <w:gridCol w:w="109"/>
        <w:gridCol w:w="109"/>
        <w:gridCol w:w="167"/>
      </w:tblGrid>
      <w:tr>
        <w:trPr/>
        <w:tc>
          <w:tcPr>
            <w:tcW w:w="210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6" w:type="dxa"/>
            <w:gridSpan w:val="2"/>
            <w:tcBorders/>
          </w:tcPr>
          <w:p>
            <w:pPr>
              <w:pStyle w:val="TableContents"/>
              <w:bidi w:val="0"/>
              <w:spacing w:before="0" w:after="283"/>
              <w:jc w:val="left"/>
              <w:rPr>
                <w:sz w:val="4"/>
                <w:szCs w:val="4"/>
              </w:rPr>
            </w:pPr>
            <w:r>
              <w:rPr>
                <w:sz w:val="4"/>
                <w:szCs w:val="4"/>
              </w:rPr>
            </w:r>
          </w:p>
        </w:tc>
      </w:tr>
      <w:tr>
        <w:trPr/>
        <w:tc>
          <w:tcPr>
            <w:tcW w:w="5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(expense)</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gain (loss), net:</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 net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securities measured at fair value through net income, net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and other investments, net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gain (loss), net: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available (attributable) to common stockholders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securities measured at fair value through other comprehensive income (loss), net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available (attributable) to common stockholders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basic</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diluted</w:t>
            </w:r>
          </w:p>
        </w:tc>
        <w:tc>
          <w:tcPr>
            <w:tcW w:w="8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 - basic</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 -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common share</w:t>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04"/>
        <w:gridCol w:w="504"/>
        <w:gridCol w:w="384"/>
        <w:gridCol w:w="210"/>
        <w:gridCol w:w="596"/>
        <w:gridCol w:w="116"/>
        <w:gridCol w:w="109"/>
        <w:gridCol w:w="109"/>
        <w:gridCol w:w="109"/>
        <w:gridCol w:w="345"/>
        <w:gridCol w:w="346"/>
        <w:gridCol w:w="196"/>
        <w:gridCol w:w="109"/>
        <w:gridCol w:w="109"/>
        <w:gridCol w:w="109"/>
        <w:gridCol w:w="212"/>
        <w:gridCol w:w="359"/>
        <w:gridCol w:w="120"/>
        <w:gridCol w:w="109"/>
        <w:gridCol w:w="109"/>
        <w:gridCol w:w="109"/>
        <w:gridCol w:w="196"/>
        <w:gridCol w:w="646"/>
        <w:gridCol w:w="109"/>
        <w:gridCol w:w="109"/>
        <w:gridCol w:w="109"/>
        <w:gridCol w:w="109"/>
        <w:gridCol w:w="196"/>
        <w:gridCol w:w="580"/>
        <w:gridCol w:w="109"/>
        <w:gridCol w:w="109"/>
        <w:gridCol w:w="109"/>
        <w:gridCol w:w="109"/>
        <w:gridCol w:w="321"/>
        <w:gridCol w:w="715"/>
        <w:gridCol w:w="180"/>
        <w:gridCol w:w="109"/>
        <w:gridCol w:w="109"/>
        <w:gridCol w:w="109"/>
        <w:gridCol w:w="196"/>
        <w:gridCol w:w="646"/>
        <w:gridCol w:w="157"/>
      </w:tblGrid>
      <w:tr>
        <w:trPr/>
        <w:tc>
          <w:tcPr>
            <w:tcW w:w="8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loss on available-for-sale securities, net </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gain on available-for-sale securities, net </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millions)</w:t>
      </w:r>
      <w:r>
        <w:rPr>
          <w:color w:val="000000"/>
        </w:rPr>
        <w:t> </w:t>
      </w:r>
    </w:p>
    <w:tbl>
      <w:tblPr>
        <w:tblW w:w="9733" w:type="dxa"/>
        <w:jc w:val="center"/>
        <w:tblInd w:w="0" w:type="dxa"/>
        <w:tblLayout w:type="fixed"/>
        <w:tblCellMar>
          <w:top w:w="28" w:type="dxa"/>
          <w:left w:w="28" w:type="dxa"/>
          <w:bottom w:w="28" w:type="dxa"/>
          <w:right w:w="28" w:type="dxa"/>
        </w:tblCellMar>
      </w:tblPr>
      <w:tblGrid>
        <w:gridCol w:w="2545"/>
        <w:gridCol w:w="2240"/>
        <w:gridCol w:w="2250"/>
        <w:gridCol w:w="245"/>
        <w:gridCol w:w="700"/>
        <w:gridCol w:w="109"/>
        <w:gridCol w:w="109"/>
        <w:gridCol w:w="109"/>
        <w:gridCol w:w="109"/>
        <w:gridCol w:w="245"/>
        <w:gridCol w:w="700"/>
        <w:gridCol w:w="109"/>
        <w:gridCol w:w="109"/>
        <w:gridCol w:w="154"/>
      </w:tblGrid>
      <w:tr>
        <w:trPr/>
        <w:tc>
          <w:tcPr>
            <w:tcW w:w="254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mortgage-backed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securities measured at fair value through net income,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and other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credit risk transfer and non-Agency securities and other mortgage credit investments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U.S. Treasury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Treasury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on reverse repurchase agreements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(payments on) derivative instruments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repurchase arrangements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repurchase agreements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 of consolidated variable interest entities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common stock issuances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2024.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CRT securities are risk sharing instruments issued by the GSEs, and similarly structured transactions issued by third-party market participants, that synthetically transfer a portion of the risk associated with credit losses within pools of conventional residential and multi-family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pool of loans exceed certain thresholds. By reducing the principal amount that they are obligated to repay to holders of CRT securities, the GSEs and/or other third parties offset credit losses on the related loans.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All of our securities are reported at fair value on our consolidated balance sheet. Accounting Standards Codification ("ASC") Topic 320, </w:t>
      </w:r>
      <w:r>
        <w:rPr>
          <w:rFonts w:ascii="Times New Roman;serif" w:hAnsi="Times New Roman;serif"/>
          <w:b w:val="false"/>
          <w:i/>
          <w:color w:val="000000"/>
          <w:sz w:val="20"/>
        </w:rPr>
        <w:t>Investments—Debt and Equity Securities</w:t>
      </w:r>
      <w:r>
        <w:rPr>
          <w:rFonts w:ascii="Times New Roman;serif" w:hAnsi="Times New Roman;serif"/>
          <w:b w:val="false"/>
          <w:color w:val="000000"/>
          <w:sz w:val="20"/>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June 30, 2025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serif" w:hAnsi="Times New Roman;serif"/>
          <w:b w:val="false"/>
          <w:i/>
          <w:color w:val="000000"/>
          <w:sz w:val="20"/>
        </w:rPr>
        <w:t>Receivables—Nonrefundable Fees and Other Costs</w:t>
      </w:r>
      <w:r>
        <w:rPr>
          <w:rFonts w:ascii="Times New Roman;serif" w:hAnsi="Times New Roman;serif"/>
          <w:b w:val="false"/>
          <w:color w:val="000000"/>
          <w:sz w:val="20"/>
        </w:rPr>
        <w: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Any resulting changes in effective yield are recognized prospectively based on the current amortized cost of the investment adjusted for credit impairments, if any.</w:t>
      </w:r>
    </w:p>
    <w:p>
      <w:pPr>
        <w:pStyle w:val="TextBody"/>
        <w:bidi w:val="0"/>
        <w:spacing w:lineRule="auto" w:line="288" w:before="180" w:after="283"/>
        <w:jc w:val="both"/>
        <w:rPr/>
      </w:pPr>
      <w:r>
        <w:rPr>
          <w:rFonts w:ascii="Times New Roman;serif" w:hAnsi="Times New Roman;serif"/>
          <w:b/>
          <w:i/>
          <w:color w:val="000000"/>
          <w:sz w:val="20"/>
        </w:rPr>
        <w:t>Repurchase Agreements</w:t>
      </w:r>
      <w:r>
        <w:rPr>
          <w:color w:val="000000"/>
        </w:rPr>
        <w:t>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 we account for repurchase agreements as collateralized financing transactions, which are carried at their contractual amounts (cost), plus accrued interest. Our repurchase agreements typically have maturities of less than one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 and Obligation to Return Securities Borrowed under Reverse Repurchase Agreements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borrow securities to cover short sales of U.S. Treasury securities through reverse repurchase transactions (see </w:t>
      </w: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account for derivative instruments in accordance with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TBA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U.S. Treasury securities and US Treasury futures contracts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pStyle w:val="TextBody"/>
        <w:bidi w:val="0"/>
        <w:spacing w:lineRule="auto" w:line="288" w:before="180" w:after="283"/>
        <w:jc w:val="both"/>
        <w:rPr/>
      </w:pPr>
      <w:r>
        <w:rPr>
          <w:rFonts w:ascii="Times New Roman;serif" w:hAnsi="Times New Roman;serif"/>
          <w:b/>
          <w:i/>
          <w:color w:val="000000"/>
          <w:sz w:val="20"/>
        </w:rPr>
        <w:t>Fair Value Measurements</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three levels of valuation hierarchy are defined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Inputs —Quoted prices (unadjusted) for identical unrestricted assets and liabilities in active markets that are accessible at the measurement date.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Inputs —Instruments with primarily unobservable market data that cannot be corroborated.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 xml:space="preserve">- are valued based on prices obtained from multiple third-party pricing sources. The pricing sources utilize various valuation 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TBA securities</w:t>
      </w:r>
      <w:r>
        <w:rPr>
          <w:color w:val="000000"/>
        </w:rPr>
        <w:t xml:space="preserve"> </w:t>
      </w:r>
      <w:r>
        <w:rPr>
          <w:rFonts w:ascii="Times New Roman;serif" w:hAnsi="Times New Roman;serif"/>
          <w:b w:val="false"/>
          <w:color w:val="000000"/>
          <w:sz w:val="20"/>
        </w:rPr>
        <w:t>- are valued using prices obtained from third-party pricing sources based on pricing models that reference recent trading activity.</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swaps</w:t>
      </w:r>
      <w:r>
        <w:rPr>
          <w:color w:val="000000"/>
        </w:rPr>
        <w:t xml:space="preserve"> </w:t>
      </w:r>
      <w:r>
        <w:rPr>
          <w:rFonts w:ascii="Times New Roman;serif" w:hAnsi="Times New Roman;serif"/>
          <w:b w:val="false"/>
          <w:color w:val="000000"/>
          <w:sz w:val="20"/>
        </w:rPr>
        <w:t xml:space="preserve">- are valued using the daily settlement price, or fair value, determined by the clearing exchange based on a pricing model that references observable market inputs, including current benchmark rates and the forward yield curve.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swaptions</w:t>
      </w:r>
      <w:r>
        <w:rPr>
          <w:color w:val="000000"/>
        </w:rPr>
        <w:t xml:space="preserve"> </w:t>
      </w:r>
      <w:r>
        <w:rPr>
          <w:rFonts w:ascii="Times New Roman;serif" w:hAnsi="Times New Roman;serif"/>
          <w:b w:val="false"/>
          <w:color w:val="000000"/>
          <w:sz w:val="20"/>
        </w:rPr>
        <w:t xml:space="preserve">- are valued using prices obtained from the counterparty and other third-party pricing models. The pricing models are based on the value of the future interest rate swap that we have the option to enter into as well as the remaining length of time that we have to exercise the option based on observable market inputs, adjusted for non-performance risk, if any.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Treasury securities and futures are valued based on quoted prices for identical instruments in active markets and are classified as Level 1 assets. None of our financial instruments are classified as Level 3 inputs.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our investment portfolio consisted of $74.0 billion and $66.3 billion investment securities, at fair value, respectively, $8.3 billion and $6.9 billion net TBA securities, at fair value, respectively, and other mortgage credit investments of $66 million and $64 million, respectively, which we account for under the equity method of accounting. Our TBA position is reported at its net carrying value totaling $101 million and $(26) million as of June 30, 2025 and December 31, 2024,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our investment securities had a net unamortized premium balance of $0.9 billion and $1.0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investment securities as of June 30, 2025 and December 31, 2024, excluding TBA securities and other mortgage credit investments (dollars in millions). Details of our TBA securities are included in Note 5.</w:t>
      </w:r>
    </w:p>
    <w:tbl>
      <w:tblPr>
        <w:tblW w:w="7902" w:type="dxa"/>
        <w:jc w:val="center"/>
        <w:tblInd w:w="0" w:type="dxa"/>
        <w:tblLayout w:type="fixed"/>
        <w:tblCellMar>
          <w:top w:w="28" w:type="dxa"/>
          <w:left w:w="28" w:type="dxa"/>
          <w:bottom w:w="28" w:type="dxa"/>
          <w:right w:w="28" w:type="dxa"/>
        </w:tblCellMar>
      </w:tblPr>
      <w:tblGrid>
        <w:gridCol w:w="995"/>
        <w:gridCol w:w="872"/>
        <w:gridCol w:w="8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and 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71" w:type="dxa"/>
        <w:jc w:val="left"/>
        <w:tblInd w:w="0" w:type="dxa"/>
        <w:tblLayout w:type="fixed"/>
        <w:tblCellMar>
          <w:top w:w="28" w:type="dxa"/>
          <w:left w:w="28" w:type="dxa"/>
          <w:bottom w:w="28" w:type="dxa"/>
          <w:right w:w="28" w:type="dxa"/>
        </w:tblCellMar>
      </w:tblPr>
      <w:tblGrid>
        <w:gridCol w:w="572"/>
        <w:gridCol w:w="291"/>
        <w:gridCol w:w="293"/>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7"/>
            <w:tcBorders/>
            <w:tcMar>
              <w:top w:w="0" w:type="dxa"/>
              <w:left w:w="0" w:type="dxa"/>
              <w:bottom w:w="0" w:type="dxa"/>
              <w:right w:w="0" w:type="dxa"/>
            </w:tcMar>
            <w:vAlign w:val="center"/>
          </w:tcPr>
          <w:p>
            <w:pPr>
              <w:pStyle w:val="TableContents"/>
              <w:bidi w:val="0"/>
              <w:spacing w:lineRule="auto" w:line="240" w:before="180" w:after="180"/>
              <w:ind w:left="0" w:right="0" w:firstLine="495"/>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1.Non-Agency amounts exclude other mortgage credit investments of $66 million and $64 million as of June 30, 2025 and December 31,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2.Par value excludes interest-only securities. As of June 30, 2025 and December 31, 2024, Agency RMBS interest-only securities had a par value of $3,015 million and $307 million, respectively, and non-Agency interest-only securities had a par value of $17 million and $93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Agency RMBS portfolio by issuing GSE or U.S. Government agency at fair value as of June 30, 2025 and December 31, 2024 (in millions):</w:t>
      </w:r>
    </w:p>
    <w:tbl>
      <w:tblPr>
        <w:tblW w:w="4064" w:type="dxa"/>
        <w:jc w:val="center"/>
        <w:tblInd w:w="0" w:type="dxa"/>
        <w:tblLayout w:type="fixed"/>
        <w:tblCellMar>
          <w:top w:w="28" w:type="dxa"/>
          <w:left w:w="28" w:type="dxa"/>
          <w:bottom w:w="28" w:type="dxa"/>
          <w:right w:w="28" w:type="dxa"/>
        </w:tblCellMar>
      </w:tblPr>
      <w:tblGrid>
        <w:gridCol w:w="478"/>
        <w:gridCol w:w="419"/>
        <w:gridCol w:w="422"/>
        <w:gridCol w:w="109"/>
        <w:gridCol w:w="109"/>
        <w:gridCol w:w="109"/>
        <w:gridCol w:w="196"/>
        <w:gridCol w:w="646"/>
        <w:gridCol w:w="109"/>
        <w:gridCol w:w="109"/>
        <w:gridCol w:w="109"/>
        <w:gridCol w:w="109"/>
        <w:gridCol w:w="224"/>
        <w:gridCol w:w="740"/>
        <w:gridCol w:w="176"/>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67" w:type="dxa"/>
            <w:gridSpan w:val="6"/>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our investments in CRT and non-Agency securities had the following credit ratings (in millions):</w:t>
      </w:r>
    </w:p>
    <w:tbl>
      <w:tblPr>
        <w:tblW w:w="9828"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196"/>
        <w:gridCol w:w="421"/>
        <w:gridCol w:w="109"/>
        <w:gridCol w:w="109"/>
        <w:gridCol w:w="109"/>
        <w:gridCol w:w="109"/>
        <w:gridCol w:w="208"/>
        <w:gridCol w:w="351"/>
        <w:gridCol w:w="115"/>
        <w:gridCol w:w="109"/>
        <w:gridCol w:w="109"/>
        <w:gridCol w:w="109"/>
        <w:gridCol w:w="196"/>
        <w:gridCol w:w="406"/>
        <w:gridCol w:w="109"/>
        <w:gridCol w:w="109"/>
        <w:gridCol w:w="109"/>
        <w:gridCol w:w="109"/>
        <w:gridCol w:w="196"/>
        <w:gridCol w:w="421"/>
        <w:gridCol w:w="109"/>
        <w:gridCol w:w="109"/>
        <w:gridCol w:w="109"/>
        <w:gridCol w:w="109"/>
        <w:gridCol w:w="208"/>
        <w:gridCol w:w="351"/>
        <w:gridCol w:w="115"/>
        <w:gridCol w:w="109"/>
        <w:gridCol w:w="109"/>
        <w:gridCol w:w="109"/>
        <w:gridCol w:w="196"/>
        <w:gridCol w:w="421"/>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CRT and Non-Agency Security Credit Ratings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lowest of Standard and Poor's ("S&amp;P"), Moody's, Fitch, DBRS, Kroll Bond Rating Agency ("KBRA") and Morningstar credit ratings, stated in terms of the S&amp;P equivalent rating as of each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2.RMBS excludes other mortgage credit investments of $66 million and $64 million as of June 30, 2025 and December 31, 2024, respectively.</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CRT securities primarily reference the performance of single- and multi-family mortgage loans underlying Agency RMBS and CMBS issued by Fannie Mae or Freddie Mac, which are subject to the respective agency’s underwriting standards. The remainder of our CRT holdings reference single-family loans originated and issued by third-party market participants and may not be subject to the same standards.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2025 and December 31, 2024, the weighted average expected constant prepayment rate ("CPR") over the remaining life of our Agency and high credit quality non-Agency RMBS investment portfolio was 7.8% and 7.7%, respectively. Our estimates can differ materially for different securities and thus our individual holdings have a wide range of projected CPRs. The following table summarizes our investments as of June 30, 2025 and December 31, 2024 according to their estimated weighted average life classification (dollars in millions):</w:t>
      </w:r>
    </w:p>
    <w:tbl>
      <w:tblPr>
        <w:tblW w:w="1056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65"/>
        <w:gridCol w:w="265"/>
        <w:gridCol w:w="266"/>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46"/>
        <w:gridCol w:w="246"/>
        <w:gridCol w:w="3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Estimated Weighted Average Life of Investment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r>
      <w:tr>
        <w:trPr/>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3 years and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years and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$66 million and $64 million as of June 30, 2025 and December 31, 2024, respectively.</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gross unrealized loss and fair values of securities classified as available-for-sale by length of time that such securities have been in a continuous unrealized loss position as of June 30, 2025 and December 31, 2024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5"/>
        <w:gridCol w:w="982"/>
        <w:gridCol w:w="984"/>
        <w:gridCol w:w="109"/>
        <w:gridCol w:w="109"/>
        <w:gridCol w:w="109"/>
        <w:gridCol w:w="196"/>
        <w:gridCol w:w="406"/>
        <w:gridCol w:w="109"/>
        <w:gridCol w:w="109"/>
        <w:gridCol w:w="109"/>
        <w:gridCol w:w="109"/>
        <w:gridCol w:w="244"/>
        <w:gridCol w:w="505"/>
        <w:gridCol w:w="137"/>
        <w:gridCol w:w="109"/>
        <w:gridCol w:w="109"/>
        <w:gridCol w:w="109"/>
        <w:gridCol w:w="201"/>
        <w:gridCol w:w="572"/>
        <w:gridCol w:w="113"/>
        <w:gridCol w:w="109"/>
        <w:gridCol w:w="109"/>
        <w:gridCol w:w="109"/>
        <w:gridCol w:w="234"/>
        <w:gridCol w:w="521"/>
        <w:gridCol w:w="131"/>
        <w:gridCol w:w="109"/>
        <w:gridCol w:w="109"/>
        <w:gridCol w:w="109"/>
        <w:gridCol w:w="196"/>
        <w:gridCol w:w="556"/>
        <w:gridCol w:w="109"/>
        <w:gridCol w:w="109"/>
        <w:gridCol w:w="109"/>
        <w:gridCol w:w="109"/>
        <w:gridCol w:w="232"/>
        <w:gridCol w:w="516"/>
        <w:gridCol w:w="184"/>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 Position For</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Classified as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Gains and Losses on Sale of Investment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net gain (loss) from the sale of investment securities for the three and six months ended June 30, 2025 and 2024 by investment classification of accounting (in millions):</w:t>
      </w:r>
    </w:p>
    <w:p>
      <w:pPr>
        <w:pStyle w:val="TextBody"/>
        <w:bidi w:val="0"/>
        <w:spacing w:before="0" w:after="60"/>
        <w:jc w:val="both"/>
        <w:rPr/>
      </w:pPr>
      <w:r>
        <w:rPr/>
      </w:r>
    </w:p>
    <w:tbl>
      <w:tblPr>
        <w:tblW w:w="10205" w:type="dxa"/>
        <w:jc w:val="center"/>
        <w:tblInd w:w="0" w:type="dxa"/>
        <w:tblLayout w:type="fixed"/>
        <w:tblCellMar>
          <w:top w:w="28" w:type="dxa"/>
          <w:left w:w="28" w:type="dxa"/>
          <w:bottom w:w="28" w:type="dxa"/>
          <w:right w:w="28" w:type="dxa"/>
        </w:tblCellMar>
      </w:tblPr>
      <w:tblGrid>
        <w:gridCol w:w="488"/>
        <w:gridCol w:w="347"/>
        <w:gridCol w:w="350"/>
        <w:gridCol w:w="109"/>
        <w:gridCol w:w="109"/>
        <w:gridCol w:w="109"/>
        <w:gridCol w:w="321"/>
        <w:gridCol w:w="717"/>
        <w:gridCol w:w="180"/>
        <w:gridCol w:w="109"/>
        <w:gridCol w:w="109"/>
        <w:gridCol w:w="109"/>
        <w:gridCol w:w="214"/>
        <w:gridCol w:w="736"/>
        <w:gridCol w:w="119"/>
        <w:gridCol w:w="109"/>
        <w:gridCol w:w="109"/>
        <w:gridCol w:w="109"/>
        <w:gridCol w:w="196"/>
        <w:gridCol w:w="668"/>
        <w:gridCol w:w="109"/>
        <w:gridCol w:w="109"/>
        <w:gridCol w:w="109"/>
        <w:gridCol w:w="109"/>
        <w:gridCol w:w="335"/>
        <w:gridCol w:w="696"/>
        <w:gridCol w:w="187"/>
        <w:gridCol w:w="109"/>
        <w:gridCol w:w="109"/>
        <w:gridCol w:w="109"/>
        <w:gridCol w:w="218"/>
        <w:gridCol w:w="650"/>
        <w:gridCol w:w="121"/>
        <w:gridCol w:w="109"/>
        <w:gridCol w:w="109"/>
        <w:gridCol w:w="109"/>
        <w:gridCol w:w="196"/>
        <w:gridCol w:w="578"/>
        <w:gridCol w:w="109"/>
        <w:gridCol w:w="109"/>
        <w:gridCol w:w="109"/>
        <w:gridCol w:w="109"/>
        <w:gridCol w:w="109"/>
        <w:gridCol w:w="109"/>
        <w:gridCol w:w="163"/>
      </w:tblGrid>
      <w:tr>
        <w:trPr/>
        <w:tc>
          <w:tcPr>
            <w:tcW w:w="48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708"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Available-for-Sale</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708"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1.Proceeds include cash received during the period, plus receivable for investment securities sold during the period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Note 9 for a summary of changes in accumulated OCI.</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3.During the six months ended June 30, 2025 and 2024, we received principal repayments on available-for-sale securities of $273 million and $438 million,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Repurchase Agreements and Reverse Repurchase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Repurchase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2025, we had met all margin call requirements. For additional information regarding our pledged assets, please refer to Note 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we had $69.2 billion and $60.8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party repo agreement. The following table summarizes our borrowings under repurchase agreements by their remaining maturities as of June 30, 2025 and December 31, 2024 (dollars in millions):</w:t>
      </w:r>
    </w:p>
    <w:tbl>
      <w:tblPr>
        <w:tblW w:w="10205" w:type="dxa"/>
        <w:jc w:val="center"/>
        <w:tblInd w:w="0" w:type="dxa"/>
        <w:tblLayout w:type="fixed"/>
        <w:tblCellMar>
          <w:top w:w="28" w:type="dxa"/>
          <w:left w:w="28" w:type="dxa"/>
          <w:bottom w:w="28" w:type="dxa"/>
          <w:right w:w="28" w:type="dxa"/>
        </w:tblCellMar>
      </w:tblPr>
      <w:tblGrid>
        <w:gridCol w:w="516"/>
        <w:gridCol w:w="454"/>
        <w:gridCol w:w="456"/>
        <w:gridCol w:w="109"/>
        <w:gridCol w:w="109"/>
        <w:gridCol w:w="109"/>
        <w:gridCol w:w="280"/>
        <w:gridCol w:w="925"/>
        <w:gridCol w:w="157"/>
        <w:gridCol w:w="109"/>
        <w:gridCol w:w="109"/>
        <w:gridCol w:w="109"/>
        <w:gridCol w:w="233"/>
        <w:gridCol w:w="233"/>
        <w:gridCol w:w="430"/>
        <w:gridCol w:w="109"/>
        <w:gridCol w:w="109"/>
        <w:gridCol w:w="109"/>
        <w:gridCol w:w="375"/>
        <w:gridCol w:w="375"/>
        <w:gridCol w:w="376"/>
        <w:gridCol w:w="109"/>
        <w:gridCol w:w="109"/>
        <w:gridCol w:w="109"/>
        <w:gridCol w:w="280"/>
        <w:gridCol w:w="925"/>
        <w:gridCol w:w="157"/>
        <w:gridCol w:w="109"/>
        <w:gridCol w:w="109"/>
        <w:gridCol w:w="109"/>
        <w:gridCol w:w="233"/>
        <w:gridCol w:w="233"/>
        <w:gridCol w:w="430"/>
        <w:gridCol w:w="109"/>
        <w:gridCol w:w="109"/>
        <w:gridCol w:w="109"/>
        <w:gridCol w:w="343"/>
        <w:gridCol w:w="343"/>
        <w:gridCol w:w="489"/>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Remaining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6 to ≤ 9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Repo: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$25.9 billion and $25.4 billion, respectively, of our investment securities repurchase agreements and $2.1 billion and $1.4 billion, respectively, of our U.S. Treasury repurchase agreements had an overnight maturity of one business day and none of our repurchase agreements were due on demand. As of June 30, 2025, we had $18.5 billion of forward commitments to enter into repurchase agreements with a weighted average forward start date of 7 days and a weighted average interest rate of 4.46%. As of December 31, 2024, we had $17.3 billion of forward commitments to enter into repurchase agreements, with a weighted average forward start date of 2 days and a weighted average interest rate of 4.61%. As of June 30, 2025 and December 31, 2024, 50% and 50%,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48% and 47% of our repurchase agreement funding outstanding as of June 30, 2025 and December 31, 2024,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we had $21.4 billion and $17.1 billion, respectively, of reverse repurchase agreements outstanding used primarily to borrow securities to cover short sales of U.S. Treasury securities, for which we had associated obligations to return borrowed securities at fair value of $21.3 billion and $16.7 billion, respectively. As of June 30, 2025 and December 31, 2024, $4.1 billion and $3.9 billion, respectively, of our reverse repurchase agreements were with the FICC sourced through BES.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Derivative and Other Hedging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Derivative and Other Hedging Instrument Assets (Liabilities), at Fair Value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fair value information about our derivative and other hedging instrument assets/(liabilities) as of June 30, 2025 and December 31, 2024 (in millions):</w:t>
      </w:r>
    </w:p>
    <w:tbl>
      <w:tblPr>
        <w:tblW w:w="10205" w:type="dxa"/>
        <w:jc w:val="left"/>
        <w:tblInd w:w="0" w:type="dxa"/>
        <w:tblLayout w:type="fixed"/>
        <w:tblCellMar>
          <w:top w:w="28" w:type="dxa"/>
          <w:left w:w="28" w:type="dxa"/>
          <w:bottom w:w="28" w:type="dxa"/>
          <w:right w:w="28" w:type="dxa"/>
        </w:tblCellMar>
      </w:tblPr>
      <w:tblGrid>
        <w:gridCol w:w="963"/>
        <w:gridCol w:w="839"/>
        <w:gridCol w:w="842"/>
        <w:gridCol w:w="109"/>
        <w:gridCol w:w="109"/>
        <w:gridCol w:w="109"/>
        <w:gridCol w:w="1540"/>
        <w:gridCol w:w="1469"/>
        <w:gridCol w:w="1472"/>
        <w:gridCol w:w="109"/>
        <w:gridCol w:w="109"/>
        <w:gridCol w:w="109"/>
        <w:gridCol w:w="196"/>
        <w:gridCol w:w="699"/>
        <w:gridCol w:w="109"/>
        <w:gridCol w:w="109"/>
        <w:gridCol w:w="109"/>
        <w:gridCol w:w="109"/>
        <w:gridCol w:w="203"/>
        <w:gridCol w:w="729"/>
        <w:gridCol w:w="163"/>
      </w:tblGrid>
      <w:tr>
        <w:trPr/>
        <w:tc>
          <w:tcPr>
            <w:tcW w:w="96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422" w:type="dxa"/>
            <w:gridSpan w:val="6"/>
            <w:tcBorders/>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 net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2025 and December 31, 2024, the net fair value of our interest rate swaps excluding the recognition of variation margin settlements as a direct reduction of carrying value (see Note 2) was a net asset (liability) of $0.9 billion and $2.3 billion, respectively.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certain characteristics of our derivative and other hedging instruments outstanding as of June 30, 2025 and December 31, 2024 (dollars in millions):</w:t>
      </w:r>
    </w:p>
    <w:tbl>
      <w:tblPr>
        <w:tblW w:w="10205" w:type="dxa"/>
        <w:jc w:val="center"/>
        <w:tblInd w:w="0" w:type="dxa"/>
        <w:tblLayout w:type="fixed"/>
        <w:tblCellMar>
          <w:top w:w="28" w:type="dxa"/>
          <w:left w:w="28" w:type="dxa"/>
          <w:bottom w:w="28" w:type="dxa"/>
          <w:right w:w="28" w:type="dxa"/>
        </w:tblCellMar>
      </w:tblPr>
      <w:tblGrid>
        <w:gridCol w:w="389"/>
        <w:gridCol w:w="331"/>
        <w:gridCol w:w="332"/>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55"/>
        <w:gridCol w:w="255"/>
        <w:gridCol w:w="256"/>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37"/>
        <w:gridCol w:w="237"/>
        <w:gridCol w:w="343"/>
      </w:tblGrid>
      <w:tr>
        <w:trPr/>
        <w:tc>
          <w:tcPr>
            <w:tcW w:w="3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 Fixed / Receive Variable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3 to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to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to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June 30, 2025, 92% and 8% of notional amount receive index references SOFR and OIS, respectively. As of December 31, 2024, 82% and 18% of notional amount receive index references SOFR and OIS, respectively.</w:t>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8"/>
        <w:gridCol w:w="401"/>
        <w:gridCol w:w="334"/>
        <w:gridCol w:w="130"/>
        <w:gridCol w:w="130"/>
        <w:gridCol w:w="130"/>
        <w:gridCol w:w="368"/>
        <w:gridCol w:w="368"/>
        <w:gridCol w:w="370"/>
        <w:gridCol w:w="109"/>
        <w:gridCol w:w="109"/>
        <w:gridCol w:w="109"/>
        <w:gridCol w:w="231"/>
        <w:gridCol w:w="391"/>
        <w:gridCol w:w="128"/>
        <w:gridCol w:w="109"/>
        <w:gridCol w:w="109"/>
        <w:gridCol w:w="109"/>
        <w:gridCol w:w="239"/>
        <w:gridCol w:w="405"/>
        <w:gridCol w:w="132"/>
        <w:gridCol w:w="109"/>
        <w:gridCol w:w="109"/>
        <w:gridCol w:w="109"/>
        <w:gridCol w:w="391"/>
        <w:gridCol w:w="391"/>
        <w:gridCol w:w="392"/>
        <w:gridCol w:w="109"/>
        <w:gridCol w:w="109"/>
        <w:gridCol w:w="109"/>
        <w:gridCol w:w="196"/>
        <w:gridCol w:w="556"/>
        <w:gridCol w:w="109"/>
        <w:gridCol w:w="109"/>
        <w:gridCol w:w="109"/>
        <w:gridCol w:w="109"/>
        <w:gridCol w:w="396"/>
        <w:gridCol w:w="396"/>
        <w:gridCol w:w="397"/>
        <w:gridCol w:w="109"/>
        <w:gridCol w:w="109"/>
        <w:gridCol w:w="109"/>
        <w:gridCol w:w="224"/>
        <w:gridCol w:w="224"/>
        <w:gridCol w:w="326"/>
      </w:tblGrid>
      <w:tr>
        <w:trPr/>
        <w:tc>
          <w:tcPr>
            <w:tcW w:w="4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Payer Swap</w:t>
            </w:r>
          </w:p>
        </w:tc>
      </w:tr>
      <w:tr>
        <w:trPr/>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Pay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r>
        <w:trPr/>
        <w:tc>
          <w:tcPr>
            <w:tcW w:w="122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1.Receive index references SOFR.</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89"/>
        <w:gridCol w:w="414"/>
        <w:gridCol w:w="322"/>
        <w:gridCol w:w="142"/>
        <w:gridCol w:w="142"/>
        <w:gridCol w:w="142"/>
        <w:gridCol w:w="368"/>
        <w:gridCol w:w="368"/>
        <w:gridCol w:w="370"/>
        <w:gridCol w:w="109"/>
        <w:gridCol w:w="109"/>
        <w:gridCol w:w="109"/>
        <w:gridCol w:w="256"/>
        <w:gridCol w:w="315"/>
        <w:gridCol w:w="142"/>
        <w:gridCol w:w="109"/>
        <w:gridCol w:w="109"/>
        <w:gridCol w:w="109"/>
        <w:gridCol w:w="265"/>
        <w:gridCol w:w="326"/>
        <w:gridCol w:w="147"/>
        <w:gridCol w:w="109"/>
        <w:gridCol w:w="109"/>
        <w:gridCol w:w="109"/>
        <w:gridCol w:w="391"/>
        <w:gridCol w:w="391"/>
        <w:gridCol w:w="393"/>
        <w:gridCol w:w="109"/>
        <w:gridCol w:w="109"/>
        <w:gridCol w:w="109"/>
        <w:gridCol w:w="198"/>
        <w:gridCol w:w="426"/>
        <w:gridCol w:w="112"/>
        <w:gridCol w:w="109"/>
        <w:gridCol w:w="109"/>
        <w:gridCol w:w="109"/>
        <w:gridCol w:w="448"/>
        <w:gridCol w:w="448"/>
        <w:gridCol w:w="450"/>
        <w:gridCol w:w="109"/>
        <w:gridCol w:w="109"/>
        <w:gridCol w:w="109"/>
        <w:gridCol w:w="224"/>
        <w:gridCol w:w="224"/>
        <w:gridCol w:w="330"/>
      </w:tblGrid>
      <w:tr>
        <w:trPr/>
        <w:tc>
          <w:tcPr>
            <w:tcW w:w="48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Receiver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Receiver Swap</w:t>
            </w:r>
          </w:p>
        </w:tc>
      </w:tr>
      <w:tr>
        <w:trPr/>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Option </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Receive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1.Pay index references SOFR.</w:t>
      </w:r>
    </w:p>
    <w:tbl>
      <w:tblPr>
        <w:tblW w:w="10205" w:type="dxa"/>
        <w:jc w:val="left"/>
        <w:tblInd w:w="0" w:type="dxa"/>
        <w:tblLayout w:type="fixed"/>
        <w:tblCellMar>
          <w:top w:w="28" w:type="dxa"/>
          <w:left w:w="28" w:type="dxa"/>
          <w:bottom w:w="28" w:type="dxa"/>
          <w:right w:w="28" w:type="dxa"/>
        </w:tblCellMar>
      </w:tblPr>
      <w:tblGrid>
        <w:gridCol w:w="506"/>
        <w:gridCol w:w="444"/>
        <w:gridCol w:w="445"/>
        <w:gridCol w:w="109"/>
        <w:gridCol w:w="109"/>
        <w:gridCol w:w="109"/>
        <w:gridCol w:w="277"/>
        <w:gridCol w:w="987"/>
        <w:gridCol w:w="154"/>
        <w:gridCol w:w="109"/>
        <w:gridCol w:w="109"/>
        <w:gridCol w:w="109"/>
        <w:gridCol w:w="196"/>
        <w:gridCol w:w="685"/>
        <w:gridCol w:w="109"/>
        <w:gridCol w:w="109"/>
        <w:gridCol w:w="109"/>
        <w:gridCol w:w="109"/>
        <w:gridCol w:w="196"/>
        <w:gridCol w:w="685"/>
        <w:gridCol w:w="109"/>
        <w:gridCol w:w="109"/>
        <w:gridCol w:w="109"/>
        <w:gridCol w:w="109"/>
        <w:gridCol w:w="277"/>
        <w:gridCol w:w="987"/>
        <w:gridCol w:w="154"/>
        <w:gridCol w:w="109"/>
        <w:gridCol w:w="109"/>
        <w:gridCol w:w="109"/>
        <w:gridCol w:w="196"/>
        <w:gridCol w:w="685"/>
        <w:gridCol w:w="109"/>
        <w:gridCol w:w="109"/>
        <w:gridCol w:w="109"/>
        <w:gridCol w:w="109"/>
        <w:gridCol w:w="196"/>
        <w:gridCol w:w="685"/>
        <w:gridCol w:w="161"/>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U.S. Treasury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2025 and December 31, 2024, short U.S. Treasury securities totaling $(21.3) billion and $(16.7) billion, at fair value, respectively, had a weighted average yield of 4.17% and 3.85%, respectively. As of June 30, 2025 and December 31, 2024, long U.S. Treasury securities totaling $3.6 billion and $1.6 billion, at fair value, respectively, had a weighted average yield of 4.10% and 4.27%, respectively.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1"/>
        <w:gridCol w:w="272"/>
        <w:gridCol w:w="274"/>
        <w:gridCol w:w="109"/>
        <w:gridCol w:w="109"/>
        <w:gridCol w:w="109"/>
        <w:gridCol w:w="196"/>
        <w:gridCol w:w="574"/>
        <w:gridCol w:w="109"/>
        <w:gridCol w:w="109"/>
        <w:gridCol w:w="109"/>
        <w:gridCol w:w="109"/>
        <w:gridCol w:w="196"/>
        <w:gridCol w:w="574"/>
        <w:gridCol w:w="109"/>
        <w:gridCol w:w="109"/>
        <w:gridCol w:w="109"/>
        <w:gridCol w:w="109"/>
        <w:gridCol w:w="196"/>
        <w:gridCol w:w="574"/>
        <w:gridCol w:w="109"/>
        <w:gridCol w:w="109"/>
        <w:gridCol w:w="109"/>
        <w:gridCol w:w="109"/>
        <w:gridCol w:w="206"/>
        <w:gridCol w:w="381"/>
        <w:gridCol w:w="114"/>
        <w:gridCol w:w="109"/>
        <w:gridCol w:w="109"/>
        <w:gridCol w:w="109"/>
        <w:gridCol w:w="196"/>
        <w:gridCol w:w="574"/>
        <w:gridCol w:w="109"/>
        <w:gridCol w:w="109"/>
        <w:gridCol w:w="109"/>
        <w:gridCol w:w="109"/>
        <w:gridCol w:w="196"/>
        <w:gridCol w:w="574"/>
        <w:gridCol w:w="109"/>
        <w:gridCol w:w="109"/>
        <w:gridCol w:w="109"/>
        <w:gridCol w:w="109"/>
        <w:gridCol w:w="196"/>
        <w:gridCol w:w="574"/>
        <w:gridCol w:w="109"/>
        <w:gridCol w:w="109"/>
        <w:gridCol w:w="109"/>
        <w:gridCol w:w="109"/>
        <w:gridCol w:w="215"/>
        <w:gridCol w:w="363"/>
        <w:gridCol w:w="179"/>
      </w:tblGrid>
      <w:tr>
        <w:trPr/>
        <w:tc>
          <w:tcPr>
            <w:tcW w:w="3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U.S. Treasury Futures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 ≤ 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7 year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17" w:type="dxa"/>
        <w:jc w:val="left"/>
        <w:tblInd w:w="0" w:type="dxa"/>
        <w:tblLayout w:type="fixed"/>
        <w:tblCellMar>
          <w:top w:w="28" w:type="dxa"/>
          <w:left w:w="28" w:type="dxa"/>
          <w:bottom w:w="28" w:type="dxa"/>
          <w:right w:w="28" w:type="dxa"/>
        </w:tblCellMar>
      </w:tblPr>
      <w:tblGrid>
        <w:gridCol w:w="345"/>
        <w:gridCol w:w="225"/>
        <w:gridCol w:w="22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06"/>
        <w:gridCol w:w="311"/>
      </w:tblGrid>
      <w:tr>
        <w:trPr/>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TBA Securities by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 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 </w:t>
      </w:r>
    </w:p>
    <w:p>
      <w:pPr>
        <w:pStyle w:val="TextBody"/>
        <w:bidi w:val="0"/>
        <w:spacing w:lineRule="auto" w:line="26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we held SOFR futures contracts with a long notional position of $1.2 billion and $1.2 billion, respectively, measured on a two-year swap equivalent basis, with a net carrying value of $8 million and $(7) million,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From Derivative Instruments and Other Securities, Net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our derivative and other hedge portfolio and their effect on our consolidated statements of comprehensive income for the three and six months ended June 30, 2025 and 2024 (in millions):</w:t>
      </w:r>
    </w:p>
    <w:p>
      <w:pPr>
        <w:pStyle w:val="TextBody"/>
        <w:bidi w:val="0"/>
        <w:spacing w:before="0" w:after="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1"/>
        <w:gridCol w:w="573"/>
        <w:gridCol w:w="576"/>
        <w:gridCol w:w="109"/>
        <w:gridCol w:w="109"/>
        <w:gridCol w:w="109"/>
        <w:gridCol w:w="220"/>
        <w:gridCol w:w="770"/>
        <w:gridCol w:w="122"/>
        <w:gridCol w:w="109"/>
        <w:gridCol w:w="109"/>
        <w:gridCol w:w="109"/>
        <w:gridCol w:w="339"/>
        <w:gridCol w:w="340"/>
        <w:gridCol w:w="266"/>
        <w:gridCol w:w="109"/>
        <w:gridCol w:w="109"/>
        <w:gridCol w:w="109"/>
        <w:gridCol w:w="448"/>
        <w:gridCol w:w="414"/>
        <w:gridCol w:w="415"/>
        <w:gridCol w:w="109"/>
        <w:gridCol w:w="109"/>
        <w:gridCol w:w="109"/>
        <w:gridCol w:w="217"/>
        <w:gridCol w:w="759"/>
        <w:gridCol w:w="120"/>
        <w:gridCol w:w="109"/>
        <w:gridCol w:w="109"/>
        <w:gridCol w:w="109"/>
        <w:gridCol w:w="109"/>
        <w:gridCol w:w="109"/>
        <w:gridCol w:w="109"/>
        <w:gridCol w:w="424"/>
        <w:gridCol w:w="1246"/>
        <w:gridCol w:w="343"/>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w:t>
              <w:br/>
              <w:t xml:space="preserve">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Termination,</w:t>
              <w:br/>
              <w:t>Expiration or</w:t>
              <w:b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w:t>
              <w:b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Gain/(Loss)</w:t>
            </w:r>
          </w:p>
          <w:p>
            <w:pPr>
              <w:pStyle w:val="TableContents"/>
              <w:bidi w:val="0"/>
              <w:spacing w:lineRule="auto" w:line="240" w:before="0" w:after="0"/>
              <w:jc w:val="center"/>
              <w:rPr/>
            </w:pPr>
            <w:r>
              <w:rPr>
                <w:rFonts w:ascii="Times New Roman;serif" w:hAnsi="Times New Roman;serif"/>
                <w:b/>
                <w:color w:val="000000"/>
                <w:sz w:val="16"/>
              </w:rPr>
              <w:t xml:space="preserve">on Derivative Instruments and Other Securities, Net </w:t>
            </w:r>
            <w:r>
              <w:rPr>
                <w:rFonts w:ascii="Times New Roman;serif" w:hAnsi="Times New Roman;serif"/>
                <w:b/>
                <w:color w:val="000000"/>
                <w:sz w:val="10"/>
              </w:rPr>
              <w:t>1</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receiver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(62,214)</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(61,734)</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receiver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default swaps - buy protection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other miscellaneous gains and losses and other interest income (expense) recognized in gain (loss) on derivative instruments and other securities, net in our consolidated statements of comprehensive income.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as of June 30, 2025 and 2024, we held SOFR futures contracts with a long notional position of $1.2 billion and $0.6 billion, respectively, measured on a two-year swap equivalent basis. For the three and six months ended June 30, 2025, we recognized a gain of $3 million and $13 million, respectively, and for the three and six months ended June 30, 2024 we recognized a loss of $(3) million and $(13) million, respectively, on our SOFR futures contracts in gain (loss) on derivative instruments and other securities, net in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Pledged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agreements require us to fully collateralize our obligations based on our counterparties' collateral requirements and their determination of the fair value of the securities pledged, which fluctuates with changes in interest rates, credit spreads, liquidity, and overall market conditions.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Bilateral funding agreements typically include a "haircut," or discount applied to the market value of pledged collateral, which reflects the risk characteristics of the underlying securities. Haircuts are determined on a transaction-specific basis and are not contractually fixed under the applicable Master Repurchase Agreement.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Margin requirements for centrally cleared repurchase agreements executed through the Fixed Income Clearing Corporation ("FICC") are determined in accordance with the FICC's clearing rules. These include an initial margin requirement, calculated daily using a Value-at-Risk ("VaR") model, which takes into account any offsetting risk sensitivities of positions such as repos and reverse repos and is intended to protect the FICC against potential future exposure from a member default. The FICC also imposes variation margin based on amounts borrowed plus accrued interest, adjusted daily for fluctuations in collateral value, which is intended to cover our current repo exposure. Initial margin posted to the FICC may also be mutualized, meaning it can be used to absorb losses from the default of another clearing member, subject to applicable caps and withdrawal provisions.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also required to post collateral under our derivative agreements. These agreements typically require the posting of initial margin at inception and the daily exchange of variation margin as market values change. Initial margin for derivatives is generally based on counterparty risk models, including VaR-based approaches, and is intended to cover potential future exposure in the event of a default. Variation margin reflects current exposure and serves to settle gains and losses on a daily basis.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and derivative agreements expose us to credit risk in the event a counterparty fails to perform its obligations. We seek to mitigate this risk by limiting our counterparties to regulated financial institutions, registered clearinghouses, and U.S. government agencies with acceptable credit ratings, and by monitoring exposures to individual counterparties. In the event of a counterparty default, we may experience delays or losses in recovering pledged collateral or receiving payments due. We believe the credit risk associated with centrally cleared transactions is limited by the clearinghouses' daily margin practices, mutualized loss protections, designations as systemically important financial market utilities, and other risk management safeguards.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our maximum amount at risk with any counterparty related to our repurchase agreements, excluding the FICC, was less than 2% of our tangible stockholders' equity (or the excess/shortfall of the value of collateral pledged/received over our repurchase agreement liabilities/reverse repurchase agreement receivables). As of June 30, 2025, 10% of our tangible stockholders' equity was at risk with the FICC.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to Counterparties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pledged as collateral under our funding, derivative and brokerage and clearing agreements by type, including securities pledged related to securities sold but not yet settled, as of June 30, 2025 and December 31, 2024 (in millions):</w:t>
      </w:r>
    </w:p>
    <w:tbl>
      <w:tblPr>
        <w:tblW w:w="10205" w:type="dxa"/>
        <w:jc w:val="center"/>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67,359 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71,824 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73,167 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62,833 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63,989 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repledged assets received as collateral from counterparties and securities sold but not yet settled.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$32 million and $33 million of retained interests in our consolidated VIEs pledged as collateral under repurchase agreements as of June 30, 2025 and December 31, 2024, respectively.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following table summarizes our securities pledged as collateral under our repurchase agreements by the remaining maturity of our borrowings, including securities pledged related to sold but not yet settled securities, as of June 30, 2025 and December 31, 2024 (in millions). For the corresponding borrowings associated with the following amounts and the interest rates thereon, refer to Note 4</w:t>
      </w:r>
      <w:r>
        <w:rPr>
          <w:rFonts w:ascii="Times New Roman;serif" w:hAnsi="Times New Roman;serif"/>
          <w:b w:val="false"/>
          <w: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2"/>
        <w:gridCol w:w="610"/>
        <w:gridCol w:w="612"/>
        <w:gridCol w:w="109"/>
        <w:gridCol w:w="109"/>
        <w:gridCol w:w="109"/>
        <w:gridCol w:w="262"/>
        <w:gridCol w:w="866"/>
        <w:gridCol w:w="146"/>
        <w:gridCol w:w="109"/>
        <w:gridCol w:w="109"/>
        <w:gridCol w:w="109"/>
        <w:gridCol w:w="216"/>
        <w:gridCol w:w="714"/>
        <w:gridCol w:w="120"/>
        <w:gridCol w:w="109"/>
        <w:gridCol w:w="109"/>
        <w:gridCol w:w="109"/>
        <w:gridCol w:w="219"/>
        <w:gridCol w:w="472"/>
        <w:gridCol w:w="123"/>
        <w:gridCol w:w="109"/>
        <w:gridCol w:w="109"/>
        <w:gridCol w:w="109"/>
        <w:gridCol w:w="262"/>
        <w:gridCol w:w="866"/>
        <w:gridCol w:w="146"/>
        <w:gridCol w:w="109"/>
        <w:gridCol w:w="109"/>
        <w:gridCol w:w="109"/>
        <w:gridCol w:w="216"/>
        <w:gridCol w:w="714"/>
        <w:gridCol w:w="120"/>
        <w:gridCol w:w="109"/>
        <w:gridCol w:w="109"/>
        <w:gridCol w:w="109"/>
        <w:gridCol w:w="217"/>
        <w:gridCol w:w="469"/>
        <w:gridCol w:w="181"/>
      </w:tblGrid>
      <w:tr>
        <w:trPr/>
        <w:tc>
          <w:tcPr>
            <w:tcW w:w="6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Securities Pledged by Remaining Maturity of Repurchase Agreements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r>
      <w:tr>
        <w:trPr/>
        <w:tc>
          <w:tcPr>
            <w:tcW w:w="1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1 and ≤ 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2 and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71,099 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62,168 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$32 million and $33 million of retained interests in our consolidated VIEs pledged as collateral under repurchase agreements as of June 30, 2025 and December 31, 2024,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from Counterparties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we had assets pledged to us from counterparties as collateral under our reverse repurchase and derivative agreements summarized in the tables below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1080" w:type="dxa"/>
        <w:jc w:val="left"/>
        <w:tblInd w:w="0" w:type="dxa"/>
        <w:tblLayout w:type="fixed"/>
        <w:tblCellMar>
          <w:top w:w="28" w:type="dxa"/>
          <w:left w:w="28" w:type="dxa"/>
          <w:bottom w:w="28" w:type="dxa"/>
          <w:right w:w="28" w:type="dxa"/>
        </w:tblCellMar>
      </w:tblPr>
      <w:tblGrid>
        <w:gridCol w:w="310"/>
        <w:gridCol w:w="220"/>
        <w:gridCol w:w="221"/>
        <w:gridCol w:w="109"/>
        <w:gridCol w:w="109"/>
        <w:gridCol w:w="109"/>
        <w:gridCol w:w="198"/>
        <w:gridCol w:w="652"/>
        <w:gridCol w:w="111"/>
        <w:gridCol w:w="109"/>
        <w:gridCol w:w="109"/>
        <w:gridCol w:w="109"/>
        <w:gridCol w:w="264"/>
        <w:gridCol w:w="548"/>
        <w:gridCol w:w="149"/>
        <w:gridCol w:w="109"/>
        <w:gridCol w:w="109"/>
        <w:gridCol w:w="109"/>
        <w:gridCol w:w="259"/>
        <w:gridCol w:w="557"/>
        <w:gridCol w:w="145"/>
        <w:gridCol w:w="109"/>
        <w:gridCol w:w="109"/>
        <w:gridCol w:w="109"/>
        <w:gridCol w:w="196"/>
        <w:gridCol w:w="646"/>
        <w:gridCol w:w="109"/>
        <w:gridCol w:w="109"/>
        <w:gridCol w:w="109"/>
        <w:gridCol w:w="109"/>
        <w:gridCol w:w="198"/>
        <w:gridCol w:w="652"/>
        <w:gridCol w:w="111"/>
        <w:gridCol w:w="109"/>
        <w:gridCol w:w="109"/>
        <w:gridCol w:w="109"/>
        <w:gridCol w:w="264"/>
        <w:gridCol w:w="548"/>
        <w:gridCol w:w="149"/>
        <w:gridCol w:w="109"/>
        <w:gridCol w:w="109"/>
        <w:gridCol w:w="109"/>
        <w:gridCol w:w="296"/>
        <w:gridCol w:w="500"/>
        <w:gridCol w:w="165"/>
        <w:gridCol w:w="109"/>
        <w:gridCol w:w="109"/>
        <w:gridCol w:w="109"/>
        <w:gridCol w:w="19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 Pledged to 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securities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U.S. Treasury securities -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Offsetting Assets and Liabilities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2025 and December 31, 2024 (in millions):</w:t>
      </w:r>
    </w:p>
    <w:tbl>
      <w:tblPr>
        <w:tblW w:w="10205" w:type="dxa"/>
        <w:jc w:val="left"/>
        <w:tblInd w:w="0" w:type="dxa"/>
        <w:tblLayout w:type="fixed"/>
        <w:tblCellMar>
          <w:top w:w="28" w:type="dxa"/>
          <w:left w:w="28" w:type="dxa"/>
          <w:bottom w:w="28" w:type="dxa"/>
          <w:right w:w="28" w:type="dxa"/>
        </w:tblCellMar>
      </w:tblPr>
      <w:tblGrid>
        <w:gridCol w:w="540"/>
        <w:gridCol w:w="475"/>
        <w:gridCol w:w="311"/>
        <w:gridCol w:w="109"/>
        <w:gridCol w:w="109"/>
        <w:gridCol w:w="109"/>
        <w:gridCol w:w="240"/>
        <w:gridCol w:w="792"/>
        <w:gridCol w:w="133"/>
        <w:gridCol w:w="109"/>
        <w:gridCol w:w="109"/>
        <w:gridCol w:w="109"/>
        <w:gridCol w:w="394"/>
        <w:gridCol w:w="818"/>
        <w:gridCol w:w="220"/>
        <w:gridCol w:w="109"/>
        <w:gridCol w:w="109"/>
        <w:gridCol w:w="109"/>
        <w:gridCol w:w="313"/>
        <w:gridCol w:w="1034"/>
        <w:gridCol w:w="177"/>
        <w:gridCol w:w="109"/>
        <w:gridCol w:w="109"/>
        <w:gridCol w:w="109"/>
        <w:gridCol w:w="210"/>
        <w:gridCol w:w="723"/>
        <w:gridCol w:w="117"/>
        <w:gridCol w:w="109"/>
        <w:gridCol w:w="109"/>
        <w:gridCol w:w="109"/>
        <w:gridCol w:w="213"/>
        <w:gridCol w:w="634"/>
        <w:gridCol w:w="118"/>
        <w:gridCol w:w="109"/>
        <w:gridCol w:w="109"/>
        <w:gridCol w:w="109"/>
        <w:gridCol w:w="221"/>
        <w:gridCol w:w="374"/>
        <w:gridCol w:w="186"/>
      </w:tblGrid>
      <w:tr>
        <w:trPr/>
        <w:tc>
          <w:tcPr>
            <w:tcW w:w="54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Assets</w:t>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Received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and swaption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rate swap and swaption agreements, at fair value</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96"/>
        <w:gridCol w:w="437"/>
        <w:gridCol w:w="271"/>
        <w:gridCol w:w="109"/>
        <w:gridCol w:w="109"/>
        <w:gridCol w:w="109"/>
        <w:gridCol w:w="245"/>
        <w:gridCol w:w="810"/>
        <w:gridCol w:w="136"/>
        <w:gridCol w:w="109"/>
        <w:gridCol w:w="109"/>
        <w:gridCol w:w="109"/>
        <w:gridCol w:w="391"/>
        <w:gridCol w:w="813"/>
        <w:gridCol w:w="219"/>
        <w:gridCol w:w="109"/>
        <w:gridCol w:w="109"/>
        <w:gridCol w:w="109"/>
        <w:gridCol w:w="317"/>
        <w:gridCol w:w="1048"/>
        <w:gridCol w:w="179"/>
        <w:gridCol w:w="109"/>
        <w:gridCol w:w="109"/>
        <w:gridCol w:w="109"/>
        <w:gridCol w:w="210"/>
        <w:gridCol w:w="721"/>
        <w:gridCol w:w="117"/>
        <w:gridCol w:w="109"/>
        <w:gridCol w:w="109"/>
        <w:gridCol w:w="109"/>
        <w:gridCol w:w="207"/>
        <w:gridCol w:w="711"/>
        <w:gridCol w:w="115"/>
        <w:gridCol w:w="109"/>
        <w:gridCol w:w="109"/>
        <w:gridCol w:w="109"/>
        <w:gridCol w:w="204"/>
        <w:gridCol w:w="423"/>
        <w:gridCol w:w="173"/>
      </w:tblGrid>
      <w:tr>
        <w:trPr/>
        <w:tc>
          <w:tcPr>
            <w:tcW w:w="4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Liabilities</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Pledged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60,885 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(49,144)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1.Reported under derivative assets / liabilities, at fair value in the accompanying consolidated balance sheets. Refer to Note 5 for a reconciliation of derivative assets / liabilities, at fair value to their sub-components.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cash and securities pledged / received as collateral, at fair value. Amounts include repledged collateral. Amounts presented are limited to collateral pledged sufficient to reduce the net amount to zero for individual counterparties, as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Fair Value Measurements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our assets and liabilities that are measured at fair value on a recurring basis, as of June 30, 2025 and December 31, 2024, based on their categorization within the valuation hierarchy (in millions). There were no transfers between valuation hierarchy levels during the periods presented in our accompanying consolidated statements of comprehensive income. </w:t>
      </w:r>
    </w:p>
    <w:tbl>
      <w:tblPr>
        <w:tblW w:w="10205" w:type="dxa"/>
        <w:jc w:val="left"/>
        <w:tblInd w:w="0" w:type="dxa"/>
        <w:tblLayout w:type="fixed"/>
        <w:tblCellMar>
          <w:top w:w="28" w:type="dxa"/>
          <w:left w:w="28" w:type="dxa"/>
          <w:bottom w:w="28" w:type="dxa"/>
          <w:right w:w="28" w:type="dxa"/>
        </w:tblCellMar>
      </w:tblPr>
      <w:tblGrid>
        <w:gridCol w:w="1118"/>
        <w:gridCol w:w="852"/>
        <w:gridCol w:w="843"/>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313"/>
      </w:tblGrid>
      <w:tr>
        <w:trPr/>
        <w:tc>
          <w:tcPr>
            <w:tcW w:w="11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 transferred to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Credit risk transfer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 to return U.S. Treasury securities borrowed under 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2025 and December 31, 2024, the net fair value of our interest rate swaps excluding the recognition of variation margin settlements as a direct reduction of carrying value was a net asset (liability) of $0.9 billion and $2.3 billion, respectively, based on "Level 2" inputs.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Excluded from the table above are financial instruments reported at cost and other mortgage credit investments reported under the equity method of accounting in our consolidated financial statements. As of June 30, 2025 and December 31, 2024,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June 30, 2025 and December 31, 2024, the carrying value of other mortgage credit investments reported under the equity method of accounting was $66 million and $64 million, respectively.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Net Income (Loss) Per Common Share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30"/>
        <w:gridCol w:w="1595"/>
        <w:gridCol w:w="1606"/>
        <w:gridCol w:w="109"/>
        <w:gridCol w:w="109"/>
        <w:gridCol w:w="109"/>
        <w:gridCol w:w="217"/>
        <w:gridCol w:w="589"/>
        <w:gridCol w:w="120"/>
        <w:gridCol w:w="120"/>
        <w:gridCol w:w="120"/>
        <w:gridCol w:w="120"/>
        <w:gridCol w:w="215"/>
        <w:gridCol w:w="589"/>
        <w:gridCol w:w="120"/>
        <w:gridCol w:w="109"/>
        <w:gridCol w:w="109"/>
        <w:gridCol w:w="109"/>
        <w:gridCol w:w="206"/>
        <w:gridCol w:w="562"/>
        <w:gridCol w:w="115"/>
        <w:gridCol w:w="115"/>
        <w:gridCol w:w="115"/>
        <w:gridCol w:w="115"/>
        <w:gridCol w:w="206"/>
        <w:gridCol w:w="491"/>
        <w:gridCol w:w="115"/>
        <w:gridCol w:w="109"/>
        <w:gridCol w:w="161"/>
      </w:tblGrid>
      <w:tr>
        <w:trPr/>
        <w:tc>
          <w:tcPr>
            <w:tcW w:w="183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fully 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dilutive unvested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2.3 million and 1.9 million, respectively, and, for the six months ended June 30, 2025, 3.0 million of potentially dilutive unvested time and performance based RSUs outstanding were excluded from the computation of diluted net income (loss) per common share because to do so would have been anti-dilutive for the period.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designate and issue up to 10.0 million shares of preferred stock in one or more classes or series. As of June 30, 2025 and December 31, 2024, 13,800, 10,350, 16,100, 23,000 and 6,900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and 7.75% Series G Fixed-Rate Reset Cumulative Redeemable Preferred Stock, respectively, (referred to as "Series C, D, E, F and G Preferred Stock", respectively). As of June 30, 2025 and December 31, 2024, 13,000, 9,400, 16,100, 23,000 and 6,000 shares of Series C, D, E, F and G Preferred Stock, respectively, were issued and outstanding. Each share of preferred stock is represented by 1,000 depositary shares. Each share of preferred stock has a liquidation preference of $25,000 per share ($25 per depositary share).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 summary of preferred stock depositary shares issued and outstanding as of June 30, 2025 (dollars and shares in millions):</w:t>
      </w:r>
    </w:p>
    <w:tbl>
      <w:tblPr>
        <w:tblW w:w="10205" w:type="dxa"/>
        <w:jc w:val="center"/>
        <w:tblInd w:w="0" w:type="dxa"/>
        <w:tblLayout w:type="fixed"/>
        <w:tblCellMar>
          <w:top w:w="28" w:type="dxa"/>
          <w:left w:w="28" w:type="dxa"/>
          <w:bottom w:w="28" w:type="dxa"/>
          <w:right w:w="28" w:type="dxa"/>
        </w:tblCellMar>
      </w:tblPr>
      <w:tblGrid>
        <w:gridCol w:w="755"/>
        <w:gridCol w:w="488"/>
        <w:gridCol w:w="490"/>
        <w:gridCol w:w="109"/>
        <w:gridCol w:w="109"/>
        <w:gridCol w:w="109"/>
        <w:gridCol w:w="415"/>
        <w:gridCol w:w="270"/>
        <w:gridCol w:w="245"/>
        <w:gridCol w:w="109"/>
        <w:gridCol w:w="109"/>
        <w:gridCol w:w="109"/>
        <w:gridCol w:w="310"/>
        <w:gridCol w:w="310"/>
        <w:gridCol w:w="311"/>
        <w:gridCol w:w="109"/>
        <w:gridCol w:w="109"/>
        <w:gridCol w:w="109"/>
        <w:gridCol w:w="181"/>
        <w:gridCol w:w="496"/>
        <w:gridCol w:w="109"/>
        <w:gridCol w:w="109"/>
        <w:gridCol w:w="109"/>
        <w:gridCol w:w="109"/>
        <w:gridCol w:w="259"/>
        <w:gridCol w:w="713"/>
        <w:gridCol w:w="158"/>
        <w:gridCol w:w="109"/>
        <w:gridCol w:w="109"/>
        <w:gridCol w:w="109"/>
        <w:gridCol w:w="323"/>
        <w:gridCol w:w="323"/>
        <w:gridCol w:w="324"/>
        <w:gridCol w:w="109"/>
        <w:gridCol w:w="109"/>
        <w:gridCol w:w="109"/>
        <w:gridCol w:w="497"/>
        <w:gridCol w:w="497"/>
        <w:gridCol w:w="499"/>
        <w:gridCol w:w="109"/>
        <w:gridCol w:w="161"/>
      </w:tblGrid>
      <w:tr>
        <w:trPr/>
        <w:tc>
          <w:tcPr>
            <w:tcW w:w="7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Redeemable Preferred Stock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Depositary</w:t>
              <w:br/>
              <w:t>Shares</w:t>
              <w:br/>
              <w:t>Issued</w:t>
              <w:br/>
              <w:t>and</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Aggregate</w:t>
              <w:b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Annum Dividend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Optional</w:t>
            </w:r>
          </w:p>
          <w:p>
            <w:pPr>
              <w:pStyle w:val="TableContents"/>
              <w:bidi w:val="0"/>
              <w:spacing w:lineRule="auto" w:line="240" w:before="0" w:after="0"/>
              <w:jc w:val="center"/>
              <w:rPr/>
            </w:pPr>
            <w:r>
              <w:rPr>
                <w:rFonts w:ascii="Times New Roman;serif" w:hAnsi="Times New Roman;serif"/>
                <w:b/>
                <w:color w:val="000000"/>
                <w:sz w:val="16"/>
              </w:rPr>
              <w:t xml:space="preserve">Redemption Date / Conversion Date </w:t>
            </w:r>
            <w:r>
              <w:rPr>
                <w:rFonts w:ascii="Times New Roman;serif" w:hAnsi="Times New Roman;serif"/>
                <w:b/>
                <w:color w:val="000000"/>
                <w:sz w:val="10"/>
              </w:rPr>
              <w:t>3,4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9.63315%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8.85415%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3,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9.51515%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11,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9.21915%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 Reset: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depositary shares underlying our preferred stock accrue dividends at an initial annual fixed rate of the $25.00 liquidation preference per depositary share from the issuance date up to, but not including, the fixed-to-floating rate or fixed-rate-reset conversion date; thereafter, dividends will accrue on a floating rate or fixed-rate-reset basis equal to the conversion rate plus a fixed spread.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Series C, D, E and F per annum dividend rates represent the rates in effect as of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Series C, D, E and F dividends accrue at a rate equal to the 3-Month CME Term SOFR plus 0.26161%, plus spreads of 5.111%, 4.332%, 4.993% and 4.697%, respectively, per annum, resetting quarterly in accordance with the certificate of designations for such series and the Adjustable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Interest Rate (LIBOR) Act of 2021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4.Shares may be redeemed prior to our optional redemption date under certain circumstances intended to preserve our qualification as a REIT for U.S federal income tax purposes.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authorized by our Board to enter into agreements with sales agents to publicly offer and sell shares of our common stock in privately negotiated and/or at-the-market transactions from time-to-time up to a maximum aggregate offering price of our common stock. The following table includes a summary of shares of our common stock issued under the sales agreements during the three and six months ended June 30, 2025 and 2024 (in millions, except for per share data). As of June 30, 2025, shares of our common stock with an aggregate offering price of $1.3 billion remained authorized for issuance under this program through December 31, 2026.</w:t>
      </w:r>
    </w:p>
    <w:tbl>
      <w:tblPr>
        <w:tblW w:w="7689" w:type="dxa"/>
        <w:jc w:val="center"/>
        <w:tblInd w:w="0" w:type="dxa"/>
        <w:tblLayout w:type="fixed"/>
        <w:tblCellMar>
          <w:top w:w="28" w:type="dxa"/>
          <w:left w:w="28" w:type="dxa"/>
          <w:bottom w:w="28" w:type="dxa"/>
          <w:right w:w="28" w:type="dxa"/>
        </w:tblCellMar>
      </w:tblPr>
      <w:tblGrid>
        <w:gridCol w:w="593"/>
        <w:gridCol w:w="520"/>
        <w:gridCol w:w="522"/>
        <w:gridCol w:w="109"/>
        <w:gridCol w:w="109"/>
        <w:gridCol w:w="109"/>
        <w:gridCol w:w="979"/>
        <w:gridCol w:w="979"/>
        <w:gridCol w:w="982"/>
        <w:gridCol w:w="109"/>
        <w:gridCol w:w="109"/>
        <w:gridCol w:w="109"/>
        <w:gridCol w:w="318"/>
        <w:gridCol w:w="318"/>
        <w:gridCol w:w="325"/>
        <w:gridCol w:w="109"/>
        <w:gridCol w:w="109"/>
        <w:gridCol w:w="109"/>
        <w:gridCol w:w="364"/>
        <w:gridCol w:w="354"/>
        <w:gridCol w:w="454"/>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ATM 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Received Per Share,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Proceeds</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$799</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$434</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$1,308</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$675</w:t>
            </w:r>
          </w:p>
        </w:tc>
      </w:tr>
    </w:tbl>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accumulated OCI for the three and six months ended June 30, 2025 and 2024 (in millions):</w:t>
      </w:r>
    </w:p>
    <w:tbl>
      <w:tblPr>
        <w:tblW w:w="10205" w:type="dxa"/>
        <w:jc w:val="center"/>
        <w:tblInd w:w="0" w:type="dxa"/>
        <w:tblLayout w:type="fixed"/>
        <w:tblCellMar>
          <w:top w:w="28" w:type="dxa"/>
          <w:left w:w="28" w:type="dxa"/>
          <w:bottom w:w="28" w:type="dxa"/>
          <w:right w:w="28" w:type="dxa"/>
        </w:tblCellMar>
      </w:tblPr>
      <w:tblGrid>
        <w:gridCol w:w="2065"/>
        <w:gridCol w:w="1744"/>
        <w:gridCol w:w="1748"/>
        <w:gridCol w:w="109"/>
        <w:gridCol w:w="109"/>
        <w:gridCol w:w="109"/>
        <w:gridCol w:w="196"/>
        <w:gridCol w:w="463"/>
        <w:gridCol w:w="109"/>
        <w:gridCol w:w="109"/>
        <w:gridCol w:w="109"/>
        <w:gridCol w:w="109"/>
        <w:gridCol w:w="196"/>
        <w:gridCol w:w="463"/>
        <w:gridCol w:w="109"/>
        <w:gridCol w:w="109"/>
        <w:gridCol w:w="109"/>
        <w:gridCol w:w="109"/>
        <w:gridCol w:w="196"/>
        <w:gridCol w:w="463"/>
        <w:gridCol w:w="109"/>
        <w:gridCol w:w="109"/>
        <w:gridCol w:w="109"/>
        <w:gridCol w:w="109"/>
        <w:gridCol w:w="196"/>
        <w:gridCol w:w="463"/>
        <w:gridCol w:w="109"/>
        <w:gridCol w:w="109"/>
        <w:gridCol w:w="159"/>
      </w:tblGrid>
      <w:tr>
        <w:trPr/>
        <w:tc>
          <w:tcPr>
            <w:tcW w:w="2065"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Beginning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amounts for available-for-sale securities reclassified from accumulated OCI to realized gain (loss) on sale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serif" w:hAnsi="Times New Roman;serif"/>
          <w:b w:val="false"/>
          <w:i/>
          <w:color w:val="000000"/>
          <w:sz w:val="20"/>
        </w:rPr>
        <w:t>Derivative and Other Hedging Instruments</w:t>
      </w:r>
      <w:r>
        <w:rPr>
          <w:rFonts w:ascii="Times New Roman;serif" w:hAnsi="Times New Roman;serif"/>
          <w:b w:val="false"/>
          <w:color w:val="000000"/>
          <w:sz w:val="20"/>
        </w:rPr>
        <w:t>; our ability to hedge certain risks; and our intention to qualify as a REIT. Consequently, the Company operates as a single reportable segment, as reflected in the accompanying consolidated financial statements and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tangible stockholders’ equity attributable to common stockholders, each computed on a per common share basis.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2025. Our MD&amp;A is presented in the following sections: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Financial Condition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Off-Balance Sheet Arrangements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Website and Social Media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 </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Trends and Recent Market Impacts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Trends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Financial markets experienced significant volatility during the second quarter of 2025 following the Administration's "Liberation Day" tariff announcements in early April and concerns about their potential adverse impact on the economy and monetary policy. This volatility resulted in a sharp repricing across asset classes, with the yield on the 10-year U.S. Treasury yield fluctuating by more than 100 basis points and the S&amp;P 500 declining 12% during the first three weeks of April. While most asset classes recovered and ended the quarter at higher valuation levels, Agency RMBS were a notable exception, with spreads to benchmark rates ending the quarter moderately wider. Agency RMBS weakness over the second quarter was attributable to multiple factors, including significant rate volatility, relatively weak demand technicals, and the steepening yield curve, which was driven primarily by increases in long-term interest rates. As a result of this underperformance, AGNC's economic return for the quarter was -1.0%.</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Looking ahead, several factors underpin our constructive outlook for Agency RMBS performance: anticipated bank regulatory reforms that are expected to drive increased bank demand, improved supply dynamics as seasonal pressures subside, and persistently high mortgage rates, which are expected to temper prepayment activity. Further, mortgage spreads to interest rate benchmarks have continued to stabilize since quarter-end at levels that are both elevated by historical standards and range-bound, a favorable environment for levered and hedged investors in Agency RMBS. In addition, and perhaps most importantly, statements from key policymakers during the quarter reaffirmed the government's commitment to preserving the credit quality of Agency RMBS and maintaining stability in the mortgage market amid potential GSE reform. Importantly, the President,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Treasury Secretary, and FHFA Director collectively emphasized a "do no harm" approach to GSE reform and an intent to avoid actions that could put upward pressure on mortgage spreads. The President specifically stated that the government would maintain the implicit guarantee of the GSEs and, by extension, Agency RMBS in connection with any privatization of the GSEs. These statements should provide investors greater confidence in the asset class and contribute to tighter mortgage spreads over time.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these developments—stabilizing spreads at historically wide levels, manageable supply, anticipated regulatory reforms to drive greater bank demand, and the reduced risk of adverse consequences of GSE reform—provide a highly constructive backdrop for Agency RMBS as a fixed income asset class.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Portfolio and Summary Financial Results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second quarter, AGNC had a total comprehensive loss of $(0.13) per diluted common share and an economic loss of -1.0% on tangible common equity, comprised of $0.36 in dividends declared per common share and a $(0.44) decrease in tangible net book value per common share. For the first half of 2025, AGNC had a total comprehensive loss of $(0.02) per diluted common share and an economic return of 1.4%, consisting of $0.72 in dividends per common share and a $(0.60) decrease in tangible net book value per common share.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As a result of our risk management positioning and ample liquidity at the end of the first quarter, AGNC was able to navigate the substantial financial market volatility in April with our portfolio intact. Capitalizing on the wider spread environment, we also opportunistically raised $799 million of accretive capital through our At-the-Market offering program during the second quarter. As of June 30, 2025, slightly less than half of the new capital had been deployed, primarily into higher-coupon specified pools with favorable prepayment attributes.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Our investment portfolio increased $3.4 billion during the quarter to $82.3 billion as of June 30, 2025. We concluded the quarter with tangible "at risk" leverage of 7.6x, compared to 7.5x as of March 31, 2025, and a substantial liquidity position of $6.4 billion in unencumbered cash and Agency RMBS, representing 65% of tangible equity, up from 63% as of the first quarter.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Hedge performance varied by instrument during the second quarter, with longer-dated Treasury-based hedges outperforming shorter-term swap-based hedges amid the steepening yield curve. As of June 30, 2025, our interest rate hedges equaled 89% of the outstanding balance of our repurchase agreements used to fund our investment portfolio ("Investment Securities Repo"), TBA position, and other debt, compared to 91% as of March 31, 2025. On a duration-dollar (or interest rate sensitivity) basis, interest rate swaps and U.S. Treasury-based hedges comprised 54% and 46%, respectively, of our hedge portfolio, versus 61% and 39%, respectively, at the end of the first quarter. Our duration gap, —which measures the estimated difference between the interest rate sensitivity of our assets and liabilities, inclusive of interest rate hedges—was 0.2 years at quarter-end, compared to 0.4 years as of March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spread and dollar roll income (a non-GAAP measure) for the second quarter decreased by $0.06 to $0.38 per common share, primarily due to the timing of capital deployment and moderately higher swap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average projected life CPR of our portfolio declined to 7.8% at quarter-end from 8.3% as of March 31, 2025, consistent with the steeper yield curve. Actual CPRs averaged 8.7% for the quarter, up from 7.0% in the first quarter.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this form 10-Q.</w:t>
      </w:r>
    </w:p>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1.Specified pools with favorable prepayment attributes include: (i) specified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and (ii) other pools backed by loans with credit, loan balances, geographies, occupancy types, and other characteristics that exhibit favorable prepayment behavior.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60"/>
        <w:jc w:val="both"/>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benchmark interest rates and prices of generic fixed rate Agency RMBS as of each date presented below: </w:t>
      </w:r>
    </w:p>
    <w:tbl>
      <w:tblPr>
        <w:tblW w:w="10205" w:type="dxa"/>
        <w:jc w:val="left"/>
        <w:tblInd w:w="0" w:type="dxa"/>
        <w:tblLayout w:type="fixed"/>
        <w:tblCellMar>
          <w:top w:w="28" w:type="dxa"/>
          <w:left w:w="28" w:type="dxa"/>
          <w:bottom w:w="28" w:type="dxa"/>
          <w:right w:w="28" w:type="dxa"/>
        </w:tblCellMar>
      </w:tblPr>
      <w:tblGrid>
        <w:gridCol w:w="693"/>
        <w:gridCol w:w="497"/>
        <w:gridCol w:w="502"/>
        <w:gridCol w:w="109"/>
        <w:gridCol w:w="109"/>
        <w:gridCol w:w="109"/>
        <w:gridCol w:w="374"/>
        <w:gridCol w:w="239"/>
        <w:gridCol w:w="230"/>
        <w:gridCol w:w="109"/>
        <w:gridCol w:w="109"/>
        <w:gridCol w:w="109"/>
        <w:gridCol w:w="379"/>
        <w:gridCol w:w="235"/>
        <w:gridCol w:w="235"/>
        <w:gridCol w:w="109"/>
        <w:gridCol w:w="109"/>
        <w:gridCol w:w="109"/>
        <w:gridCol w:w="364"/>
        <w:gridCol w:w="249"/>
        <w:gridCol w:w="221"/>
        <w:gridCol w:w="109"/>
        <w:gridCol w:w="109"/>
        <w:gridCol w:w="109"/>
        <w:gridCol w:w="379"/>
        <w:gridCol w:w="235"/>
        <w:gridCol w:w="235"/>
        <w:gridCol w:w="109"/>
        <w:gridCol w:w="109"/>
        <w:gridCol w:w="109"/>
        <w:gridCol w:w="374"/>
        <w:gridCol w:w="239"/>
        <w:gridCol w:w="230"/>
        <w:gridCol w:w="109"/>
        <w:gridCol w:w="109"/>
        <w:gridCol w:w="109"/>
        <w:gridCol w:w="210"/>
        <w:gridCol w:w="211"/>
        <w:gridCol w:w="137"/>
        <w:gridCol w:w="150"/>
        <w:gridCol w:w="137"/>
        <w:gridCol w:w="137"/>
        <w:gridCol w:w="109"/>
        <w:gridCol w:w="109"/>
        <w:gridCol w:w="109"/>
        <w:gridCol w:w="203"/>
        <w:gridCol w:w="203"/>
        <w:gridCol w:w="134"/>
        <w:gridCol w:w="147"/>
        <w:gridCol w:w="134"/>
        <w:gridCol w:w="203"/>
      </w:tblGrid>
      <w:tr>
        <w:trPr/>
        <w:tc>
          <w:tcPr>
            <w:tcW w:w="6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Rate/Security Price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2024</w:t>
            </w:r>
          </w:p>
        </w:tc>
      </w:tr>
      <w:tr>
        <w:trPr/>
        <w:tc>
          <w:tcPr>
            <w:tcW w:w="1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Target Federal Funds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Target Federal Funds Rate - Upper 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 Interest Rate Swap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 Treasury Security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30-Year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+$1.69</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+$1.70</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+$1.69</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+$1.59</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+$1.38</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+$1.18</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15-Year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+$3.04</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+$3.04</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+$2.55</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+$2.22</w:t>
            </w:r>
          </w:p>
        </w:tc>
      </w:tr>
      <w:tr>
        <w:trPr/>
        <w:tc>
          <w:tcPr>
            <w:tcW w:w="1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w:t>
            </w:r>
          </w:p>
        </w:tc>
      </w:tr>
      <w:tr>
        <w:trPr/>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w:t>
            </w:r>
          </w:p>
        </w:tc>
      </w:tr>
    </w:tbl>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mortgage and credit spreads as of each date presented below: </w:t>
      </w:r>
    </w:p>
    <w:tbl>
      <w:tblPr>
        <w:tblW w:w="10205" w:type="dxa"/>
        <w:jc w:val="left"/>
        <w:tblInd w:w="0" w:type="dxa"/>
        <w:tblLayout w:type="fixed"/>
        <w:tblCellMar>
          <w:top w:w="28" w:type="dxa"/>
          <w:left w:w="28" w:type="dxa"/>
          <w:bottom w:w="28" w:type="dxa"/>
          <w:right w:w="28" w:type="dxa"/>
        </w:tblCellMar>
      </w:tblPr>
      <w:tblGrid>
        <w:gridCol w:w="888"/>
        <w:gridCol w:w="783"/>
        <w:gridCol w:w="786"/>
        <w:gridCol w:w="109"/>
        <w:gridCol w:w="109"/>
        <w:gridCol w:w="109"/>
        <w:gridCol w:w="228"/>
        <w:gridCol w:w="228"/>
        <w:gridCol w:w="229"/>
        <w:gridCol w:w="109"/>
        <w:gridCol w:w="109"/>
        <w:gridCol w:w="109"/>
        <w:gridCol w:w="233"/>
        <w:gridCol w:w="233"/>
        <w:gridCol w:w="234"/>
        <w:gridCol w:w="109"/>
        <w:gridCol w:w="109"/>
        <w:gridCol w:w="109"/>
        <w:gridCol w:w="218"/>
        <w:gridCol w:w="218"/>
        <w:gridCol w:w="220"/>
        <w:gridCol w:w="109"/>
        <w:gridCol w:w="109"/>
        <w:gridCol w:w="109"/>
        <w:gridCol w:w="233"/>
        <w:gridCol w:w="233"/>
        <w:gridCol w:w="234"/>
        <w:gridCol w:w="109"/>
        <w:gridCol w:w="109"/>
        <w:gridCol w:w="109"/>
        <w:gridCol w:w="228"/>
        <w:gridCol w:w="228"/>
        <w:gridCol w:w="229"/>
        <w:gridCol w:w="109"/>
        <w:gridCol w:w="109"/>
        <w:gridCol w:w="109"/>
        <w:gridCol w:w="190"/>
        <w:gridCol w:w="158"/>
        <w:gridCol w:w="137"/>
        <w:gridCol w:w="149"/>
        <w:gridCol w:w="137"/>
        <w:gridCol w:w="137"/>
        <w:gridCol w:w="109"/>
        <w:gridCol w:w="109"/>
        <w:gridCol w:w="109"/>
        <w:gridCol w:w="195"/>
        <w:gridCol w:w="196"/>
        <w:gridCol w:w="134"/>
        <w:gridCol w:w="182"/>
        <w:gridCol w:w="182"/>
        <w:gridCol w:w="236"/>
      </w:tblGrid>
      <w:tr>
        <w:trPr/>
        <w:tc>
          <w:tcPr>
            <w:tcW w:w="8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Rate/Credit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2024</w:t>
            </w:r>
          </w:p>
        </w:tc>
      </w:tr>
      <w:tr>
        <w:trPr/>
        <w:tc>
          <w:tcPr>
            <w:tcW w:w="2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Mortgage Rate: </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10-Year U.S. Treasury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3/5/10-Year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3/5/10-Year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Mortgage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Credit Spread (in bps): </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M2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lineRule="auto" w:line="288" w:before="1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1.30-Year Current Coupon Yield represents the yield on new production Agency RMBS. 30-Year Current Coupon Yields are sourced from Bloomberg and 30-Year Mortgage Rates are sourced from Clear Blue.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2.CRT and CDX spreads sourced from JP Morgan. CMBS spreads are the average of spreads sourced from Bank of America, JP Morgan and Wells Fargo.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our investment portfolio totaled $82.3 billion and $73.3 billion, respectively, consisting of: $73.3 billion and $65.5 billion Agency RMBS, at fair value, respectively; $8.3 billion and $6.9 billion net TBA securities, at fair value, respectively; $0.7 billion and $0.9 billion CRT, non-Agency RMBS and CMBS, at fair value, respectively; and other mortgage credit investments of $66 million and $64 million, respectively, which we account for under the equity method of accounting. The following table is a summary of our investment securities (including TBA securities) as of June 30, 2025 and December 31, 2024 (dollars in millions): </w:t>
      </w:r>
    </w:p>
    <w:tbl>
      <w:tblPr>
        <w:tblW w:w="10770" w:type="dxa"/>
        <w:jc w:val="center"/>
        <w:tblInd w:w="0" w:type="dxa"/>
        <w:tblLayout w:type="fixed"/>
        <w:tblCellMar>
          <w:top w:w="28" w:type="dxa"/>
          <w:left w:w="28" w:type="dxa"/>
          <w:bottom w:w="28" w:type="dxa"/>
          <w:right w:w="28" w:type="dxa"/>
        </w:tblCellMar>
      </w:tblPr>
      <w:tblGrid>
        <w:gridCol w:w="527"/>
        <w:gridCol w:w="291"/>
        <w:gridCol w:w="293"/>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86"/>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Securities (Includes TBAs)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20-year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TBA securities,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strips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CMO Agency RMBS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Agency RMBS and TBA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CMBS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investment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$66 million and $64 million as of June 30, 2025 and December 31,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2.TBA securities are presented net of long and short positions. For further details of our TBA securities refer to Note 5 of our Consolidated Financial Statements in this Form 10-Q</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coupon excludes interest-only and principal-only securities.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TBA securities are recorded as derivative instruments in our accompanying consolidated financial statements, and our TBA dollar roll transactions represent a form of off-balance sheet financing. As of June 30, 2025 and December 31, 2024, our TBA securities had a net carrying value of $101 million and $(26)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weighted average yield on our investment securities (excluding TBA and forward settling securities) was 4.92% and 4.77%,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certain characteristics of our fixed rate Agency RMBS portfolio, inclusive of TBA securities, as of June 30, 2025 and December 31, 2024 (dollars in millions): </w:t>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June 30, 2025, lower balance specified pools had a weighted average original loan balance of $188,000 and $140,000 for 15-year and 30-year securities, respectively, and HARP pools had a weighted average original LTV of 128% and 141% for 15-year and 30-year securities,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2.Portfolio yield incorporates a projected life CPR based on forward rate assumptions as of June 30, 2025.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1.96%</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lineRule="auto" w:line="288" w:before="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 of the preceding table for specified pool composition. As of December 31, 2024, lower balance specified pools had a weighted average original loan balance of $188,000 and $148,000 for 15-year and 30-year securities, respectively, and HARP pools had a weighted average original LTV of 128% and 141% for 15-year and 30-year securities,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2.Portfolio yield incorporates a projected life CPR based on forward rate assumptions as of December 31,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our CRT and non-Agency securities, including credit ratings, as of June 30, 2025 and December 31, 2024, please refer to Note 3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spread and dollar roll income available to common stockholders" includes (i) the components of "economic interest income" and "economic interest expense", plus (ii) other interest income/expense, and less (iii) total operating expenses and dividends on preferred stock (GAAP measures).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Specifically, in the case "net spread and dollar roll income available to common stockholders" and components of such measure, "economic interest income" and "economic interest expense,"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as interest rate swaps are the primary instrument we use to economically hedge against fluctuations in our borrowing costs, and it is more indicative of our total cost of funds than interest expense alone. Additionally, we believe the exclusion of "catch-up" premium amortization adjustments is meaningful as it excludes the cumulative effect from prior reporting periods due to current changes in future prepayment expectations and, therefore, exclusion of such adjustments is more indicative of the current earnings potential of our investment portfolio.</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Selected Financial Data</w:t>
      </w:r>
    </w:p>
    <w:p>
      <w:pPr>
        <w:pStyle w:val="TextBody"/>
        <w:bidi w:val="0"/>
        <w:spacing w:before="0" w:after="0"/>
        <w:jc w:val="both"/>
        <w:rPr/>
      </w:pPr>
      <w:r>
        <w:rPr/>
      </w:r>
    </w:p>
    <w:p>
      <w:pPr>
        <w:pStyle w:val="TextBody"/>
        <w:bidi w:val="0"/>
        <w:spacing w:lineRule="auto" w:line="268" w:before="0" w:after="0"/>
        <w:ind w:left="0" w:right="0" w:firstLine="495"/>
        <w:jc w:val="both"/>
        <w:rPr/>
      </w:pPr>
      <w:r>
        <w:rPr>
          <w:rFonts w:ascii="Times New Roman;serif" w:hAnsi="Times New Roman;serif"/>
          <w:b w:val="false"/>
          <w:color w:val="000000"/>
          <w:sz w:val="20"/>
        </w:rPr>
        <w:t xml:space="preserve">The following selected financial data is derived from our interim consolidated financial statements and the notes thereto. The selected financial data should be read in conjunction with the more detailed information contained in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and in this Item 2.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619"/>
        <w:gridCol w:w="2270"/>
        <w:gridCol w:w="2279"/>
        <w:gridCol w:w="109"/>
        <w:gridCol w:w="109"/>
        <w:gridCol w:w="109"/>
        <w:gridCol w:w="196"/>
        <w:gridCol w:w="736"/>
        <w:gridCol w:w="109"/>
        <w:gridCol w:w="109"/>
        <w:gridCol w:w="109"/>
        <w:gridCol w:w="109"/>
        <w:gridCol w:w="221"/>
        <w:gridCol w:w="732"/>
        <w:gridCol w:w="123"/>
        <w:gridCol w:w="109"/>
        <w:gridCol w:w="157"/>
      </w:tblGrid>
      <w:tr>
        <w:trPr/>
        <w:tc>
          <w:tcPr>
            <w:tcW w:w="261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69" w:type="dxa"/>
            <w:gridSpan w:val="8"/>
            <w:tcBorders/>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securities, at fair value of $73,979 and $66,348, respectively, and other mortgage credit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book value per common share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Tangible net book value per common share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94"/>
        <w:gridCol w:w="1665"/>
        <w:gridCol w:w="1667"/>
        <w:gridCol w:w="109"/>
        <w:gridCol w:w="109"/>
        <w:gridCol w:w="109"/>
        <w:gridCol w:w="196"/>
        <w:gridCol w:w="537"/>
        <w:gridCol w:w="109"/>
        <w:gridCol w:w="109"/>
        <w:gridCol w:w="109"/>
        <w:gridCol w:w="109"/>
        <w:gridCol w:w="196"/>
        <w:gridCol w:w="536"/>
        <w:gridCol w:w="109"/>
        <w:gridCol w:w="109"/>
        <w:gridCol w:w="109"/>
        <w:gridCol w:w="109"/>
        <w:gridCol w:w="196"/>
        <w:gridCol w:w="556"/>
        <w:gridCol w:w="109"/>
        <w:gridCol w:w="109"/>
        <w:gridCol w:w="109"/>
        <w:gridCol w:w="109"/>
        <w:gridCol w:w="196"/>
        <w:gridCol w:w="556"/>
        <w:gridCol w:w="109"/>
        <w:gridCol w:w="109"/>
        <w:gridCol w:w="157"/>
      </w:tblGrid>
      <w:tr>
        <w:trPr/>
        <w:tc>
          <w:tcPr>
            <w:tcW w:w="189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Statement of Comprehensive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3"/>
        <w:gridCol w:w="1338"/>
        <w:gridCol w:w="1349"/>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56"/>
      </w:tblGrid>
      <w:tr>
        <w:trPr/>
        <w:tc>
          <w:tcPr>
            <w:tcW w:w="155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Six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Data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assets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repurchase agreements and other debt outstanding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stockholders' equity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tangible net book value "at risk" leverage </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Tangible net book value "at risk" leverage </w:t>
            </w:r>
            <w:r>
              <w:rPr>
                <w:rFonts w:ascii="Times New Roman;serif" w:hAnsi="Times New Roman;serif"/>
                <w:b w:val="false"/>
                <w:i/>
                <w:color w:val="000000"/>
                <w:sz w:val="16"/>
              </w:rPr>
              <w:t>(as of period end)</w:t>
            </w:r>
            <w:r>
              <w:rPr>
                <w:color w:val="000000"/>
              </w:rPr>
              <w:t xml:space="preserve"> </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return on tangible common equity </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total assets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assets, including average net TBA position - annualized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stockholders' equity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 Except as noted below, average numbers for each period are weighted based on days on our books and records.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book value per common share is calculated as total stockholders' equity, less preferred stock liquidation preference, divided by number of common shares outstanding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2.Tangible net book value per common share excludes goodwill.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3.Amount represents the daily weighted average repurchase agreements outstanding for the period used to fund our investment securities and other debt. Amount excludes U.S. Treasury repurchase agreements and TBA contracts. Other debt includes debt of consolidated VIEs.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4.Average stockholders' equity calculated as average month-ended stockholders' equity during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7.Economic return on tangible common equity represents the sum of the change in tangible net book value per common share and dividends declared per share of common stock during the period over beginning tangible net book value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Economic Interest Income and Asset Yields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income (a non-GAAP measure) for the three and six months ended June 30, 2025 and 2024,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 </w:t>
      </w:r>
    </w:p>
    <w:tbl>
      <w:tblPr>
        <w:tblW w:w="10793" w:type="dxa"/>
        <w:jc w:val="center"/>
        <w:tblInd w:w="0" w:type="dxa"/>
        <w:tblLayout w:type="fixed"/>
        <w:tblCellMar>
          <w:top w:w="28" w:type="dxa"/>
          <w:left w:w="28" w:type="dxa"/>
          <w:bottom w:w="28" w:type="dxa"/>
          <w:right w:w="28" w:type="dxa"/>
        </w:tblCellMar>
      </w:tblPr>
      <w:tblGrid>
        <w:gridCol w:w="588"/>
        <w:gridCol w:w="201"/>
        <w:gridCol w:w="202"/>
        <w:gridCol w:w="109"/>
        <w:gridCol w:w="109"/>
        <w:gridCol w:w="109"/>
        <w:gridCol w:w="196"/>
        <w:gridCol w:w="421"/>
        <w:gridCol w:w="241"/>
        <w:gridCol w:w="109"/>
        <w:gridCol w:w="109"/>
        <w:gridCol w:w="109"/>
        <w:gridCol w:w="240"/>
        <w:gridCol w:w="241"/>
        <w:gridCol w:w="253"/>
        <w:gridCol w:w="109"/>
        <w:gridCol w:w="109"/>
        <w:gridCol w:w="109"/>
        <w:gridCol w:w="196"/>
        <w:gridCol w:w="421"/>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221"/>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548" w:type="dxa"/>
            <w:gridSpan w:val="4"/>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Cash/coupon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 amortization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(0.32)</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cost (benefit) due to change in CPR forecast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TBA dollar roll income - implied interest income </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income (non-GAAP measure)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actual portfolio CPR for investment securities held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projected CPR for the remaining life of investment securities held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fixed rate mortgage rate as of period end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10-year U.S. Treasury rate as of period end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2.Implied interest income from TBA dollar roll transactions is computed as the sum of (i) TBA dollar roll income and (ii) estimated TBA implied funding cost (see </w:t>
      </w:r>
      <w:r>
        <w:rPr>
          <w:rFonts w:ascii="Times New Roman;serif" w:hAnsi="Times New Roman;serif"/>
          <w:b w:val="false"/>
          <w:i/>
          <w:color w:val="000000"/>
          <w:sz w:val="16"/>
        </w:rPr>
        <w:t>Economic Interest Expense and Aggregate Cost of Funds</w:t>
      </w:r>
      <w:r>
        <w:rPr>
          <w:color w:val="000000"/>
        </w:rPr>
        <w:t xml:space="preserve"> </w:t>
      </w:r>
      <w:r>
        <w:rPr>
          <w:rFonts w:ascii="Times New Roman;serif" w:hAnsi="Times New Roman;serif"/>
          <w:b w:val="false"/>
          <w:color w:val="000000"/>
          <w:sz w:val="16"/>
        </w:rPr>
        <w:t>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combined asset yield is calculated on a weighted average basis based on our average investment and TBA balances outstanding during the period and their respective yields.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4.30-year fixed rate mortgage rates are sourced from Optimal Blue. 10-year U.S. Treasury rates are sourced from Bloomberg.</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six months ended June 30, 2025 compared to the prior year period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88"/>
        <w:gridCol w:w="1604"/>
        <w:gridCol w:w="1620"/>
        <w:gridCol w:w="177"/>
        <w:gridCol w:w="177"/>
        <w:gridCol w:w="177"/>
        <w:gridCol w:w="333"/>
        <w:gridCol w:w="686"/>
        <w:gridCol w:w="177"/>
        <w:gridCol w:w="177"/>
        <w:gridCol w:w="177"/>
        <w:gridCol w:w="177"/>
        <w:gridCol w:w="325"/>
        <w:gridCol w:w="686"/>
        <w:gridCol w:w="177"/>
        <w:gridCol w:w="177"/>
        <w:gridCol w:w="177"/>
        <w:gridCol w:w="177"/>
        <w:gridCol w:w="319"/>
        <w:gridCol w:w="539"/>
        <w:gridCol w:w="258"/>
      </w:tblGrid>
      <w:tr>
        <w:trPr/>
        <w:tc>
          <w:tcPr>
            <w:tcW w:w="188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Impacting Economic Interest Income</w:t>
            </w:r>
          </w:p>
        </w:tc>
      </w:tr>
      <w:tr>
        <w:trPr/>
        <w:tc>
          <w:tcPr>
            <w:tcW w:w="5112" w:type="dxa"/>
            <w:gridSpan w:val="3"/>
            <w:tcBorders/>
            <w:vAlign w:val="center"/>
          </w:tcPr>
          <w:p>
            <w:pPr>
              <w:pStyle w:val="TableContents"/>
              <w:bidi w:val="0"/>
              <w:spacing w:before="0" w:after="283"/>
              <w:jc w:val="left"/>
              <w:rPr>
                <w:sz w:val="4"/>
                <w:szCs w:val="4"/>
              </w:rPr>
            </w:pPr>
            <w:r>
              <w:rPr>
                <w:sz w:val="4"/>
                <w:szCs w:val="4"/>
              </w:rPr>
            </w:r>
          </w:p>
        </w:tc>
        <w:tc>
          <w:tcPr>
            <w:tcW w:w="5093" w:type="dxa"/>
            <w:gridSpan w:val="18"/>
            <w:tcBorders/>
          </w:tcPr>
          <w:p>
            <w:pPr>
              <w:pStyle w:val="TableContents"/>
              <w:bidi w:val="0"/>
              <w:spacing w:before="0" w:after="283"/>
              <w:jc w:val="left"/>
              <w:rPr>
                <w:sz w:val="4"/>
                <w:szCs w:val="4"/>
              </w:rPr>
            </w:pPr>
            <w:r>
              <w:rPr>
                <w:sz w:val="4"/>
                <w:szCs w:val="4"/>
              </w:rPr>
            </w:r>
          </w:p>
        </w:tc>
      </w:tr>
      <w:tr>
        <w:trPr/>
        <w:tc>
          <w:tcPr>
            <w:tcW w:w="5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"catch-up" premium amortization due to change in CPR forecast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due to change in CPR forecast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average investment portfolio (at cost), inclusive of TBAs, increased 21% and 23% for the three and six months ended June 30, 2025, respectively, compared to the prior year period, primarily due to an increase in our capital base. The average yield on our investment portfolio, including TBA implied asset yields and excluding "catch-up" premium amortization, increased 18 and 24 basis points for the three and six months ended June 30, 2025, respectively, largely as a result of shifting our asset portfolio from lower coupon holdings toward a greater share of higher coupon, specified pools.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serif" w:hAnsi="Times New Roman;serif"/>
          <w:b w:val="false"/>
          <w:i/>
          <w:color w:val="000000"/>
          <w:sz w:val="20"/>
        </w:rPr>
        <w:t xml:space="preserve">Liquidity and Capital Resources </w:t>
      </w:r>
      <w:r>
        <w:rPr>
          <w:rFonts w:ascii="Times New Roman;serif" w:hAnsi="Times New Roman;serif"/>
          <w:b w:val="false"/>
          <w:color w:val="000000"/>
          <w:sz w:val="20"/>
        </w:rPr>
        <w:t xml:space="preserve">in this Form 10-Q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 </w:t>
      </w:r>
    </w:p>
    <w:tbl>
      <w:tblPr>
        <w:tblW w:w="10205" w:type="dxa"/>
        <w:jc w:val="center"/>
        <w:tblInd w:w="0" w:type="dxa"/>
        <w:tblLayout w:type="fixed"/>
        <w:tblCellMar>
          <w:top w:w="28" w:type="dxa"/>
          <w:left w:w="28" w:type="dxa"/>
          <w:bottom w:w="28" w:type="dxa"/>
          <w:right w:w="28" w:type="dxa"/>
        </w:tblCellMar>
      </w:tblPr>
      <w:tblGrid>
        <w:gridCol w:w="489"/>
        <w:gridCol w:w="254"/>
        <w:gridCol w:w="257"/>
        <w:gridCol w:w="109"/>
        <w:gridCol w:w="109"/>
        <w:gridCol w:w="109"/>
        <w:gridCol w:w="199"/>
        <w:gridCol w:w="658"/>
        <w:gridCol w:w="110"/>
        <w:gridCol w:w="110"/>
        <w:gridCol w:w="110"/>
        <w:gridCol w:w="110"/>
        <w:gridCol w:w="199"/>
        <w:gridCol w:w="658"/>
        <w:gridCol w:w="110"/>
        <w:gridCol w:w="110"/>
        <w:gridCol w:w="110"/>
        <w:gridCol w:w="110"/>
        <w:gridCol w:w="199"/>
        <w:gridCol w:w="658"/>
        <w:gridCol w:w="110"/>
        <w:gridCol w:w="109"/>
        <w:gridCol w:w="109"/>
        <w:gridCol w:w="109"/>
        <w:gridCol w:w="196"/>
        <w:gridCol w:w="647"/>
        <w:gridCol w:w="109"/>
        <w:gridCol w:w="109"/>
        <w:gridCol w:w="109"/>
        <w:gridCol w:w="109"/>
        <w:gridCol w:w="196"/>
        <w:gridCol w:w="556"/>
        <w:gridCol w:w="109"/>
        <w:gridCol w:w="109"/>
        <w:gridCol w:w="109"/>
        <w:gridCol w:w="109"/>
        <w:gridCol w:w="342"/>
        <w:gridCol w:w="342"/>
        <w:gridCol w:w="343"/>
        <w:gridCol w:w="109"/>
        <w:gridCol w:w="109"/>
        <w:gridCol w:w="109"/>
        <w:gridCol w:w="337"/>
        <w:gridCol w:w="337"/>
        <w:gridCol w:w="495"/>
      </w:tblGrid>
      <w:tr>
        <w:trPr/>
        <w:tc>
          <w:tcPr>
            <w:tcW w:w="4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Investment Securities Repurchase Agreements and Other Debt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TBA Position</w:t>
              <w:br/>
              <w:t xml:space="preserve">Long/(Short) </w:t>
            </w:r>
            <w:r>
              <w:rPr>
                <w:rFonts w:ascii="Times New Roman;serif" w:hAnsi="Times New Roman;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Average Tangible Net Book Value </w:t>
            </w:r>
          </w:p>
          <w:p>
            <w:pPr>
              <w:pStyle w:val="TableContents"/>
              <w:bidi w:val="0"/>
              <w:spacing w:lineRule="auto" w:line="240" w:before="0" w:after="0"/>
              <w:jc w:val="center"/>
              <w:rPr/>
            </w:pPr>
            <w:r>
              <w:rPr>
                <w:rFonts w:ascii="Times New Roman;serif" w:hAnsi="Times New Roman;serif"/>
                <w:b/>
                <w:color w:val="000000"/>
                <w:sz w:val="14"/>
              </w:rPr>
              <w:t xml:space="preserve">"At Risk" Leverage during the Period </w:t>
            </w:r>
            <w:r>
              <w:rPr>
                <w:rFonts w:ascii="Times New Roman;serif" w:hAnsi="Times New Roman;serif"/>
                <w:b/>
                <w:color w:val="000000"/>
                <w:sz w:val="9"/>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Tangible Net Book Value "At Risk" Leverage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as of</w:t>
            </w:r>
          </w:p>
          <w:p>
            <w:pPr>
              <w:pStyle w:val="TableContents"/>
              <w:bidi w:val="0"/>
              <w:spacing w:lineRule="auto" w:line="240" w:before="0" w:after="0"/>
              <w:jc w:val="center"/>
              <w:rPr/>
            </w:pPr>
            <w:r>
              <w:rPr>
                <w:rFonts w:ascii="Times New Roman;serif" w:hAnsi="Times New Roman;serif"/>
                <w:b/>
                <w:color w:val="000000"/>
                <w:sz w:val="14"/>
              </w:rPr>
              <w:t xml:space="preserve">Period End </w:t>
            </w:r>
            <w:r>
              <w:rPr>
                <w:rFonts w:ascii="Times New Roman;serif" w:hAnsi="Times New Roman;serif"/>
                <w:b/>
                <w:color w:val="000000"/>
                <w:sz w:val="9"/>
              </w:rPr>
              <w:t>4</w:t>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Daily 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7.1:1</w:t>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debt includes debt of consolidated VIEs. Amounts exclude U.S. Treasury Repo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2.Daily average and ending net TBA position outstanding measured at cost. Includes forward settling non-Agency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i/>
          <w:color w:val="000000"/>
          <w:sz w:val="20"/>
        </w:rPr>
        <w:t>Economic Interest Expense and Aggregate Cost of Funds</w:t>
      </w:r>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expense and aggregate cost of funds (non-GAAP measures) for the three and six months ended June 30, 2025 and 2024 (dollars in millions), which includes the combination of interest expense on repurchase agreements and other debt used to fund acquisitions of investment securities (GAAP measure), implied financing cost of our TBA securities and interest rate swap periodic income: </w:t>
      </w:r>
    </w:p>
    <w:tbl>
      <w:tblPr>
        <w:tblW w:w="10296" w:type="dxa"/>
        <w:jc w:val="center"/>
        <w:tblInd w:w="0" w:type="dxa"/>
        <w:tblLayout w:type="fixed"/>
        <w:tblCellMar>
          <w:top w:w="28" w:type="dxa"/>
          <w:left w:w="28" w:type="dxa"/>
          <w:bottom w:w="28" w:type="dxa"/>
          <w:right w:w="28" w:type="dxa"/>
        </w:tblCellMar>
      </w:tblPr>
      <w:tblGrid>
        <w:gridCol w:w="396"/>
        <w:gridCol w:w="282"/>
        <w:gridCol w:w="283"/>
        <w:gridCol w:w="109"/>
        <w:gridCol w:w="109"/>
        <w:gridCol w:w="109"/>
        <w:gridCol w:w="196"/>
        <w:gridCol w:w="421"/>
        <w:gridCol w:w="109"/>
        <w:gridCol w:w="109"/>
        <w:gridCol w:w="109"/>
        <w:gridCol w:w="109"/>
        <w:gridCol w:w="262"/>
        <w:gridCol w:w="219"/>
        <w:gridCol w:w="285"/>
        <w:gridCol w:w="109"/>
        <w:gridCol w:w="109"/>
        <w:gridCol w:w="109"/>
        <w:gridCol w:w="196"/>
        <w:gridCol w:w="421"/>
        <w:gridCol w:w="109"/>
        <w:gridCol w:w="109"/>
        <w:gridCol w:w="109"/>
        <w:gridCol w:w="109"/>
        <w:gridCol w:w="262"/>
        <w:gridCol w:w="219"/>
        <w:gridCol w:w="285"/>
        <w:gridCol w:w="109"/>
        <w:gridCol w:w="109"/>
        <w:gridCol w:w="109"/>
        <w:gridCol w:w="196"/>
        <w:gridCol w:w="556"/>
        <w:gridCol w:w="109"/>
        <w:gridCol w:w="109"/>
        <w:gridCol w:w="109"/>
        <w:gridCol w:w="109"/>
        <w:gridCol w:w="262"/>
        <w:gridCol w:w="219"/>
        <w:gridCol w:w="285"/>
        <w:gridCol w:w="109"/>
        <w:gridCol w:w="109"/>
        <w:gridCol w:w="109"/>
        <w:gridCol w:w="196"/>
        <w:gridCol w:w="556"/>
        <w:gridCol w:w="109"/>
        <w:gridCol w:w="109"/>
        <w:gridCol w:w="109"/>
        <w:gridCol w:w="109"/>
        <w:gridCol w:w="262"/>
        <w:gridCol w:w="219"/>
        <w:gridCol w:w="285"/>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Economic Interest Expense and Aggregate Cost of Funds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 interest expense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TBA dollar roll income - implied interest expense </w:t>
            </w:r>
            <w:r>
              <w:rPr>
                <w:rFonts w:ascii="Times New Roman;serif" w:hAnsi="Times New Roman;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expense - before interest rate swap periodic income, net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net </w:t>
            </w:r>
            <w:r>
              <w:rPr>
                <w:rFonts w:ascii="Times New Roman;serif" w:hAnsi="Times New Roman;serif"/>
                <w:b w:val="false"/>
                <w:color w:val="000000"/>
                <w:sz w:val="1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economic interest expense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1.Amounts exclude interest rate swap termination fees and variation margin settlements paid or received, forward starting swaps and the impact of other supplemental hedges, such as swaptions and U.S. Treasury positions.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2.Reported in gain (loss) on derivative instruments and other securities, net in our consolidated statements of comprehensive income.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5.Interest rate swap periodic income is measured as a percent of average mortgage borrowings outstanding for the period. </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six months ended June 30, 2025 compared to the prior year period (in millions): </w:t>
      </w:r>
    </w:p>
    <w:tbl>
      <w:tblPr>
        <w:tblW w:w="10205" w:type="dxa"/>
        <w:jc w:val="center"/>
        <w:tblInd w:w="0" w:type="dxa"/>
        <w:tblLayout w:type="fixed"/>
        <w:tblCellMar>
          <w:top w:w="28" w:type="dxa"/>
          <w:left w:w="28" w:type="dxa"/>
          <w:bottom w:w="28" w:type="dxa"/>
          <w:right w:w="28" w:type="dxa"/>
        </w:tblCellMar>
      </w:tblPr>
      <w:tblGrid>
        <w:gridCol w:w="1469"/>
        <w:gridCol w:w="1221"/>
        <w:gridCol w:w="1233"/>
        <w:gridCol w:w="148"/>
        <w:gridCol w:w="148"/>
        <w:gridCol w:w="148"/>
        <w:gridCol w:w="471"/>
        <w:gridCol w:w="967"/>
        <w:gridCol w:w="244"/>
        <w:gridCol w:w="148"/>
        <w:gridCol w:w="148"/>
        <w:gridCol w:w="148"/>
        <w:gridCol w:w="468"/>
        <w:gridCol w:w="956"/>
        <w:gridCol w:w="242"/>
        <w:gridCol w:w="148"/>
        <w:gridCol w:w="148"/>
        <w:gridCol w:w="148"/>
        <w:gridCol w:w="394"/>
        <w:gridCol w:w="911"/>
        <w:gridCol w:w="297"/>
      </w:tblGrid>
      <w:tr>
        <w:trPr/>
        <w:tc>
          <w:tcPr>
            <w:tcW w:w="14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of Economic Interest Expense</w:t>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6282" w:type="dxa"/>
            <w:gridSpan w:val="18"/>
            <w:tcBorders/>
          </w:tcPr>
          <w:p>
            <w:pPr>
              <w:pStyle w:val="TableContents"/>
              <w:bidi w:val="0"/>
              <w:spacing w:before="0" w:after="283"/>
              <w:jc w:val="left"/>
              <w:rPr>
                <w:sz w:val="4"/>
                <w:szCs w:val="4"/>
              </w:rPr>
            </w:pPr>
            <w:r>
              <w:rPr>
                <w:sz w:val="4"/>
                <w:szCs w:val="4"/>
              </w:rPr>
            </w:r>
          </w:p>
        </w:tc>
      </w:tr>
      <w:tr>
        <w:trPr/>
        <w:tc>
          <w:tcPr>
            <w:tcW w:w="3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average mortgage borrowings, inclusive of TBAs, increased 24% and 25% for the three and six months ended June 30, 2025, respectively, consistent with the increase to our average investment portfolio. The average interest rate on our mortgage borrowings, excluding the impact of interest rate swap periodic income, decreased 97 and 99 basis points for the three and six months ended June 30, 2025, respectively, due to lower short-term interest rates.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swap periodic income declined for the three and six months ended June 30, 2025, primarily due to higher pay rates on our pay-fixed swaps—driven by the maturity of lower-cost swaps—and lower receive rates. The ratio of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05" cy="14605"/>
                <wp:effectExtent l="0" t="0" r="0" b="0"/>
                <wp:wrapNone/>
                <wp:docPr id="38" name="Frame3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swaps outstanding to mortgage borrowings also declined, reflecting a moderate decline in the Company's total hedge ratio and a shift towards a higher proportion of U.S. Treasury-based hedges. The following is a summary of our interest rate swaps outstanding during the three and six months ended June 30, 2025 (dollars in millions). Amounts exclude forward starting swaps not yet in effect.</w:t>
      </w:r>
    </w:p>
    <w:tbl>
      <w:tblPr>
        <w:tblW w:w="10205" w:type="dxa"/>
        <w:jc w:val="center"/>
        <w:tblInd w:w="0" w:type="dxa"/>
        <w:tblLayout w:type="fixed"/>
        <w:tblCellMar>
          <w:top w:w="28" w:type="dxa"/>
          <w:left w:w="28" w:type="dxa"/>
          <w:bottom w:w="28" w:type="dxa"/>
          <w:right w:w="28" w:type="dxa"/>
        </w:tblCellMar>
      </w:tblPr>
      <w:tblGrid>
        <w:gridCol w:w="1564"/>
        <w:gridCol w:w="1366"/>
        <w:gridCol w:w="137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Average Ratio of Interest Rate Swaps (Excluding Forward Starting Swaps) to Mortgage Borrowings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repo and other debt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outstanding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notional amount of interest rate swaps outstanding (excluding forward starting swaps),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Ratio of average interest rate swaps to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 swap pay-fixed rate (excluding forward starting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receive-floating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net pay/(receive)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we had an average forward starting net pay-fixed rate swap balance of $63 million and $173 million, respectively. For the three and six months ended June 30, 2024, we had an average forward starting net pay-fixed rate swap balance of $2.1 billion and $1.3 billion, respectively. Forward starting interest rate swaps do not impact our economic interest expense and aggregate cost of funds until they commence accruing net interest settlements on their forward start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Spread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net interest spread (including the impact of TBA dollar roll income, interest rate swaps and excluding "catch-up" premium amortization) for the three and six months ended June 30, 2025 and 2024:</w:t>
      </w:r>
    </w:p>
    <w:tbl>
      <w:tblPr>
        <w:tblW w:w="9361" w:type="dxa"/>
        <w:jc w:val="center"/>
        <w:tblInd w:w="0" w:type="dxa"/>
        <w:tblLayout w:type="fixed"/>
        <w:tblCellMar>
          <w:top w:w="28" w:type="dxa"/>
          <w:left w:w="28" w:type="dxa"/>
          <w:bottom w:w="28" w:type="dxa"/>
          <w:right w:w="28" w:type="dxa"/>
        </w:tblCellMar>
      </w:tblPr>
      <w:tblGrid>
        <w:gridCol w:w="1413"/>
        <w:gridCol w:w="1239"/>
        <w:gridCol w:w="1247"/>
        <w:gridCol w:w="109"/>
        <w:gridCol w:w="109"/>
        <w:gridCol w:w="109"/>
        <w:gridCol w:w="277"/>
        <w:gridCol w:w="263"/>
        <w:gridCol w:w="438"/>
        <w:gridCol w:w="198"/>
        <w:gridCol w:w="198"/>
        <w:gridCol w:w="198"/>
        <w:gridCol w:w="277"/>
        <w:gridCol w:w="263"/>
        <w:gridCol w:w="438"/>
        <w:gridCol w:w="109"/>
        <w:gridCol w:w="109"/>
        <w:gridCol w:w="109"/>
        <w:gridCol w:w="277"/>
        <w:gridCol w:w="263"/>
        <w:gridCol w:w="273"/>
        <w:gridCol w:w="123"/>
        <w:gridCol w:w="123"/>
        <w:gridCol w:w="123"/>
        <w:gridCol w:w="277"/>
        <w:gridCol w:w="263"/>
        <w:gridCol w:w="273"/>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and TBA Securities - Net Interest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aggregate cost of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interest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Spread and Dollar Roll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spread and dollar roll income available to common stockholders (non-GAAP measure) from comprehensive income (loss) available (attributable) to common stockholders (the most comparable GAAP financial measure) for the three and six months ended June 30, 2025 and 2024 (dollars in millions):</w:t>
      </w:r>
    </w:p>
    <w:tbl>
      <w:tblPr>
        <w:tblW w:w="10205" w:type="dxa"/>
        <w:jc w:val="center"/>
        <w:tblInd w:w="0" w:type="dxa"/>
        <w:tblLayout w:type="fixed"/>
        <w:tblCellMar>
          <w:top w:w="28" w:type="dxa"/>
          <w:left w:w="28" w:type="dxa"/>
          <w:bottom w:w="28" w:type="dxa"/>
          <w:right w:w="28" w:type="dxa"/>
        </w:tblCellMar>
      </w:tblPr>
      <w:tblGrid>
        <w:gridCol w:w="1947"/>
        <w:gridCol w:w="1678"/>
        <w:gridCol w:w="1683"/>
        <w:gridCol w:w="109"/>
        <w:gridCol w:w="109"/>
        <w:gridCol w:w="109"/>
        <w:gridCol w:w="229"/>
        <w:gridCol w:w="538"/>
        <w:gridCol w:w="121"/>
        <w:gridCol w:w="121"/>
        <w:gridCol w:w="121"/>
        <w:gridCol w:w="121"/>
        <w:gridCol w:w="217"/>
        <w:gridCol w:w="518"/>
        <w:gridCol w:w="121"/>
        <w:gridCol w:w="109"/>
        <w:gridCol w:w="109"/>
        <w:gridCol w:w="109"/>
        <w:gridCol w:w="196"/>
        <w:gridCol w:w="466"/>
        <w:gridCol w:w="109"/>
        <w:gridCol w:w="109"/>
        <w:gridCol w:w="109"/>
        <w:gridCol w:w="109"/>
        <w:gridCol w:w="196"/>
        <w:gridCol w:w="466"/>
        <w:gridCol w:w="109"/>
        <w:gridCol w:w="109"/>
        <w:gridCol w:w="158"/>
      </w:tblGrid>
      <w:tr>
        <w:trPr/>
        <w:tc>
          <w:tcPr>
            <w:tcW w:w="1947"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5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Comprehensive income (loss) available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exclude realized and unrealized (gains) losses reported through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securities measured at fair value through net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derivative instruments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Adjustment to exclude unrealized (gain) loss reported through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available-for-sale securities measure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Estimated "catch-up" premium amortization benefit due to change in CPR forecast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dollar roll income,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(cost),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interest income (expense), net </w:t>
            </w:r>
            <w:r>
              <w:rPr>
                <w:rFonts w:ascii="Times New Roman;serif" w:hAnsi="Times New Roman;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spread and dollar roll income available to common stockholders (non-GAAP measure)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1,019.6 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interest income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interest income (expense), net includes interest income on cash and cash equivalents; price alignment interest income (expense) ("PAI") on interest rate swap margin deposits posted by or (to) the Company; and other miscellaneous interest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 (Loss) on Investment Securities, Net </w:t>
      </w:r>
    </w:p>
    <w:p>
      <w:pPr>
        <w:pStyle w:val="TextBody"/>
        <w:bidi w:val="0"/>
        <w:spacing w:lineRule="auto" w:line="288" w:before="180" w:after="60"/>
        <w:ind w:left="0" w:right="0" w:firstLine="540"/>
        <w:jc w:val="both"/>
        <w:rPr/>
      </w:pPr>
      <w:r>
        <w:rPr>
          <w:rFonts w:ascii="Times New Roman;serif" w:hAnsi="Times New Roman;serif"/>
          <w:b w:val="false"/>
          <w:color w:val="000000"/>
          <w:sz w:val="20"/>
        </w:rPr>
        <w:t>The following table is a summary of our net gain (loss) on investment securities for the three and six months ended June 30, 2025 and 2024 (in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1918"/>
        <w:gridCol w:w="1590"/>
        <w:gridCol w:w="1602"/>
        <w:gridCol w:w="109"/>
        <w:gridCol w:w="109"/>
        <w:gridCol w:w="109"/>
        <w:gridCol w:w="216"/>
        <w:gridCol w:w="522"/>
        <w:gridCol w:w="120"/>
        <w:gridCol w:w="120"/>
        <w:gridCol w:w="120"/>
        <w:gridCol w:w="120"/>
        <w:gridCol w:w="216"/>
        <w:gridCol w:w="522"/>
        <w:gridCol w:w="120"/>
        <w:gridCol w:w="109"/>
        <w:gridCol w:w="109"/>
        <w:gridCol w:w="109"/>
        <w:gridCol w:w="196"/>
        <w:gridCol w:w="556"/>
        <w:gridCol w:w="109"/>
        <w:gridCol w:w="109"/>
        <w:gridCol w:w="109"/>
        <w:gridCol w:w="109"/>
        <w:gridCol w:w="196"/>
        <w:gridCol w:w="606"/>
        <w:gridCol w:w="109"/>
        <w:gridCol w:w="109"/>
        <w:gridCol w:w="157"/>
      </w:tblGrid>
      <w:tr>
        <w:trPr/>
        <w:tc>
          <w:tcPr>
            <w:tcW w:w="1918"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51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Gain (Loss) on Investment Securities, Net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Unrealized gain (loss) on investment securities measured at fair value through net income,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securities measured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gain (loss) on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gain (loss) on TBA securities, which are 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2.Investment securities acquired after fiscal year 2016 are measured at fair value through net income (see Note 2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on Derivative Instruments and Other Securities, Net</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gain (loss) on derivative instruments and other securities, net for the three and six months ended June 30, 2025 and 2024 (in millions):</w:t>
      </w:r>
    </w:p>
    <w:tbl>
      <w:tblPr>
        <w:tblW w:w="10028" w:type="dxa"/>
        <w:jc w:val="center"/>
        <w:tblInd w:w="0" w:type="dxa"/>
        <w:tblLayout w:type="fixed"/>
        <w:tblCellMar>
          <w:top w:w="28" w:type="dxa"/>
          <w:left w:w="28" w:type="dxa"/>
          <w:bottom w:w="28" w:type="dxa"/>
          <w:right w:w="28" w:type="dxa"/>
        </w:tblCellMar>
      </w:tblPr>
      <w:tblGrid>
        <w:gridCol w:w="1708"/>
        <w:gridCol w:w="1502"/>
        <w:gridCol w:w="1514"/>
        <w:gridCol w:w="109"/>
        <w:gridCol w:w="109"/>
        <w:gridCol w:w="109"/>
        <w:gridCol w:w="239"/>
        <w:gridCol w:w="606"/>
        <w:gridCol w:w="133"/>
        <w:gridCol w:w="133"/>
        <w:gridCol w:w="133"/>
        <w:gridCol w:w="133"/>
        <w:gridCol w:w="239"/>
        <w:gridCol w:w="514"/>
        <w:gridCol w:w="133"/>
        <w:gridCol w:w="109"/>
        <w:gridCol w:w="109"/>
        <w:gridCol w:w="109"/>
        <w:gridCol w:w="196"/>
        <w:gridCol w:w="631"/>
        <w:gridCol w:w="109"/>
        <w:gridCol w:w="109"/>
        <w:gridCol w:w="109"/>
        <w:gridCol w:w="109"/>
        <w:gridCol w:w="196"/>
        <w:gridCol w:w="556"/>
        <w:gridCol w:w="109"/>
        <w:gridCol w:w="109"/>
        <w:gridCol w:w="154"/>
      </w:tblGrid>
      <w:tr>
        <w:trPr/>
        <w:tc>
          <w:tcPr>
            <w:tcW w:w="170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dollar roll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mark-to-market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periodic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mark-to-market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default swaps - buy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 contracts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interest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(loss) on derivative instruments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further details regarding our use of derivative instruments and related activity refer to Notes 2 and 5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of our most recent Annual Report on Form 10-K and Item 3. </w:t>
      </w:r>
      <w:r>
        <w:rPr>
          <w:rFonts w:ascii="Times New Roman;serif" w:hAnsi="Times New Roman;serif"/>
          <w:b w:val="false"/>
          <w:i/>
          <w:color w:val="000000"/>
          <w:sz w:val="20"/>
        </w:rPr>
        <w:t>Quantitative and Qualitative Disclosures of Market Risks</w:t>
      </w:r>
      <w:r>
        <w:rPr>
          <w:color w:val="000000"/>
        </w:rPr>
        <w:t xml:space="preserve"> </w:t>
      </w:r>
      <w:r>
        <w:rPr>
          <w:rFonts w:ascii="Times New Roman;serif" w:hAnsi="Times New Roman;serif"/>
          <w:b w:val="false"/>
          <w:color w:val="000000"/>
          <w:sz w:val="20"/>
        </w:rPr>
        <w:t>in this Form 10-Q.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 and Financing 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7.6x and 7.2x as of June 30, 2025 and December 31, 2024, respectively. The following table includes a summary of our mortgage borrowings outstanding as of June 30, 2025 and December 31, 2024 (dollars in millions). For additional details of our mortgage borrowings refer to Notes 2, 4 and 5 to our Consolidated Financial Statements in this Form 10-Q.</w:t>
      </w:r>
    </w:p>
    <w:tbl>
      <w:tblPr>
        <w:tblW w:w="8718" w:type="dxa"/>
        <w:jc w:val="center"/>
        <w:tblInd w:w="0" w:type="dxa"/>
        <w:tblLayout w:type="fixed"/>
        <w:tblCellMar>
          <w:top w:w="28" w:type="dxa"/>
          <w:left w:w="28" w:type="dxa"/>
          <w:bottom w:w="28" w:type="dxa"/>
          <w:right w:w="28" w:type="dxa"/>
        </w:tblCellMar>
      </w:tblPr>
      <w:tblGrid>
        <w:gridCol w:w="1500"/>
        <w:gridCol w:w="1317"/>
        <w:gridCol w:w="1322"/>
        <w:gridCol w:w="109"/>
        <w:gridCol w:w="109"/>
        <w:gridCol w:w="109"/>
        <w:gridCol w:w="196"/>
        <w:gridCol w:w="646"/>
        <w:gridCol w:w="109"/>
        <w:gridCol w:w="109"/>
        <w:gridCol w:w="109"/>
        <w:gridCol w:w="109"/>
        <w:gridCol w:w="209"/>
        <w:gridCol w:w="212"/>
        <w:gridCol w:w="241"/>
        <w:gridCol w:w="109"/>
        <w:gridCol w:w="109"/>
        <w:gridCol w:w="109"/>
        <w:gridCol w:w="196"/>
        <w:gridCol w:w="646"/>
        <w:gridCol w:w="109"/>
        <w:gridCol w:w="109"/>
        <w:gridCol w:w="109"/>
        <w:gridCol w:w="109"/>
        <w:gridCol w:w="209"/>
        <w:gridCol w:w="212"/>
        <w:gridCol w:w="286"/>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repurchase agreements </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variable interest entities,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and forward settling non-Agency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pPr>
      <w:r>
        <w:rPr>
          <w:rFonts w:ascii="Malgun Gothic;sans-serif" w:hAnsi="Malgun Gothic;sans-serif"/>
          <w:b w:val="false"/>
          <w:color w:val="000000"/>
          <w:sz w:val="16"/>
        </w:rPr>
        <w:t>1.</w:t>
      </w:r>
      <w:r>
        <w:rPr>
          <w:rFonts w:ascii="Times New Roman;serif" w:hAnsi="Times New Roman;serif"/>
          <w:b w:val="false"/>
          <w:color w:val="000000"/>
          <w:sz w:val="16"/>
        </w:rPr>
        <w:t>Includes Agency RMBS, CRT and non-Agency MBS repurchase agreements.</w:t>
      </w:r>
      <w:r>
        <w:rPr>
          <w:color w:val="000000"/>
        </w:rPr>
        <w:t xml:space="preserve"> </w:t>
      </w:r>
      <w:r>
        <w:rPr>
          <w:rFonts w:ascii="Malgun Gothic;sans-serif" w:hAnsi="Malgun Gothic;sans-serif"/>
          <w:b w:val="false"/>
          <w:color w:val="000000"/>
          <w:sz w:val="16"/>
        </w:rPr>
        <w:t>E</w:t>
      </w:r>
      <w:r>
        <w:rPr>
          <w:rFonts w:ascii="Times New Roman;serif" w:hAnsi="Times New Roman;serif"/>
          <w:b w:val="false"/>
          <w:color w:val="000000"/>
          <w:sz w:val="16"/>
        </w:rPr>
        <w:t xml:space="preserve">xcludes U.S. Treasury repurchase agreements totaling $3.2 billion and $1.4 billion as of June 30, 2025 and December 31, 2024,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2.As of June 30, 2025 and December 31, 2024, 48% and 47%, respectively, of our total repurchase agreements, including 50% and 49% or our investment securities repurchase agreements, respectively, were funded through the Fixed Income Clearing Corporation's GCF Repo service.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primarily finance our assets through collateralized borrowings structured as repurchase agreements (“repo”). We enter into these agreements on a bilateral basis with financial institutions and independent dealers, as well as through tri-party and centrally cleared repo platforms—such as the FICC’s GCF Repo service—accessed through our wholly owned, registered broker-dealer subsidiary, Bethesda Securities, LLC. We manage our repo funding through counterparty diversification, maintaining a suitable maturity profile, interest rate hedging, and other strategies. In addition to repo, we also utilize TBA dollar roll transactions to synthetically finance Agency RMBS.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terms of bilateral repurchase agreements are established on a transaction-by-transaction basis at the time each borrowing is initiated or renewed and are governed by the provisions of a Master Repurchase Agreement. For GCF Repo transactions, the terms and conditions are set by the FICC's clearing rules and applicable operating procedures. Each of our repurchase agreements requires that borrowed amounts be subject to collateralization requirements, and interest rates are generally fixed and reflect prevailing market rates for the specified borrowing term and collateral type. Our repurchase agreement counterparties are not obligated to renew or enter into new borrowings upon the maturity of existing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TBA dollar roll transactions enhance our funding diversification, expand our available pool of assets, and improve our liquidity position by typically requiring lower collateral than Agency RMBS financed with repo. These transactions may also benefit from lower implied costs, or "specialness." However, if rolling TBA contracts into future months becomes uneconomical, we may need to take physical delivery of the underlying securities and fund those securities with other sources, potentially reducing our liquidity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Collateral Requirements and Unencumbered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Borrowing capacity under our repurchase agreements is influenced by counterparty margin requirements, collateral values, interest rates and counterparties’ willingness and ability to lend. These factors can change over time in response to interest rate movements, overall market liquidity, shifts in credit quality and changes in bank regulatory requirements. Centrally cleared repo capacity also depends on Bethesda Securities’ satisfying membership and regulatory requirements and maintaining its risk exposure within limits established by the FICC.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Haircuts for bilateral repurchase agreements are determined on a transaction-specific basis. A haircut is a discount applied to the market value of pledged collateral to protect the counterparty against potential declines in its value. Margin requirements for GCF Repo are set by the FICC. These include an initial margin requirement, calculated daily using a Value-at-Risk (“VaR”) model, which evaluates Bethesda Securities’ net exposure to the FICC, taking into account the offsetting risk sensitivities of positions such as repos and reverse repos. Initial margin is designed to protect the FICC against potential future exposure from a member default and may also be used to cover losses arising from the default of other clearing members, subject to assessments from the loss mutualization waterfall and applicable caps and withdrawal provisions set pursuant to FICC rules. The FICC also imposes daily variation margin, based on amounts borrowed plus accrued interest, adjusted for fluctuations in collateral value, and is intended to cover the current exposure associated with the repo transaction. Margin thresholds may increase during periods of elevated market volatility, causing an adverse change in our liquidity position.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When collateral values decline, counterparties typically issue margin calls requiring us to post additional collateral to restore the required collateralization level. Conversely, if the value of pledged securities rises, we may request the return of excess collateral. Collateral values are determined by our counterparties, who are required to act in good faith. Margin calls are typically due on the same business day, subject to notice provisions. As of June 30, 2025, we were in compliance with all margin requirements.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Fannie Mae and Freddie Mac publish monthly pay-down factors on the fifth business day following month-end, and repo counterparties typically reduce the values they assign to Agency RMBS collateral to account for the pay-down factor data, even though principal payments on Agency RMBS are generally not received until the 25th calendar day following month-end. Bilateral repo counterparties make this adjustment at the time Fannie Mae and Freddie Mac publish the pay-down factors. In contrast, the FICC assesses margin on the last business day of each month—prior to the factor release—using internally projected pay-down rates. This estimate-based collateral adjustment is referred to as the "blackout period exposure adjustment" or "blackout margin." On the factor release date, the FICC releases the blackout margin and updates collateral requirements to reflect the actual factor data.</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difference between margin calls related to principal pay-downs and our receipt of the corresponding cash flows temporarily reduces our available liquidity each month. We manage this liquidity risk by monitoring factors that influence prepayment activity and through disciplined asset selection. As of June 30, 2025, approximately 10% of our investment portfolio consisted of TBA securities, which are not subject to monthly principal pay-downs. The remainder of our portfolio, primarily consisting of Agency RMBS, had an average one-year CPR forecast of 8%.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under our derivative agreements are typically subject to initial and variation margin requirements, similar to those for centrally cleared repo transactions, and may be adjusted based on changes in the value of the derivative agreements, collateral values, market volatility, and other factors. Collateral requirements for our TBA contracts are governed by the Mortgage-Backed Securities Division ("MBSD") of the FICC. Collateral levels for interest rate swap agreements are established by the central clearing exchange and the associated futures commission merchants ("FCMs"), which may impose margin requirements in excess of the clearing exchange. Non-centrally cleared derivative collateral requirements are set by the counterparty financial institution.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Haircut levels and initial or minimum margin requirements reduce the amount of our unencumbered assets and limit our borrowing capacity. During the three and six months ended June 30, 2025, haircuts and initial margin requirements on our repo funding arrangements remained stable. As of June 30, 2025, the weighted average haircut and initial margin on our repurchase agreements was approximately 3.0% of the value of our collateral, compared to 3.2% as of December 31, 2024.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mitigate the risk of margins calls, we seek to maintain excess liquidity by holding unencumbered liquid assets that can be used to satisfy collateral requirements, collateralize additional borrowings or sold for cash. As of June 30, 2025, our unencumbered assets totaled approximately $6.5 billion, or 66% of tangible equity, consisting of $6.4 billion of cash and unencumbered Agency RMBS and $0.1 billion of unencumbered credit assets. This compares to $6.2 billion of unencumbered assets, or 67% of tangible equity, as of December 31, 2024, consisting of $6.1 billion of cash and unencumbered Agency RMBS and $0.1 billion of unencumbered credit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assets pledged under our repo and derivative agreements refer to Note 6 to our Consolidated Financial Statements in this Form 10-Q.</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imposed by counterparties subject us to the risk that pledged assets may not be returned to us as required. We attempt to manage this risk by actively monitoring our collateral positions and limiting our counterparties to registered clearinghouses and regulated financial institutions with acceptable credit ratings. We also diversify our funding sources across multiple counterparties and geographic region.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2025,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5% of our tangible stockholders' equity. As of June 30, 2025, 10% of our tangible stockholders' equity was at risk with the FICC. Excluding central clearing exchanges, as of June 30, 2025, our amount at risk with any counterparty to our derivative agreements was less than 1% of our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 Sales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serif" w:hAnsi="Times New Roman;serif"/>
          <w:b w:val="false"/>
          <w:i/>
          <w:color w:val="000000"/>
          <w:sz w:val="20"/>
        </w:rPr>
        <w:t>Trends and Recent Market Impacts</w:t>
      </w:r>
      <w:r>
        <w:rPr>
          <w:color w:val="000000"/>
        </w:rPr>
        <w:t xml:space="preserve"> </w:t>
      </w:r>
      <w:r>
        <w:rPr>
          <w:rFonts w:ascii="Times New Roman;serif" w:hAnsi="Times New Roman;serif"/>
          <w:b w:val="false"/>
          <w:color w:val="000000"/>
          <w:sz w:val="20"/>
        </w:rPr>
        <w:t>of this Management Discussion and Analysis for further information regarding Agency RMBS and TBA market conditions.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Markets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Furthermore, when the trading price of our common stock is less than our then-current estimate of our tangible net book value per common share, among other conditions, we may repurchase shares of our common stock pursuant to the stock repurchase plan authorized by our Board, which as of June 30, 2025, shares of our common stock with an aggregate repurchase price of $1.0 billion remained authorized for repurchase through December 31, 2026. Please refer to Note 9 of our Consolidated Financial Statements in this Form 10-Q for further details regarding our recent equity capital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2025,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2025, we had not guaranteed obligations of unconsolidated entities or entered into a commitment or intent to provide funding to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 </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changes in U.S. monetary policy or interest rates, including actions taken by the Federal Reserve to normalize monetary policy and to reduce the size of its U.S. Treasury and Agency RMBS bond portfolio;</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fluctuations in the yield curve;</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the level, degree and extent of volatility in interest rates or the yield on our assets relative to interest rate benchmarks;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fluctuations in mortgage prepayment rates on the loans underlying our Agency RMBS;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the availability and terms of financing and our hedge positions;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changes in the market value of our assets, including from changes in net interest spreads, market liquidity or depth, and changes in our "at risk" leverage or hedge positions;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the effectiveness of our risk mitigation strategies; </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 xml:space="preserve">conditions in the market for Agency RMBS and other mortgage securities, including changes in the available supply of such securities or investor appetite therefor;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actions by the federal, state, or local governments that affect the economy, the housing sector or financial markets;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the availability of personnel, operational resources, information technology and other systems to conduct our operations;</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legislative or regulatory actions that affect our status as a REIT or our exemption from the Investment Company Act of 1940.</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Part I of our most recent Annual Report on Form 10-K and Part II of this Form 10-Q. We caution readers not to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judgement we may make adjustments to the third-party estimates. Our estimated duration gap, which is a measure of the difference between the interest rate sensitivity of our assets and our liabilities, inclusive of interest rate hedges, was 0.2 years as of June 30, 2025, compared to 0.3 years as of December 31, 2024.</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quantifies the estimated changes in the fair value of our investment portfolio (including derivatives and other securities used for hedging purposes) and in our tangible net book value per common share as of June 30, 2025 and December 31, 2024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June 30, 2025 and December 31, 2024.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r>
        <w:rPr>
          <w:color w:val="000000"/>
        </w:rPr>
        <w:t> </w:t>
      </w:r>
    </w:p>
    <w:tbl>
      <w:tblPr>
        <w:tblW w:w="10205" w:type="dxa"/>
        <w:jc w:val="center"/>
        <w:tblInd w:w="0" w:type="dxa"/>
        <w:tblLayout w:type="fixed"/>
        <w:tblCellMar>
          <w:top w:w="28" w:type="dxa"/>
          <w:left w:w="28" w:type="dxa"/>
          <w:bottom w:w="28" w:type="dxa"/>
          <w:right w:w="28" w:type="dxa"/>
        </w:tblCellMar>
      </w:tblPr>
      <w:tblGrid>
        <w:gridCol w:w="385"/>
        <w:gridCol w:w="338"/>
        <w:gridCol w:w="339"/>
        <w:gridCol w:w="109"/>
        <w:gridCol w:w="109"/>
        <w:gridCol w:w="109"/>
        <w:gridCol w:w="555"/>
        <w:gridCol w:w="555"/>
        <w:gridCol w:w="557"/>
        <w:gridCol w:w="114"/>
        <w:gridCol w:w="114"/>
        <w:gridCol w:w="114"/>
        <w:gridCol w:w="729"/>
        <w:gridCol w:w="729"/>
        <w:gridCol w:w="732"/>
        <w:gridCol w:w="109"/>
        <w:gridCol w:w="109"/>
        <w:gridCol w:w="109"/>
        <w:gridCol w:w="555"/>
        <w:gridCol w:w="555"/>
        <w:gridCol w:w="557"/>
        <w:gridCol w:w="127"/>
        <w:gridCol w:w="127"/>
        <w:gridCol w:w="127"/>
        <w:gridCol w:w="654"/>
        <w:gridCol w:w="654"/>
        <w:gridCol w:w="9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1,2</w:t>
            </w:r>
          </w:p>
        </w:tc>
      </w:tr>
      <w:tr>
        <w:trPr/>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assumes there are no changes in mortgage spreads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 Interest rates are assumed to be floored at 0% in down rate scenarios.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Prepayment Risk and Extension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our assets prepay at a faster rate than anticipated, we may be unable to reinvest the repayments at acceptable yields. If the proceeds are reinvested at lower yields than our existing assets, our net interest income would be negatively impacted.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our investment securities (excluding TBAs) had a weighted average projected CPR of 7.8% and 7.7%, respectively, and a weighted average yield of 4.92% and 4.77%,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 </w:t>
      </w:r>
    </w:p>
    <w:tbl>
      <w:tblPr>
        <w:tblW w:w="10205" w:type="dxa"/>
        <w:jc w:val="center"/>
        <w:tblInd w:w="0" w:type="dxa"/>
        <w:tblLayout w:type="fixed"/>
        <w:tblCellMar>
          <w:top w:w="28" w:type="dxa"/>
          <w:left w:w="28" w:type="dxa"/>
          <w:bottom w:w="28" w:type="dxa"/>
          <w:right w:w="28" w:type="dxa"/>
        </w:tblCellMar>
      </w:tblPr>
      <w:tblGrid>
        <w:gridCol w:w="516"/>
        <w:gridCol w:w="448"/>
        <w:gridCol w:w="449"/>
        <w:gridCol w:w="109"/>
        <w:gridCol w:w="109"/>
        <w:gridCol w:w="109"/>
        <w:gridCol w:w="628"/>
        <w:gridCol w:w="628"/>
        <w:gridCol w:w="631"/>
        <w:gridCol w:w="118"/>
        <w:gridCol w:w="118"/>
        <w:gridCol w:w="118"/>
        <w:gridCol w:w="587"/>
        <w:gridCol w:w="587"/>
        <w:gridCol w:w="589"/>
        <w:gridCol w:w="109"/>
        <w:gridCol w:w="109"/>
        <w:gridCol w:w="109"/>
        <w:gridCol w:w="628"/>
        <w:gridCol w:w="628"/>
        <w:gridCol w:w="631"/>
        <w:gridCol w:w="142"/>
        <w:gridCol w:w="142"/>
        <w:gridCol w:w="142"/>
        <w:gridCol w:w="529"/>
        <w:gridCol w:w="529"/>
        <w:gridCol w:w="763"/>
      </w:tblGrid>
      <w:tr>
        <w:trPr/>
        <w:tc>
          <w:tcPr>
            <w:tcW w:w="5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w:t>
            </w:r>
          </w:p>
        </w:tc>
      </w:tr>
      <w:tr>
        <w:trPr/>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4.70%</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Actual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4.80%</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and assumes a static portfolio. Actual results could differ materially from these estimates. Table excludes TBA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2.Asset yield based on historical cost basis and does not include the impact of retroactive "catch-up" premium amortization adjustments due to changes in projected CPR.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Spread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2025 and December 31, 2024 should spreads widen or tighten by 10, 25 and 50 basis points. The estimated impact of changes in spreads is in addition to our interest rate shock sensitivity included in the interest rate shock table above. The table below assumes a spread duration of 5.2 and 5.1 years as of June 30, 2025 and December 31, 2024,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80"/>
        <w:gridCol w:w="333"/>
        <w:gridCol w:w="335"/>
        <w:gridCol w:w="109"/>
        <w:gridCol w:w="109"/>
        <w:gridCol w:w="109"/>
        <w:gridCol w:w="555"/>
        <w:gridCol w:w="555"/>
        <w:gridCol w:w="558"/>
        <w:gridCol w:w="114"/>
        <w:gridCol w:w="114"/>
        <w:gridCol w:w="114"/>
        <w:gridCol w:w="730"/>
        <w:gridCol w:w="730"/>
        <w:gridCol w:w="733"/>
        <w:gridCol w:w="109"/>
        <w:gridCol w:w="109"/>
        <w:gridCol w:w="109"/>
        <w:gridCol w:w="555"/>
        <w:gridCol w:w="555"/>
        <w:gridCol w:w="558"/>
        <w:gridCol w:w="127"/>
        <w:gridCol w:w="127"/>
        <w:gridCol w:w="127"/>
        <w:gridCol w:w="655"/>
        <w:gridCol w:w="655"/>
        <w:gridCol w:w="94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Spread Sensitivity </w:t>
            </w:r>
            <w:r>
              <w:rPr>
                <w:rFonts w:ascii="Times New Roman;serif" w:hAnsi="Times New Roman;serif"/>
                <w:b/>
                <w:color w:val="000000"/>
                <w:sz w:val="10"/>
              </w:rPr>
              <w:t>1,2</w:t>
            </w:r>
          </w:p>
        </w:tc>
      </w:tr>
      <w:tr>
        <w:trPr/>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MBS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-12.3%</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1.Spread sensitivity is derived from models that are dependent on inputs and assumptions, assumes there are no changes in interest rates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Liquidity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These factors can change over time in response to interest rate movements, overall market liquidity, shifts in credit quality and changes in bank regulatory requirements. Borrowings under centrally cleared repo also depend on Bethesda Securities’ satisfying membership and regulatory requirements and maintaining its risk exposure within limits established by the FICC.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As of June 30, 2025, we believe that we have sufficient liquidity and capital resources available to execute our business strategy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 xml:space="preserve">in this Form 10-Q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bilateral counterparties have the option to increase our haircuts (margin requirements) on the assets we pledge against our funding liabilities, and our central clearing counterparties may adjust their risk models impacting the amount of initial margin we are required to post, thereby reducing the amount that can be borrowed against our assets even if they agree to renew or roll our funding liabilities. Significantly higher haircuts or initial margin requirements can reduce our ability to leverage our portfolio or may even force us to sell assets, especially if correlated with asset price declines or faster prepayment rates on our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regulated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June 30, 2025, our maximum amount at risk with any counterparty related to our repurchase agreements and derivative agreements was less than 2% and less than 1%, respectively, of tangible stockholders' equity.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including our Chief Executive Officer and Chief Financial Officer, evaluated the effectiveness of the design and operation of our disclosure controls and procedures as of June 30, 2025. Based on the foregoing, our Chief Executive Officer and Chief Financial Officer concluded that our disclosure controls and procedures were effective.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4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2025, none of our directors or officers (as defined in Rule 16a-1(f) under the Exchange Act) informed us of the adoption or termination of a “Rule 10b5-1 trading arrangement” or “non-Rule 10b5-1 trading arrangement” (as each term is defined in Regulation S-K, Item 408), except as follows: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May 15, 2025, Peter Federico, our President, Chief Executive Officer, Chief Investment Officer, and director, adopted a Rule 10b5-1 trading arrangement intended to satisfy the affirmative defense of Rule 10b5-1(c) providing for the sale of up to 137,393 shares of our common stock. The trading arrangement will expire on November 26, 2025 or earlier if all transactions under the trading arrangement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 and Financial Statement Schedules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Exhibit Index </w:t>
      </w:r>
    </w:p>
    <w:p>
      <w:pPr>
        <w:pStyle w:val="TextBody"/>
        <w:bidi w:val="0"/>
        <w:spacing w:lineRule="auto" w:line="288" w:before="180" w:after="283"/>
        <w:jc w:val="both"/>
        <w:rPr/>
      </w:pPr>
      <w:r>
        <w:rPr>
          <w:rFonts w:ascii="Times New Roman;serif" w:hAnsi="Times New Roman;serif"/>
          <w:b/>
          <w:color w:val="000000"/>
          <w:sz w:val="16"/>
          <w:u w:val="single"/>
        </w:rPr>
        <w:t>Exhibit No.</w:t>
      </w:r>
      <w:r>
        <w:rPr>
          <w:color w:val="000000"/>
        </w:rPr>
        <w:t>    </w:t>
      </w:r>
      <w:r>
        <w:rPr>
          <w:rFonts w:ascii="Times New Roman;serif" w:hAnsi="Times New Roman;serif"/>
          <w:b/>
          <w:color w:val="000000"/>
          <w:sz w:val="16"/>
          <w:u w:val="single"/>
        </w:rPr>
        <w:t>Description</w:t>
      </w:r>
    </w:p>
    <w:p>
      <w:pPr>
        <w:pStyle w:val="TextBody"/>
        <w:bidi w:val="0"/>
        <w:spacing w:lineRule="auto" w:line="288" w:before="180" w:after="283"/>
        <w:ind w:left="0" w:right="0" w:hanging="1440"/>
        <w:jc w:val="both"/>
        <w:rPr/>
      </w:pPr>
      <w:hyperlink r:id="rId3">
        <w:r>
          <w:rPr>
            <w:rStyle w:val="InternetLink"/>
          </w:rPr>
          <w:t>*3.1</w:t>
        </w:r>
      </w:hyperlink>
      <w:r>
        <w:rPr>
          <w:rFonts w:ascii="Times New Roman;serif" w:hAnsi="Times New Roman;serif"/>
          <w:b w:val="false"/>
          <w:color w:val="000000"/>
          <w:sz w:val="20"/>
        </w:rPr>
        <w:t>    </w:t>
      </w:r>
      <w:hyperlink r:id="rId4">
        <w:r>
          <w:rPr>
            <w:rStyle w:val="InternetLink"/>
          </w:rPr>
          <w:t>AGNC Investment Corp. Amended and Restated Certificate of Incorporation, as amended, incorporated herein by reference to Exhibit 3.1 of Form 10-Q for the quarter ended March 31, 2025 (File No. 001-34057), filed May 2, 2025.</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pPr>
      <w:hyperlink r:id="rId5">
        <w:r>
          <w:rPr>
            <w:rStyle w:val="InternetLink"/>
          </w:rPr>
          <w:t>*3.2</w:t>
        </w:r>
      </w:hyperlink>
      <w:r>
        <w:rPr>
          <w:rFonts w:ascii="Times New Roman;serif" w:hAnsi="Times New Roman;serif"/>
          <w:b w:val="false"/>
          <w:color w:val="000000"/>
          <w:sz w:val="20"/>
        </w:rPr>
        <w:t>    </w:t>
      </w:r>
      <w:hyperlink r:id="rId6">
        <w:r>
          <w:rPr>
            <w:rStyle w:val="InternetLink"/>
          </w:rPr>
          <w:t>AGNC Investment Corp. Amended and Restated Bylaws, as amended, incorporated herein by reference to Exhibit 3.1 of Form 8-K (File No. 001-34057), filed July 21, 2023.</w:t>
        </w:r>
      </w:hyperlink>
    </w:p>
    <w:p>
      <w:pPr>
        <w:pStyle w:val="TextBody"/>
        <w:bidi w:val="0"/>
        <w:spacing w:lineRule="auto" w:line="288" w:before="180" w:after="283"/>
        <w:ind w:left="0" w:right="0" w:hanging="1440"/>
        <w:jc w:val="both"/>
        <w:rPr/>
      </w:pPr>
      <w:hyperlink r:id="rId7">
        <w:r>
          <w:rPr>
            <w:rStyle w:val="InternetLink"/>
          </w:rPr>
          <w:t>*3.3</w:t>
        </w:r>
      </w:hyperlink>
      <w:r>
        <w:rPr>
          <w:rFonts w:ascii="Times New Roman;serif" w:hAnsi="Times New Roman;serif"/>
          <w:b w:val="false"/>
          <w:color w:val="000000"/>
          <w:sz w:val="20"/>
        </w:rPr>
        <w:t>    </w:t>
      </w:r>
      <w:hyperlink r:id="rId8">
        <w:r>
          <w:rPr>
            <w:rStyle w:val="InternetLink"/>
          </w:rPr>
          <w:t>Certificate of Designations of 7.00% Series C Fixed-to-Floating Rate Cumulative Redeemable Preferred Stock, incorporated herein by reference to Exhibit 3.5 of Form 8-A (File No. 001-34057), filed August 18, 2017.</w:t>
        </w:r>
      </w:hyperlink>
    </w:p>
    <w:p>
      <w:pPr>
        <w:pStyle w:val="TextBody"/>
        <w:bidi w:val="0"/>
        <w:spacing w:lineRule="auto" w:line="288" w:before="180" w:after="283"/>
        <w:ind w:left="0" w:right="0" w:hanging="1440"/>
        <w:jc w:val="both"/>
        <w:rPr/>
      </w:pPr>
      <w:hyperlink r:id="rId9">
        <w:r>
          <w:rPr>
            <w:rStyle w:val="InternetLink"/>
          </w:rPr>
          <w:t>*3.4</w:t>
        </w:r>
      </w:hyperlink>
      <w:r>
        <w:rPr>
          <w:rFonts w:ascii="Times New Roman;serif" w:hAnsi="Times New Roman;serif"/>
          <w:b w:val="false"/>
          <w:color w:val="000000"/>
          <w:sz w:val="20"/>
        </w:rPr>
        <w:t>    </w:t>
      </w:r>
      <w:hyperlink r:id="rId10">
        <w:r>
          <w:rPr>
            <w:rStyle w:val="InternetLink"/>
          </w:rPr>
          <w:t>Certificate of Elimination of 8.000% Series A Cumulative Redeemable Preferred Stock, incorporated herein by reference to Exhibit 3.1 of Form 8-K (File No 001-34057), filed October 26, 2017.</w:t>
        </w:r>
      </w:hyperlink>
    </w:p>
    <w:p>
      <w:pPr>
        <w:pStyle w:val="TextBody"/>
        <w:bidi w:val="0"/>
        <w:spacing w:lineRule="auto" w:line="288" w:before="180" w:after="283"/>
        <w:ind w:left="0" w:right="0" w:hanging="1440"/>
        <w:jc w:val="both"/>
        <w:rPr/>
      </w:pPr>
      <w:hyperlink r:id="rId11">
        <w:r>
          <w:rPr>
            <w:rStyle w:val="InternetLink"/>
          </w:rPr>
          <w:t>*3.5</w:t>
        </w:r>
      </w:hyperlink>
      <w:r>
        <w:rPr>
          <w:rFonts w:ascii="Times New Roman;serif" w:hAnsi="Times New Roman;serif"/>
          <w:b w:val="false"/>
          <w:color w:val="000000"/>
          <w:sz w:val="20"/>
        </w:rPr>
        <w:t>    </w:t>
      </w:r>
      <w:hyperlink r:id="rId12">
        <w:r>
          <w:rPr>
            <w:rStyle w:val="InternetLink"/>
          </w:rPr>
          <w:t>Certificate of Designations of 6.875% Series D Fixed-to-Floating Rate Cumulative Redeemable Preferred Stock, incorporated herein by reference to Exhibit 3.5 of Form 8-A (File No 001-34057), filed March 6, 2019.</w:t>
        </w:r>
      </w:hyperlink>
    </w:p>
    <w:p>
      <w:pPr>
        <w:pStyle w:val="TextBody"/>
        <w:bidi w:val="0"/>
        <w:spacing w:lineRule="auto" w:line="288" w:before="180" w:after="283"/>
        <w:ind w:left="0" w:right="0" w:hanging="1440"/>
        <w:jc w:val="both"/>
        <w:rPr/>
      </w:pPr>
      <w:hyperlink r:id="rId13">
        <w:r>
          <w:rPr>
            <w:rStyle w:val="InternetLink"/>
          </w:rPr>
          <w:t>*3.6</w:t>
        </w:r>
      </w:hyperlink>
      <w:r>
        <w:rPr>
          <w:rFonts w:ascii="Times New Roman;serif" w:hAnsi="Times New Roman;serif"/>
          <w:b w:val="false"/>
          <w:color w:val="000000"/>
          <w:sz w:val="20"/>
        </w:rPr>
        <w:t>    </w:t>
      </w:r>
      <w:hyperlink r:id="rId14">
        <w:r>
          <w:rPr>
            <w:rStyle w:val="InternetLink"/>
          </w:rPr>
          <w:t>Certificate of Designations of 6.50% Series E Fixed-to-Floating Rate Cumulative Redeemable Preferred Stock, incorporated herein by reference to Exhibit 3.6 of Form 8-A (File No 001-34057), filed October 3, 2019.</w:t>
        </w:r>
      </w:hyperlink>
    </w:p>
    <w:p>
      <w:pPr>
        <w:pStyle w:val="TextBody"/>
        <w:bidi w:val="0"/>
        <w:spacing w:lineRule="auto" w:line="288" w:before="180" w:after="283"/>
        <w:ind w:left="0" w:right="0" w:hanging="1440"/>
        <w:jc w:val="both"/>
        <w:rPr/>
      </w:pPr>
      <w:hyperlink r:id="rId15">
        <w:r>
          <w:rPr>
            <w:rStyle w:val="InternetLink"/>
          </w:rPr>
          <w:t>*3.7</w:t>
        </w:r>
      </w:hyperlink>
      <w:r>
        <w:rPr>
          <w:rFonts w:ascii="Times New Roman;serif" w:hAnsi="Times New Roman;serif"/>
          <w:b w:val="false"/>
          <w:color w:val="000000"/>
          <w:sz w:val="20"/>
        </w:rPr>
        <w:t>    </w:t>
      </w:r>
      <w:hyperlink r:id="rId16">
        <w:r>
          <w:rPr>
            <w:rStyle w:val="InternetLink"/>
          </w:rPr>
          <w:t>Certificate of Elimination of 7.750% Series B Cumulative Redeemable Preferred Stock, incorporated herein by reference to Exhibit 3.1 of Form 8-K (File No 001-34057), filed December 13, 2019.</w:t>
        </w:r>
      </w:hyperlink>
    </w:p>
    <w:p>
      <w:pPr>
        <w:pStyle w:val="TextBody"/>
        <w:bidi w:val="0"/>
        <w:spacing w:lineRule="auto" w:line="288" w:before="180" w:after="283"/>
        <w:ind w:left="0" w:right="0" w:hanging="1440"/>
        <w:jc w:val="both"/>
        <w:rPr/>
      </w:pPr>
      <w:hyperlink r:id="rId17">
        <w:r>
          <w:rPr>
            <w:rStyle w:val="InternetLink"/>
          </w:rPr>
          <w:t>*3.8</w:t>
        </w:r>
      </w:hyperlink>
      <w:r>
        <w:rPr>
          <w:rFonts w:ascii="Times New Roman;serif" w:hAnsi="Times New Roman;serif"/>
          <w:b w:val="false"/>
          <w:color w:val="000000"/>
          <w:sz w:val="20"/>
        </w:rPr>
        <w:t>    </w:t>
      </w:r>
      <w:hyperlink r:id="rId18">
        <w:r>
          <w:rPr>
            <w:rStyle w:val="InternetLink"/>
          </w:rPr>
          <w:t>Certificate of Designations of 6.125% Series F Fixed-to-Floating Rate Cumulative Redeemable Preferred Stock, incorporated herein by reference to Exhibit 3.6 of Form 8-A (File No 001-34057), filed February 11, 2020.</w:t>
        </w:r>
      </w:hyperlink>
    </w:p>
    <w:p>
      <w:pPr>
        <w:pStyle w:val="TextBody"/>
        <w:bidi w:val="0"/>
        <w:spacing w:lineRule="auto" w:line="288" w:before="180" w:after="283"/>
        <w:ind w:left="0" w:right="0" w:hanging="1440"/>
        <w:jc w:val="both"/>
        <w:rPr/>
      </w:pPr>
      <w:hyperlink r:id="rId19">
        <w:r>
          <w:rPr>
            <w:rStyle w:val="InternetLink"/>
          </w:rPr>
          <w:t>*3.9</w:t>
        </w:r>
      </w:hyperlink>
      <w:r>
        <w:rPr>
          <w:rFonts w:ascii="Times New Roman;serif" w:hAnsi="Times New Roman;serif"/>
          <w:b w:val="false"/>
          <w:color w:val="000000"/>
          <w:sz w:val="20"/>
        </w:rPr>
        <w:t>    </w:t>
      </w:r>
      <w:hyperlink r:id="rId20">
        <w:r>
          <w:rPr>
            <w:rStyle w:val="InternetLink"/>
          </w:rPr>
          <w:t>Certificate of Designations of 7.75% Series G Fixed-Rate Reset Cumulative Redeemable Preferred Stock, incorporated herein by reference to Exhibit 3.7 of Form 8-A (File No 001-34057), filed September 14, 2022.</w:t>
        </w:r>
      </w:hyperlink>
    </w:p>
    <w:p>
      <w:pPr>
        <w:pStyle w:val="TextBody"/>
        <w:bidi w:val="0"/>
        <w:spacing w:lineRule="auto" w:line="288" w:before="180" w:after="283"/>
        <w:ind w:left="0" w:right="0" w:hanging="1440"/>
        <w:jc w:val="both"/>
        <w:rPr/>
      </w:pPr>
      <w:hyperlink r:id="rId21">
        <w:r>
          <w:rPr>
            <w:rStyle w:val="InternetLink"/>
          </w:rPr>
          <w:t>*4.1</w:t>
        </w:r>
      </w:hyperlink>
      <w:r>
        <w:rPr>
          <w:rFonts w:ascii="Times New Roman;serif" w:hAnsi="Times New Roman;serif"/>
          <w:b w:val="false"/>
          <w:color w:val="000000"/>
          <w:sz w:val="20"/>
        </w:rPr>
        <w:t>    </w:t>
      </w:r>
      <w:hyperlink r:id="rId22">
        <w:r>
          <w:rPr>
            <w:rStyle w:val="InternetLink"/>
          </w:rPr>
          <w:t>Instruments defining the rights of holders of securities: See Article IV of our Amended and Restated Certificate of Incorporation, as amended, incorporated herein by reference to Exhibit 3.1 of Form 10-Q for the quarter ended March 31, 2025 (File No. 001-34057), filed May 2, 2025.</w:t>
        </w:r>
      </w:hyperlink>
    </w:p>
    <w:p>
      <w:pPr>
        <w:pStyle w:val="TextBody"/>
        <w:bidi w:val="0"/>
        <w:spacing w:lineRule="auto" w:line="288" w:before="180" w:after="283"/>
        <w:ind w:left="0" w:right="0" w:hanging="1440"/>
        <w:jc w:val="both"/>
        <w:rPr/>
      </w:pPr>
      <w:hyperlink r:id="rId23">
        <w:r>
          <w:rPr>
            <w:rStyle w:val="InternetLink"/>
          </w:rPr>
          <w:t>*4.2</w:t>
        </w:r>
      </w:hyperlink>
      <w:r>
        <w:rPr>
          <w:rFonts w:ascii="Times New Roman;serif" w:hAnsi="Times New Roman;serif"/>
          <w:b w:val="false"/>
          <w:color w:val="000000"/>
          <w:sz w:val="20"/>
        </w:rPr>
        <w:t>    </w:t>
      </w:r>
      <w:hyperlink r:id="rId24">
        <w:r>
          <w:rPr>
            <w:rStyle w:val="InternetLink"/>
          </w:rPr>
          <w:t>Instruments defining the rights of holders of securities: See Article VI of our Amended and Restated Bylaws, as amended, incorporated herein by reference to Exhibit 3.1 of Form 8-K, filed July 21, 2023.</w:t>
        </w:r>
      </w:hyperlink>
    </w:p>
    <w:p>
      <w:pPr>
        <w:pStyle w:val="TextBody"/>
        <w:bidi w:val="0"/>
        <w:spacing w:lineRule="auto" w:line="288" w:before="180" w:after="283"/>
        <w:ind w:left="0" w:right="0" w:hanging="1440"/>
        <w:jc w:val="both"/>
        <w:rPr/>
      </w:pPr>
      <w:hyperlink r:id="rId25">
        <w:r>
          <w:rPr>
            <w:rStyle w:val="InternetLink"/>
          </w:rPr>
          <w:t>*4.3</w:t>
        </w:r>
      </w:hyperlink>
      <w:r>
        <w:rPr>
          <w:rFonts w:ascii="Times New Roman;serif" w:hAnsi="Times New Roman;serif"/>
          <w:b w:val="false"/>
          <w:color w:val="000000"/>
          <w:sz w:val="20"/>
        </w:rPr>
        <w:t>    </w:t>
      </w:r>
      <w:hyperlink r:id="rId26">
        <w:r>
          <w:rPr>
            <w:rStyle w:val="InternetLink"/>
          </w:rPr>
          <w:t>Form of Certificate for Common Stock, incorporated herein by reference to Exhibit 4.3 of Form 10-Q for the quarter ended September 30, 2022 (File No. 001-34057), filed November 7, 2022.</w:t>
        </w:r>
      </w:hyperlink>
    </w:p>
    <w:p>
      <w:pPr>
        <w:pStyle w:val="TextBody"/>
        <w:bidi w:val="0"/>
        <w:spacing w:lineRule="auto" w:line="288" w:before="180" w:after="283"/>
        <w:ind w:left="0" w:right="0" w:hanging="1440"/>
        <w:jc w:val="both"/>
        <w:rPr/>
      </w:pPr>
      <w:hyperlink r:id="rId27">
        <w:r>
          <w:rPr>
            <w:rStyle w:val="InternetLink"/>
          </w:rPr>
          <w:t>*4.4</w:t>
        </w:r>
      </w:hyperlink>
      <w:r>
        <w:rPr>
          <w:rFonts w:ascii="Times New Roman;serif" w:hAnsi="Times New Roman;serif"/>
          <w:b w:val="false"/>
          <w:color w:val="000000"/>
          <w:sz w:val="20"/>
        </w:rPr>
        <w:t>    </w:t>
      </w:r>
      <w:hyperlink r:id="rId28">
        <w:r>
          <w:rPr>
            <w:rStyle w:val="InternetLink"/>
          </w:rPr>
          <w:t>Specimen 7.00% Series C Fixed-to-Floating Rate Cumulative Redeemable Preferred Stock Certificate, incorporated herein by reference to Exhibit 4.1 of Form 8-A (File No. 001-34057), filed August 18, 2017.</w:t>
        </w:r>
      </w:hyperlink>
    </w:p>
    <w:p>
      <w:pPr>
        <w:pStyle w:val="TextBody"/>
        <w:bidi w:val="0"/>
        <w:spacing w:lineRule="auto" w:line="288" w:before="180" w:after="283"/>
        <w:ind w:left="0" w:right="0" w:hanging="1440"/>
        <w:jc w:val="both"/>
        <w:rPr/>
      </w:pPr>
      <w:hyperlink r:id="rId29">
        <w:r>
          <w:rPr>
            <w:rStyle w:val="InternetLink"/>
          </w:rPr>
          <w:t>*4.5</w:t>
        </w:r>
      </w:hyperlink>
      <w:r>
        <w:rPr>
          <w:rFonts w:ascii="Times New Roman;serif" w:hAnsi="Times New Roman;serif"/>
          <w:b w:val="false"/>
          <w:color w:val="000000"/>
          <w:sz w:val="20"/>
        </w:rPr>
        <w:t>    </w:t>
      </w:r>
      <w:hyperlink r:id="rId30">
        <w:r>
          <w:rPr>
            <w:rStyle w:val="InternetLink"/>
          </w:rPr>
          <w:t>Specimen 6.875% Series D Fixed-to-Floating Rate Cumulative Redeemable Preferred Stock Certificate, incorporated herein by reference to Exhibit 4.1 of Form 8-A (File No. 001-34057), filed March 6, 2019.</w:t>
        </w:r>
      </w:hyperlink>
    </w:p>
    <w:p>
      <w:pPr>
        <w:pStyle w:val="TextBody"/>
        <w:bidi w:val="0"/>
        <w:spacing w:lineRule="auto" w:line="288" w:before="180" w:after="283"/>
        <w:ind w:left="0" w:right="0" w:hanging="1440"/>
        <w:jc w:val="both"/>
        <w:rPr/>
      </w:pPr>
      <w:hyperlink r:id="rId31">
        <w:r>
          <w:rPr>
            <w:rStyle w:val="InternetLink"/>
          </w:rPr>
          <w:t>*4.6</w:t>
        </w:r>
      </w:hyperlink>
      <w:r>
        <w:rPr>
          <w:rFonts w:ascii="Times New Roman;serif" w:hAnsi="Times New Roman;serif"/>
          <w:b w:val="false"/>
          <w:color w:val="000000"/>
          <w:sz w:val="20"/>
        </w:rPr>
        <w:t>    </w:t>
      </w:r>
      <w:hyperlink r:id="rId32">
        <w:r>
          <w:rPr>
            <w:rStyle w:val="InternetLink"/>
          </w:rPr>
          <w:t>Specimen 6.50% Series E Fixed-to-Floating Rate Cumulative Redeemable Preferred Stock Certificate, incorporated herein by reference to Exhibit 4.1 of Form 8-A (File No. 001-34057), filed October 3, 2019.</w:t>
        </w:r>
      </w:hyperlink>
    </w:p>
    <w:p>
      <w:pPr>
        <w:pStyle w:val="TextBody"/>
        <w:bidi w:val="0"/>
        <w:spacing w:lineRule="auto" w:line="288" w:before="180" w:after="283"/>
        <w:ind w:left="0" w:right="0" w:hanging="1440"/>
        <w:jc w:val="both"/>
        <w:rPr/>
      </w:pPr>
      <w:hyperlink r:id="rId33">
        <w:r>
          <w:rPr>
            <w:rStyle w:val="InternetLink"/>
          </w:rPr>
          <w:t>*4.7</w:t>
        </w:r>
      </w:hyperlink>
      <w:r>
        <w:rPr>
          <w:rFonts w:ascii="Times New Roman;serif" w:hAnsi="Times New Roman;serif"/>
          <w:b w:val="false"/>
          <w:color w:val="000000"/>
          <w:sz w:val="20"/>
        </w:rPr>
        <w:t>    </w:t>
      </w:r>
      <w:hyperlink r:id="rId34">
        <w:r>
          <w:rPr>
            <w:rStyle w:val="InternetLink"/>
          </w:rPr>
          <w:t>Specimen 6.125% Series F Fixed-to-Floating Rate Cumulative Redeemable Preferred Stock Certificate, incorporated herein by reference to Exhibit 4.1 of Form 8-A (File No 001-34057), filed February 11, 2020.</w:t>
        </w:r>
      </w:hyperlink>
    </w:p>
    <w:p>
      <w:pPr>
        <w:pStyle w:val="TextBody"/>
        <w:bidi w:val="0"/>
        <w:spacing w:lineRule="auto" w:line="288" w:before="180" w:after="283"/>
        <w:ind w:left="0" w:right="0" w:hanging="1440"/>
        <w:jc w:val="both"/>
        <w:rPr/>
      </w:pPr>
      <w:hyperlink r:id="rId35">
        <w:r>
          <w:rPr>
            <w:rStyle w:val="InternetLink"/>
          </w:rPr>
          <w:t>*4.8</w:t>
        </w:r>
      </w:hyperlink>
      <w:r>
        <w:rPr>
          <w:rFonts w:ascii="Times New Roman;serif" w:hAnsi="Times New Roman;serif"/>
          <w:b w:val="false"/>
          <w:color w:val="000000"/>
          <w:sz w:val="20"/>
        </w:rPr>
        <w:t>    </w:t>
      </w:r>
      <w:hyperlink r:id="rId36">
        <w:r>
          <w:rPr>
            <w:rStyle w:val="InternetLink"/>
          </w:rPr>
          <w:t>Specimen 7.75% Series G Fixed-Rate Reset Cumulative Redeemable Preferred Stock Certificate, incorporated herein by reference to Exhibit 4.1 of Form 8-A (File No 001-34057), filed September 14, 2022.</w:t>
        </w:r>
      </w:hyperlink>
    </w:p>
    <w:p>
      <w:pPr>
        <w:pStyle w:val="TextBody"/>
        <w:bidi w:val="0"/>
        <w:spacing w:lineRule="auto" w:line="288" w:before="180" w:after="283"/>
        <w:ind w:left="0" w:right="0" w:hanging="1440"/>
        <w:jc w:val="both"/>
        <w:rPr/>
      </w:pPr>
      <w:hyperlink r:id="rId37">
        <w:r>
          <w:rPr>
            <w:rStyle w:val="InternetLink"/>
          </w:rPr>
          <w:t>*4.9</w:t>
        </w:r>
      </w:hyperlink>
      <w:r>
        <w:rPr>
          <w:rFonts w:ascii="Times New Roman;serif" w:hAnsi="Times New Roman;serif"/>
          <w:b w:val="false"/>
          <w:color w:val="000000"/>
          <w:sz w:val="20"/>
        </w:rPr>
        <w:t>    </w:t>
      </w:r>
      <w:hyperlink r:id="rId38">
        <w:r>
          <w:rPr>
            <w:rStyle w:val="InternetLink"/>
          </w:rPr>
          <w:t>Deposit Agreement relating to 7.00% Series C Fixed-to-Floating Rate Cumulative Redeemable Preferred Stock, dated August 22, 2017, among AGNC Investment Corp., Computershare Inc. and Computershare Trust Company, N.A., jointly as depositary, incorporated herein by reference to Exhibit 4.2 of Form 8-K (File No. 001-34057) filed August 22, 2017.</w:t>
        </w:r>
      </w:hyperlink>
      <w:r>
        <w:rPr>
          <w:rFonts w:ascii="Times New Roman;serif" w:hAnsi="Times New Roman;serif"/>
          <w:b w:val="false"/>
          <w:color w:val="000000"/>
          <w:sz w:val="20"/>
        </w:rPr>
        <w:t xml:space="preserve"> </w:t>
      </w:r>
    </w:p>
    <w:p>
      <w:pPr>
        <w:pStyle w:val="TextBody"/>
        <w:bidi w:val="0"/>
        <w:spacing w:lineRule="auto" w:line="288" w:before="180" w:after="283"/>
        <w:ind w:left="0" w:right="0" w:hanging="1440"/>
        <w:jc w:val="both"/>
        <w:rPr/>
      </w:pPr>
      <w:hyperlink r:id="rId39">
        <w:r>
          <w:rPr>
            <w:rStyle w:val="InternetLink"/>
          </w:rPr>
          <w:t>*4.10</w:t>
        </w:r>
      </w:hyperlink>
      <w:r>
        <w:rPr>
          <w:rFonts w:ascii="Times New Roman;serif" w:hAnsi="Times New Roman;serif"/>
          <w:b w:val="false"/>
          <w:color w:val="000000"/>
          <w:sz w:val="20"/>
        </w:rPr>
        <w:t>    </w:t>
      </w:r>
      <w:hyperlink r:id="rId40">
        <w:r>
          <w:rPr>
            <w:rStyle w:val="InternetLink"/>
          </w:rPr>
          <w:t>Form of Depositary Receipt representing 1/1,000th of a share of 7.00% Series C Fixed-to-Floating Rate Cumulative Redeemable Preferred Stock (included as part of Exhibit 4.9), incorporated herein by reference to Exhibit A of Exhibit 4.2 of Form 8-K (File No. 001-34057) filed August 22, 2017.</w:t>
        </w:r>
      </w:hyperlink>
    </w:p>
    <w:p>
      <w:pPr>
        <w:pStyle w:val="TextBody"/>
        <w:bidi w:val="0"/>
        <w:spacing w:lineRule="auto" w:line="288" w:before="180" w:after="283"/>
        <w:ind w:left="0" w:right="0" w:hanging="1440"/>
        <w:jc w:val="both"/>
        <w:rPr/>
      </w:pPr>
      <w:hyperlink r:id="rId41">
        <w:r>
          <w:rPr>
            <w:rStyle w:val="InternetLink"/>
          </w:rPr>
          <w:t>*4.11</w:t>
        </w:r>
      </w:hyperlink>
      <w:r>
        <w:rPr>
          <w:rFonts w:ascii="Times New Roman;serif" w:hAnsi="Times New Roman;serif"/>
          <w:b w:val="false"/>
          <w:color w:val="000000"/>
          <w:sz w:val="20"/>
        </w:rPr>
        <w:t>    </w:t>
      </w:r>
      <w:hyperlink r:id="rId42">
        <w:r>
          <w:rPr>
            <w:rStyle w:val="InternetLink"/>
          </w:rPr>
          <w:t xml:space="preserve">Deposit Agreement relating to 6.875% Series D Fixed-to-Floating Rate Cumulative Redeemable Preferred Stock, dated March 6, 2019, among AGNC Investment Corp., Computershare Inc. and Computershare Trust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hyperlink r:id="rId43">
        <w:r>
          <w:rPr>
            <w:rStyle w:val="InternetLink"/>
            <w:rFonts w:ascii="Times New Roman;serif" w:hAnsi="Times New Roman;serif"/>
            <w:b w:val="false"/>
            <w:color w:val="000000"/>
            <w:sz w:val="20"/>
          </w:rPr>
          <w:t xml:space="preserve">Company, N.A., jointly as depositary, incorporated herein by reference to Exhibit 4.2 of Form 8-K (File No. 001-34057) filed March 6, 2019. </w:t>
        </w:r>
      </w:hyperlink>
    </w:p>
    <w:p>
      <w:pPr>
        <w:pStyle w:val="TextBody"/>
        <w:bidi w:val="0"/>
        <w:spacing w:lineRule="auto" w:line="288" w:before="180" w:after="283"/>
        <w:ind w:left="0" w:right="0" w:hanging="1440"/>
        <w:jc w:val="both"/>
        <w:rPr/>
      </w:pPr>
      <w:hyperlink r:id="rId44">
        <w:r>
          <w:rPr>
            <w:rStyle w:val="InternetLink"/>
          </w:rPr>
          <w:t>*4.12</w:t>
        </w:r>
      </w:hyperlink>
      <w:r>
        <w:rPr>
          <w:rFonts w:ascii="Times New Roman;serif" w:hAnsi="Times New Roman;serif"/>
          <w:b w:val="false"/>
          <w:color w:val="000000"/>
          <w:sz w:val="20"/>
        </w:rPr>
        <w:t>    </w:t>
      </w:r>
      <w:hyperlink r:id="rId45">
        <w:r>
          <w:rPr>
            <w:rStyle w:val="InternetLink"/>
          </w:rPr>
          <w:t>Form of Depositary Receipt representing 1/1,000th of a share of 6.875% Series D Fixed-to-Floating Rate Cumulative Redeemable Preferred Stock (included as part of Exhibit 4.11), incorporated herein by reference to Exhibit A of Exhibit 4.2 of Form 8-K (File No. 001-34057) filed March 6,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46">
        <w:r>
          <w:rPr>
            <w:rStyle w:val="InternetLink"/>
          </w:rPr>
          <w:t>*4.13</w:t>
        </w:r>
      </w:hyperlink>
      <w:r>
        <w:rPr>
          <w:rFonts w:ascii="Times New Roman;serif" w:hAnsi="Times New Roman;serif"/>
          <w:b w:val="false"/>
          <w:color w:val="000000"/>
          <w:sz w:val="20"/>
        </w:rPr>
        <w:t>    </w:t>
      </w:r>
      <w:hyperlink r:id="rId47">
        <w:r>
          <w:rPr>
            <w:rStyle w:val="InternetLink"/>
          </w:rPr>
          <w:t>Deposit Agreement relating to 6.50% Series E Fixed-to-Floating Rate Cumulative Redeemable Preferred Stock, dated October 3, 2019, among AGNC Investment Corp., Computershare Inc. and Computershare Trust Company, N.A., jointly as depositary, incorporated herein by reference to Exhibit 4.2 of Form 8-K (File No. 001-34057) filed October 3, 2019.</w:t>
        </w:r>
      </w:hyperlink>
    </w:p>
    <w:p>
      <w:pPr>
        <w:pStyle w:val="TextBody"/>
        <w:bidi w:val="0"/>
        <w:spacing w:lineRule="auto" w:line="288" w:before="180" w:after="283"/>
        <w:ind w:left="0" w:right="0" w:hanging="1440"/>
        <w:jc w:val="left"/>
        <w:rPr/>
      </w:pPr>
      <w:hyperlink r:id="rId48">
        <w:r>
          <w:rPr>
            <w:rStyle w:val="InternetLink"/>
          </w:rPr>
          <w:t>*4.14</w:t>
        </w:r>
      </w:hyperlink>
      <w:r>
        <w:rPr>
          <w:rFonts w:ascii="Times New Roman;serif" w:hAnsi="Times New Roman;serif"/>
          <w:b w:val="false"/>
          <w:color w:val="000000"/>
          <w:sz w:val="20"/>
        </w:rPr>
        <w:t>    </w:t>
      </w:r>
      <w:hyperlink r:id="rId49">
        <w:r>
          <w:rPr>
            <w:rStyle w:val="InternetLink"/>
          </w:rPr>
          <w:t>Form of Depositary Receipt representing 1/1,000th of a share of 6.50% Series E Fixed-to-Floating Rate Cumulative Redeemable Preferred Stock (included as part of Exhibit 4.13), incorporated herein by reference to Exhibit A of Exhibit 4.2 of Form 8-K (File No. 001-34057) filed October 3,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50">
        <w:r>
          <w:rPr>
            <w:rStyle w:val="InternetLink"/>
          </w:rPr>
          <w:t>*4.15</w:t>
        </w:r>
      </w:hyperlink>
      <w:r>
        <w:rPr>
          <w:rFonts w:ascii="Times New Roman;serif" w:hAnsi="Times New Roman;serif"/>
          <w:b w:val="false"/>
          <w:color w:val="000000"/>
          <w:sz w:val="20"/>
        </w:rPr>
        <w:t>    </w:t>
      </w:r>
      <w:hyperlink r:id="rId51">
        <w:r>
          <w:rPr>
            <w:rStyle w:val="InternetLink"/>
          </w:rPr>
          <w:t>Deposit Agreement relating to 6.125% Series F Fixed-to-Floating Rate Cumulative Redeemable Preferred Stock, dated February 11, 2020, among AGNC Investment Corp., Computershare Inc. and Computershare Trust Company, N.A., jointly as depositary, incorporated herein by reference to Exhibit 4.1 of Form 8-K (File No. 001-34057) filed February 11, 2020.</w:t>
        </w:r>
      </w:hyperlink>
    </w:p>
    <w:p>
      <w:pPr>
        <w:pStyle w:val="TextBody"/>
        <w:bidi w:val="0"/>
        <w:spacing w:lineRule="auto" w:line="288" w:before="180" w:after="283"/>
        <w:ind w:left="0" w:right="0" w:hanging="1440"/>
        <w:jc w:val="left"/>
        <w:rPr/>
      </w:pPr>
      <w:hyperlink r:id="rId52">
        <w:r>
          <w:rPr>
            <w:rStyle w:val="InternetLink"/>
          </w:rPr>
          <w:t>*4.16</w:t>
        </w:r>
      </w:hyperlink>
      <w:r>
        <w:rPr>
          <w:rFonts w:ascii="Times New Roman;serif" w:hAnsi="Times New Roman;serif"/>
          <w:b w:val="false"/>
          <w:color w:val="000000"/>
          <w:sz w:val="20"/>
        </w:rPr>
        <w:t>    </w:t>
      </w:r>
      <w:hyperlink r:id="rId53">
        <w:r>
          <w:rPr>
            <w:rStyle w:val="InternetLink"/>
          </w:rPr>
          <w:t>Form of Depositary Receipt representing 1/1,000th of a share of 6.125% Series F Fixed-to-Floating Rate Cumulative Redeemable Preferred Stock (included as part of Exhibit 4.15), incorporated herein by reference to Exhibit A of Exhibit 4.1 of Form 8-K (File No. 001-34057) filed February 11, 2020.</w:t>
        </w:r>
      </w:hyperlink>
    </w:p>
    <w:p>
      <w:pPr>
        <w:pStyle w:val="TextBody"/>
        <w:bidi w:val="0"/>
        <w:spacing w:lineRule="auto" w:line="288" w:before="180" w:after="283"/>
        <w:ind w:left="0" w:right="0" w:hanging="1440"/>
        <w:jc w:val="left"/>
        <w:rPr/>
      </w:pPr>
      <w:hyperlink r:id="rId54">
        <w:r>
          <w:rPr>
            <w:rStyle w:val="InternetLink"/>
          </w:rPr>
          <w:t>*4.17</w:t>
        </w:r>
      </w:hyperlink>
      <w:r>
        <w:rPr>
          <w:rFonts w:ascii="Times New Roman;serif" w:hAnsi="Times New Roman;serif"/>
          <w:b w:val="false"/>
          <w:color w:val="000000"/>
          <w:sz w:val="20"/>
        </w:rPr>
        <w:t>    </w:t>
      </w:r>
      <w:hyperlink r:id="rId55">
        <w:r>
          <w:rPr>
            <w:rStyle w:val="InternetLink"/>
          </w:rPr>
          <w:t>Deposit Agreement relating to 7.75% Series G Fixed-Rate Reset Cumulative Redeemable Preferred Stock, dated September 14, 2022, among AGNC Investment Corp., Computershare Inc. and Computershare Trust Company, N.A., jointly as depositary, incorporated herein by reference to Exhibit 4.2 of Form 8-K (File No. 001-34057) filed September 14, 2022.</w:t>
        </w:r>
      </w:hyperlink>
    </w:p>
    <w:p>
      <w:pPr>
        <w:pStyle w:val="TextBody"/>
        <w:bidi w:val="0"/>
        <w:spacing w:lineRule="auto" w:line="288" w:before="180" w:after="283"/>
        <w:ind w:left="0" w:right="0" w:hanging="1440"/>
        <w:jc w:val="left"/>
        <w:rPr/>
      </w:pPr>
      <w:hyperlink r:id="rId56">
        <w:r>
          <w:rPr>
            <w:rStyle w:val="InternetLink"/>
          </w:rPr>
          <w:t>*4.18</w:t>
        </w:r>
      </w:hyperlink>
      <w:r>
        <w:rPr>
          <w:rFonts w:ascii="Times New Roman;serif" w:hAnsi="Times New Roman;serif"/>
          <w:b w:val="false"/>
          <w:color w:val="000000"/>
          <w:sz w:val="20"/>
        </w:rPr>
        <w:t>    </w:t>
      </w:r>
      <w:hyperlink r:id="rId57">
        <w:r>
          <w:rPr>
            <w:rStyle w:val="InternetLink"/>
          </w:rPr>
          <w:t>Form of Depositary Receipt representing 1/1,000th of a share of 7.75% Series G Fixed-Rate Reset Cumulative Redeemable Preferred Stock (included as part of Exhibit 4.17), incorporated herein by reference to Exhibit A of Exhibit 4.2 of Form 8-K (File No. 001-34057) filed September 14, 2022.</w:t>
        </w:r>
      </w:hyperlink>
    </w:p>
    <w:p>
      <w:pPr>
        <w:pStyle w:val="TextBody"/>
        <w:bidi w:val="0"/>
        <w:spacing w:lineRule="auto" w:line="288" w:before="180" w:after="283"/>
        <w:ind w:left="0" w:right="0" w:hanging="1440"/>
        <w:jc w:val="left"/>
        <w:rPr/>
      </w:pPr>
      <w:hyperlink w:anchor="agncexhibit146302510-q.htm">
        <w:r>
          <w:rPr>
            <w:rStyle w:val="InternetLink"/>
          </w:rPr>
          <w:t>14</w:t>
        </w:r>
      </w:hyperlink>
      <w:r>
        <w:rPr>
          <w:rFonts w:ascii="Times New Roman;serif" w:hAnsi="Times New Roman;serif"/>
          <w:b w:val="false"/>
          <w:color w:val="000000"/>
          <w:sz w:val="20"/>
        </w:rPr>
        <w:t>    </w:t>
      </w:r>
      <w:hyperlink w:anchor="agncexhibit146302510-q.htm">
        <w:r>
          <w:rPr>
            <w:rStyle w:val="InternetLink"/>
          </w:rPr>
          <w:t>AGNC I</w:t>
        </w:r>
      </w:hyperlink>
      <w:hyperlink w:anchor="agncexhibit146302510-q.htm">
        <w:r>
          <w:rPr>
            <w:rStyle w:val="InternetLink"/>
          </w:rPr>
          <w:t>nv</w:t>
        </w:r>
      </w:hyperlink>
      <w:hyperlink w:anchor="agncexhibit146302510-q.htm">
        <w:r>
          <w:rPr>
            <w:rStyle w:val="InternetLink"/>
          </w:rPr>
          <w:t xml:space="preserve">estment Corp. Code of Ethics and Conduct, </w:t>
        </w:r>
      </w:hyperlink>
      <w:hyperlink w:anchor="agncexhibit146302510-q.htm">
        <w:r>
          <w:rPr>
            <w:rStyle w:val="InternetLink"/>
          </w:rPr>
          <w:t xml:space="preserve">adopted July </w:t>
        </w:r>
      </w:hyperlink>
      <w:hyperlink w:anchor="agncexhibit146302510-q.htm">
        <w:r>
          <w:rPr>
            <w:rStyle w:val="InternetLink"/>
          </w:rPr>
          <w:t>17, 2025, filed herewith.</w:t>
        </w:r>
      </w:hyperlink>
    </w:p>
    <w:p>
      <w:pPr>
        <w:pStyle w:val="TextBody"/>
        <w:bidi w:val="0"/>
        <w:spacing w:lineRule="auto" w:line="288" w:before="180" w:after="283"/>
        <w:ind w:left="0" w:right="0" w:hanging="1440"/>
        <w:jc w:val="both"/>
        <w:rPr/>
      </w:pPr>
      <w:hyperlink w:anchor="agncexhibit3116302510-q.htm">
        <w:r>
          <w:rPr>
            <w:rStyle w:val="InternetLink"/>
          </w:rPr>
          <w:t>31.1</w:t>
        </w:r>
      </w:hyperlink>
      <w:r>
        <w:rPr>
          <w:rFonts w:ascii="Times New Roman;serif" w:hAnsi="Times New Roman;serif"/>
          <w:b w:val="false"/>
          <w:color w:val="000000"/>
          <w:sz w:val="20"/>
        </w:rPr>
        <w:t>    </w:t>
      </w:r>
      <w:hyperlink w:anchor="agncexhibit3116302510-q.htm">
        <w:r>
          <w:rPr>
            <w:rStyle w:val="InternetLink"/>
          </w:rPr>
          <w:t>Certification of CEO Pursuant to Section 302(a) of the Sarbanes-Oxley Act of 2002.</w:t>
        </w:r>
      </w:hyperlink>
    </w:p>
    <w:p>
      <w:pPr>
        <w:pStyle w:val="TextBody"/>
        <w:bidi w:val="0"/>
        <w:spacing w:lineRule="auto" w:line="288" w:before="180" w:after="283"/>
        <w:ind w:left="0" w:right="0" w:hanging="1440"/>
        <w:jc w:val="both"/>
        <w:rPr/>
      </w:pPr>
      <w:hyperlink w:anchor="agncexhibit3126302510-q.htm">
        <w:r>
          <w:rPr>
            <w:rStyle w:val="InternetLink"/>
          </w:rPr>
          <w:t>31.2</w:t>
        </w:r>
      </w:hyperlink>
      <w:r>
        <w:rPr>
          <w:rFonts w:ascii="Times New Roman;serif" w:hAnsi="Times New Roman;serif"/>
          <w:b w:val="false"/>
          <w:color w:val="000000"/>
          <w:sz w:val="20"/>
        </w:rPr>
        <w:t>    </w:t>
      </w:r>
      <w:hyperlink w:anchor="agncexhibit3126302510-q.htm">
        <w:r>
          <w:rPr>
            <w:rStyle w:val="InternetLink"/>
          </w:rPr>
          <w:t>Certification of CFO Pursuant to Section 302(a) of the Sarbanes-Oxley Act of 2002.</w:t>
        </w:r>
      </w:hyperlink>
    </w:p>
    <w:p>
      <w:pPr>
        <w:pStyle w:val="TextBody"/>
        <w:bidi w:val="0"/>
        <w:spacing w:lineRule="auto" w:line="288" w:before="180" w:after="283"/>
        <w:ind w:left="0" w:right="0" w:hanging="1440"/>
        <w:jc w:val="both"/>
        <w:rPr/>
      </w:pPr>
      <w:hyperlink w:anchor="agncexhibit326302510-q.htm">
        <w:r>
          <w:rPr>
            <w:rStyle w:val="InternetLink"/>
          </w:rPr>
          <w:t>32</w:t>
        </w:r>
      </w:hyperlink>
      <w:r>
        <w:rPr>
          <w:rFonts w:ascii="Times New Roman;serif" w:hAnsi="Times New Roman;serif"/>
          <w:b w:val="false"/>
          <w:color w:val="000000"/>
          <w:sz w:val="20"/>
        </w:rPr>
        <w:t>    </w:t>
      </w:r>
      <w:hyperlink w:anchor="agncexhibit326302510-q.htm">
        <w:r>
          <w:rPr>
            <w:rStyle w:val="InternetLink"/>
          </w:rPr>
          <w:t>Certification of CEO and CFO Pursuant to Section 906 of the Sarbanes-Oxley Act of 2002.</w:t>
        </w:r>
      </w:hyperlink>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The instance document does not appear in the interactive data file because its XBRL tags are embedded within the inline XBRL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Exhibits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See the exhibits filed herewith.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Additional financial statement schedules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Company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737"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367"/>
        <w:gridCol w:w="367"/>
        <w:gridCol w:w="367"/>
        <w:gridCol w:w="1858"/>
        <w:gridCol w:w="1858"/>
        <w:gridCol w:w="26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AGNC I</w:t>
            </w:r>
            <w:r>
              <w:rPr>
                <w:rFonts w:ascii="Times New Roman;serif" w:hAnsi="Times New Roman;serif"/>
                <w:b w:val="false"/>
                <w:color w:val="000000"/>
                <w:sz w:val="16"/>
              </w:rPr>
              <w:t>NVESTMENT</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ORP</w:t>
            </w:r>
            <w:r>
              <w:rPr>
                <w:rFonts w:ascii="Times New Roman;serif" w:hAnsi="Times New Roman;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Peter J. Federico</w:t>
              <w:br/>
              <w:t>President, Chief Executive Officer and</w:t>
              <w:br/>
              <w:t>Chief Investment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Bernice E. Bell</w:t>
              <w:br/>
              <w:t xml:space="preserve">Executive Vice President and </w:t>
              <w:br/>
              <w:t>Chief Financial Officer (Principal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14</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AGNC INVESTMENT CORP. CODE OF ETHICS AND CONDUCT</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Adopted: July 17, 2025</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    INTRODUCTION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AGNC Investment Corp. (“AGNC”) has adopted this Code of Ethics and Conduct to communicate to all AGNC people the ethical and legal standards that we expect you to observe when dealing with AGNC, your AGNC colleagues, and others with whom we do business.</w:t>
      </w:r>
    </w:p>
    <w:p>
      <w:pPr>
        <w:pStyle w:val="TextBody"/>
        <w:bidi w:val="0"/>
        <w:spacing w:lineRule="auto" w:line="288" w:before="120" w:after="283"/>
        <w:jc w:val="both"/>
        <w:rPr/>
      </w:pPr>
      <w:r>
        <w:rPr>
          <w:rFonts w:ascii="Times New Roman;serif" w:hAnsi="Times New Roman;serif"/>
          <w:b w:val="false"/>
          <w:color w:val="000000"/>
          <w:sz w:val="22"/>
        </w:rPr>
        <w:t>Throughout this Code, we use the terms “AGNC people,” “you” and “your” to refer to all of AGNC’s and its subsidiaries’ directors, executive officers, employees and independent contractors, and the terms “AGNC,” the “company,” “we” and “our” to refer to AGNC and its subsidiaries.</w:t>
      </w:r>
      <w:r>
        <w:rPr>
          <w:color w:val="000000"/>
        </w:rPr>
        <w:t xml:space="preserve"> </w:t>
      </w:r>
      <w:r>
        <w:rPr>
          <w:rFonts w:ascii="Times New Roman;serif" w:hAnsi="Times New Roman;serif"/>
          <w:b w:val="false"/>
          <w:color w:val="000000"/>
          <w:sz w:val="22"/>
        </w:rPr>
        <w:t>We use the term “Code” to refer to this document, as it may be amended from time to time.</w:t>
      </w:r>
    </w:p>
    <w:p>
      <w:pPr>
        <w:pStyle w:val="TextBody"/>
        <w:bidi w:val="0"/>
        <w:spacing w:lineRule="auto" w:line="288" w:before="120" w:after="283"/>
        <w:jc w:val="both"/>
        <w:rPr/>
      </w:pPr>
      <w:r>
        <w:rPr>
          <w:rFonts w:ascii="Times New Roman;serif" w:hAnsi="Times New Roman;serif"/>
          <w:b w:val="false"/>
          <w:color w:val="000000"/>
          <w:sz w:val="22"/>
        </w:rPr>
        <w:t>We expect all AGNC people to act ethically and obey the law.</w:t>
      </w:r>
      <w:r>
        <w:rPr>
          <w:color w:val="000000"/>
        </w:rPr>
        <w:t xml:space="preserve"> </w:t>
      </w:r>
      <w:r>
        <w:rPr>
          <w:rFonts w:ascii="Times New Roman;serif" w:hAnsi="Times New Roman;serif"/>
          <w:b w:val="false"/>
          <w:color w:val="000000"/>
          <w:sz w:val="22"/>
        </w:rPr>
        <w:t>When you encounter ethical or legal issues where you are not certain about the correct course of action, you should use principles described in this Code as guideposts in deciding how to proceed.</w:t>
      </w:r>
      <w:r>
        <w:rPr>
          <w:color w:val="000000"/>
        </w:rPr>
        <w:t xml:space="preserve"> </w:t>
      </w:r>
      <w:r>
        <w:rPr>
          <w:rFonts w:ascii="Times New Roman;serif" w:hAnsi="Times New Roman;serif"/>
          <w:b w:val="false"/>
          <w:color w:val="000000"/>
          <w:sz w:val="22"/>
        </w:rPr>
        <w:t>We have adopted this Code to give you guidance for resolving these ethical and legal issues.</w:t>
      </w:r>
      <w:r>
        <w:rPr>
          <w:color w:val="000000"/>
        </w:rPr>
        <w:t xml:space="preserve"> </w:t>
      </w:r>
      <w:r>
        <w:rPr>
          <w:rFonts w:ascii="Times New Roman;serif" w:hAnsi="Times New Roman;serif"/>
          <w:b w:val="false"/>
          <w:color w:val="000000"/>
          <w:sz w:val="22"/>
        </w:rPr>
        <w:t>In particular, this Code addresses the following general topics: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Observing all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Avoiding conflicts of interest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Maintaining accurate and complete company records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Protecting confidential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B.    OBSERVING ALL LAWS, RULES AND REGULATIONS</w:t>
      </w:r>
    </w:p>
    <w:p>
      <w:pPr>
        <w:pStyle w:val="TextBody"/>
        <w:bidi w:val="0"/>
        <w:spacing w:lineRule="auto" w:line="288" w:before="120" w:after="283"/>
        <w:ind w:left="0" w:right="0" w:hanging="360"/>
        <w:jc w:val="both"/>
        <w:rPr/>
      </w:pPr>
      <w:r>
        <w:rPr>
          <w:rFonts w:ascii="Times New Roman;serif" w:hAnsi="Times New Roman;serif"/>
          <w:b/>
          <w:color w:val="000000"/>
          <w:sz w:val="24"/>
        </w:rPr>
        <w:t>1.</w:t>
      </w:r>
      <w:r>
        <w:rPr>
          <w:rFonts w:ascii="Times New Roman;serif" w:hAnsi="Times New Roman;serif"/>
          <w:b/>
          <w:color w:val="000000"/>
          <w:sz w:val="22"/>
        </w:rPr>
        <w:t>GENERALLY</w:t>
      </w:r>
    </w:p>
    <w:p>
      <w:pPr>
        <w:pStyle w:val="TextBody"/>
        <w:bidi w:val="0"/>
        <w:spacing w:lineRule="auto" w:line="288" w:before="120" w:after="283"/>
        <w:jc w:val="both"/>
        <w:rPr/>
      </w:pPr>
      <w:r>
        <w:rPr>
          <w:rFonts w:ascii="Times New Roman;serif" w:hAnsi="Times New Roman;serif"/>
          <w:b w:val="false"/>
          <w:color w:val="000000"/>
          <w:sz w:val="22"/>
        </w:rPr>
        <w:t>We expect you to comply with all applicable local, state and federal laws, rules and regulations, both domestic and international, and refrain from illegal, dishonest or unethical conduct.</w:t>
      </w:r>
      <w:r>
        <w:rPr>
          <w:color w:val="000000"/>
        </w:rPr>
        <w:t xml:space="preserve"> </w:t>
      </w:r>
      <w:r>
        <w:rPr>
          <w:rFonts w:ascii="Times New Roman;serif" w:hAnsi="Times New Roman;serif"/>
          <w:b w:val="false"/>
          <w:color w:val="000000"/>
          <w:sz w:val="22"/>
        </w:rPr>
        <w:t>Although laws, rules and regulations may sometimes be ambiguous and difficult to interpret, we expect you to make a good-faith effort to follow both the letter and the spirit of the law.</w:t>
      </w:r>
    </w:p>
    <w:p>
      <w:pPr>
        <w:pStyle w:val="TextBody"/>
        <w:bidi w:val="0"/>
        <w:spacing w:lineRule="auto" w:line="288" w:before="120" w:after="283"/>
        <w:jc w:val="both"/>
        <w:rPr/>
      </w:pPr>
      <w:r>
        <w:rPr>
          <w:rFonts w:ascii="Times New Roman;serif" w:hAnsi="Times New Roman;serif"/>
          <w:b w:val="false"/>
          <w:color w:val="000000"/>
          <w:sz w:val="22"/>
        </w:rPr>
        <w:t>In addition, we expect you to comply with all AGNC policies and procedures that apply to you.</w:t>
      </w:r>
      <w:r>
        <w:rPr>
          <w:color w:val="000000"/>
        </w:rPr>
        <w:t xml:space="preserve"> </w:t>
      </w:r>
      <w:r>
        <w:rPr>
          <w:rFonts w:ascii="Times New Roman;serif" w:hAnsi="Times New Roman;serif"/>
          <w:b w:val="false"/>
          <w:color w:val="000000"/>
          <w:sz w:val="22"/>
        </w:rPr>
        <w:t>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w:t>
      </w:r>
      <w:r>
        <w:rPr>
          <w:color w:val="000000"/>
        </w:rPr>
        <w:t xml:space="preserve"> </w:t>
      </w:r>
      <w:r>
        <w:rPr>
          <w:rFonts w:ascii="Times New Roman;serif" w:hAnsi="Times New Roman;serif"/>
          <w:b w:val="false"/>
          <w:color w:val="000000"/>
          <w:sz w:val="22"/>
        </w:rPr>
        <w:t xml:space="preserve">We may modify or update these policies and procedures in the future and adopt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new company policies and procedures from time to time.</w:t>
      </w:r>
      <w:r>
        <w:rPr>
          <w:color w:val="000000"/>
        </w:rPr>
        <w:t xml:space="preserve"> </w:t>
      </w:r>
      <w:r>
        <w:rPr>
          <w:rFonts w:ascii="Times New Roman;serif" w:hAnsi="Times New Roman;serif"/>
          <w:b w:val="false"/>
          <w:color w:val="000000"/>
          <w:sz w:val="22"/>
        </w:rPr>
        <w:t>You are also expected to observe the terms of any confidentiality agreement, employment agreement, consulting agreement or other similar agreement that applies to you.</w:t>
      </w:r>
      <w:r>
        <w:rPr>
          <w:color w:val="000000"/>
        </w:rPr>
        <w:t xml:space="preserve"> </w:t>
      </w:r>
      <w:r>
        <w:rPr>
          <w:rFonts w:ascii="Times New Roman;serif" w:hAnsi="Times New Roman;serif"/>
          <w:b w:val="false"/>
          <w:color w:val="000000"/>
          <w:sz w:val="22"/>
        </w:rPr>
        <w:t>If you previously signed one of these agreements with AGNC, it remains in full force and effect.</w:t>
      </w:r>
    </w:p>
    <w:p>
      <w:pPr>
        <w:pStyle w:val="TextBody"/>
        <w:bidi w:val="0"/>
        <w:spacing w:lineRule="auto" w:line="288" w:before="120" w:after="283"/>
        <w:ind w:left="0" w:right="0" w:hanging="360"/>
        <w:jc w:val="both"/>
        <w:rPr/>
      </w:pPr>
      <w:r>
        <w:rPr>
          <w:rFonts w:ascii="Times New Roman;serif" w:hAnsi="Times New Roman;serif"/>
          <w:b/>
          <w:color w:val="000000"/>
          <w:sz w:val="24"/>
        </w:rPr>
        <w:t>2.</w:t>
      </w:r>
      <w:r>
        <w:rPr>
          <w:rFonts w:ascii="Times New Roman;serif" w:hAnsi="Times New Roman;serif"/>
          <w:b/>
          <w:color w:val="000000"/>
          <w:sz w:val="22"/>
        </w:rPr>
        <w:t>BRIBES AND KICKBACKS</w:t>
      </w:r>
    </w:p>
    <w:p>
      <w:pPr>
        <w:pStyle w:val="TextBody"/>
        <w:bidi w:val="0"/>
        <w:spacing w:lineRule="auto" w:line="288" w:before="120" w:after="283"/>
        <w:jc w:val="both"/>
        <w:rPr/>
      </w:pPr>
      <w:r>
        <w:rPr>
          <w:rFonts w:ascii="Times New Roman;serif" w:hAnsi="Times New Roman;serif"/>
          <w:b w:val="false"/>
          <w:color w:val="000000"/>
          <w:sz w:val="22"/>
        </w:rPr>
        <w:t>Bribery is illegal and subject to criminal penalties in the United States and many other countries.</w:t>
      </w:r>
      <w:r>
        <w:rPr>
          <w:color w:val="000000"/>
        </w:rPr>
        <w:t xml:space="preserve"> </w:t>
      </w:r>
      <w:r>
        <w:rPr>
          <w:rFonts w:ascii="Times New Roman;serif" w:hAnsi="Times New Roman;serif"/>
          <w:b w:val="false"/>
          <w:color w:val="000000"/>
          <w:sz w:val="22"/>
        </w:rPr>
        <w:t>Bribery is forbidden under the U.S. Foreign Corrupt Practices Act (the “FCPA”), which is described in more detail in Section B.3 of this Code, and other laws, rules and regulations.</w:t>
      </w:r>
      <w:r>
        <w:rPr>
          <w:color w:val="000000"/>
        </w:rPr>
        <w:t xml:space="preserve"> </w:t>
      </w:r>
      <w:r>
        <w:rPr>
          <w:rFonts w:ascii="Times New Roman;serif" w:hAnsi="Times New Roman;serif"/>
          <w:b w:val="false"/>
          <w:color w:val="000000"/>
          <w:sz w:val="22"/>
        </w:rPr>
        <w:t>You may not give any bribes, kickbacks or other similar considerations to any person or organization to attract business.</w:t>
      </w:r>
      <w:r>
        <w:rPr>
          <w:color w:val="000000"/>
        </w:rPr>
        <w:t xml:space="preserve"> </w:t>
      </w:r>
      <w:r>
        <w:rPr>
          <w:rFonts w:ascii="Times New Roman;serif" w:hAnsi="Times New Roman;serif"/>
          <w:b w:val="false"/>
          <w:color w:val="000000"/>
          <w:sz w:val="22"/>
        </w:rPr>
        <w:t>All decisions regarding the investing of our assets or the purchasing of goods and services must be made on the basis of applicable investment or acquisition criteria, and in a way that preserves AGNC’s integrity.</w:t>
      </w:r>
    </w:p>
    <w:p>
      <w:pPr>
        <w:pStyle w:val="TextBody"/>
        <w:bidi w:val="0"/>
        <w:spacing w:lineRule="auto" w:line="288" w:before="120" w:after="283"/>
        <w:jc w:val="both"/>
        <w:rPr/>
      </w:pPr>
      <w:r>
        <w:rPr>
          <w:rFonts w:ascii="Times New Roman;serif" w:hAnsi="Times New Roman;serif"/>
          <w:b w:val="false"/>
          <w:color w:val="000000"/>
          <w:sz w:val="22"/>
        </w:rPr>
        <w:t>Fees, commissions or other amounts paid to outside consultants, agents or other third parties must be fully disclosed in our investment process or otherwise to our Chief Compliance Officer and must be legal, proper and reasonable in relation to customary commercial practice.</w:t>
      </w:r>
      <w:r>
        <w:rPr>
          <w:color w:val="000000"/>
        </w:rPr>
        <w:t xml:space="preserve"> </w:t>
      </w:r>
      <w:r>
        <w:rPr>
          <w:rFonts w:ascii="Times New Roman;serif" w:hAnsi="Times New Roman;serif"/>
          <w:b w:val="false"/>
          <w:color w:val="000000"/>
          <w:sz w:val="22"/>
        </w:rPr>
        <w:t>Payments to these persons should never be used to accomplish indirectly what AGNC could not properly or legally do directly.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also be familiar with, and observe, the provisions of Section C.3 of this Code relating to Gifts, Gratuities and Entertainment, because the giving or receiving of such items could constitute an illegal bribe or kickback under certain circumstances.</w:t>
      </w:r>
    </w:p>
    <w:p>
      <w:pPr>
        <w:pStyle w:val="TextBody"/>
        <w:bidi w:val="0"/>
        <w:spacing w:lineRule="auto" w:line="288" w:before="120" w:after="283"/>
        <w:ind w:left="0" w:right="0" w:hanging="360"/>
        <w:jc w:val="both"/>
        <w:rPr/>
      </w:pPr>
      <w:r>
        <w:rPr>
          <w:rFonts w:ascii="Times New Roman;serif" w:hAnsi="Times New Roman;serif"/>
          <w:b/>
          <w:color w:val="000000"/>
          <w:sz w:val="24"/>
        </w:rPr>
        <w:t>3.</w:t>
      </w:r>
      <w:r>
        <w:rPr>
          <w:rFonts w:ascii="Times New Roman;serif" w:hAnsi="Times New Roman;serif"/>
          <w:b/>
          <w:color w:val="000000"/>
          <w:sz w:val="22"/>
        </w:rPr>
        <w:t>POLITICAL ACTIVITY</w:t>
      </w:r>
    </w:p>
    <w:p>
      <w:pPr>
        <w:pStyle w:val="TextBody"/>
        <w:bidi w:val="0"/>
        <w:spacing w:lineRule="auto" w:line="288" w:before="120" w:after="283"/>
        <w:jc w:val="both"/>
        <w:rPr/>
      </w:pPr>
      <w:r>
        <w:rPr>
          <w:rFonts w:ascii="Times New Roman;serif" w:hAnsi="Times New Roman;serif"/>
          <w:b w:val="false"/>
          <w:color w:val="000000"/>
          <w:sz w:val="22"/>
        </w:rPr>
        <w:t>We do not make contributions or payments that could be considered a contribution to political parties or candidates or to intermediary organizations such as political action committees.</w:t>
      </w:r>
      <w:r>
        <w:rPr>
          <w:color w:val="000000"/>
        </w:rPr>
        <w:t xml:space="preserve"> </w:t>
      </w:r>
      <w:r>
        <w:rPr>
          <w:rFonts w:ascii="Times New Roman;serif" w:hAnsi="Times New Roman;serif"/>
          <w:b w:val="false"/>
          <w:color w:val="000000"/>
          <w:sz w:val="22"/>
        </w:rPr>
        <w:t>However, you are free to exercise your right to make personal political contributions within legal limits, except to the extent these contributions are otherwise prohibited or restricted by other AGNC policies.</w:t>
      </w:r>
      <w:r>
        <w:rPr>
          <w:color w:val="000000"/>
        </w:rPr>
        <w:t xml:space="preserve"> </w:t>
      </w:r>
      <w:r>
        <w:rPr>
          <w:rFonts w:ascii="Times New Roman;serif" w:hAnsi="Times New Roman;serif"/>
          <w:b w:val="false"/>
          <w:color w:val="000000"/>
          <w:sz w:val="22"/>
        </w:rPr>
        <w:t>You should not make these contributions in a way that might appear to be an endorsement or contribution by AGNC. You should be certain that you understand, and are complying with, all such laws, rules and regulations before making any political contributions.</w:t>
      </w:r>
      <w:r>
        <w:rPr>
          <w:color w:val="000000"/>
        </w:rPr>
        <w:t xml:space="preserve"> </w:t>
      </w:r>
      <w:r>
        <w:rPr>
          <w:rFonts w:ascii="Times New Roman;serif" w:hAnsi="Times New Roman;serif"/>
          <w:b w:val="false"/>
          <w:color w:val="000000"/>
          <w:sz w:val="22"/>
        </w:rPr>
        <w:t xml:space="preserve">We will not reimburse you for political contributions in any way. </w:t>
      </w:r>
    </w:p>
    <w:p>
      <w:pPr>
        <w:pStyle w:val="TextBody"/>
        <w:bidi w:val="0"/>
        <w:spacing w:lineRule="auto" w:line="288" w:before="120" w:after="283"/>
        <w:ind w:left="0" w:right="0" w:hanging="360"/>
        <w:jc w:val="both"/>
        <w:rPr/>
      </w:pPr>
      <w:r>
        <w:rPr>
          <w:rFonts w:ascii="Times New Roman;serif" w:hAnsi="Times New Roman;serif"/>
          <w:b/>
          <w:color w:val="000000"/>
          <w:sz w:val="24"/>
        </w:rPr>
        <w:t>4.</w:t>
      </w:r>
      <w:r>
        <w:rPr>
          <w:rFonts w:ascii="Times New Roman;serif" w:hAnsi="Times New Roman;serif"/>
          <w:b/>
          <w:color w:val="000000"/>
          <w:sz w:val="22"/>
        </w:rPr>
        <w:t>ANTITRUST</w:t>
      </w:r>
    </w:p>
    <w:p>
      <w:pPr>
        <w:pStyle w:val="TextBody"/>
        <w:bidi w:val="0"/>
        <w:spacing w:lineRule="auto" w:line="288" w:before="120" w:after="283"/>
        <w:jc w:val="both"/>
        <w:rPr/>
      </w:pPr>
      <w:r>
        <w:rPr>
          <w:rFonts w:ascii="Times New Roman;serif" w:hAnsi="Times New Roman;serif"/>
          <w:b w:val="false"/>
          <w:color w:val="000000"/>
          <w:sz w:val="22"/>
        </w:rPr>
        <w:t>Antitrust laws generally prohibit agreements or actions that restrain trade or reduce competition.</w:t>
      </w:r>
      <w:r>
        <w:rPr>
          <w:color w:val="000000"/>
        </w:rPr>
        <w:t xml:space="preserve"> </w:t>
      </w:r>
      <w:r>
        <w:rPr>
          <w:rFonts w:ascii="Times New Roman;serif" w:hAnsi="Times New Roman;serif"/>
          <w:b w:val="false"/>
          <w:color w:val="000000"/>
          <w:sz w:val="22"/>
        </w:rPr>
        <w:t>The free enterprise system rests on the notion that free and open competition is the best way to ensure an adequate supply of products and services at reasonable prices.</w:t>
      </w:r>
      <w:r>
        <w:rPr>
          <w:color w:val="000000"/>
        </w:rPr>
        <w:t xml:space="preserve"> </w:t>
      </w:r>
      <w:r>
        <w:rPr>
          <w:rFonts w:ascii="Times New Roman;serif" w:hAnsi="Times New Roman;serif"/>
          <w:b w:val="false"/>
          <w:color w:val="000000"/>
          <w:sz w:val="22"/>
        </w:rPr>
        <w:t>We expect you to adhere to both the spirit and the letter of the antitrust laws of the United States and with all applicable antitrust laws governing competition in any country in which AGNC does business.</w:t>
      </w:r>
      <w:r>
        <w:rPr>
          <w:color w:val="000000"/>
        </w:rPr>
        <w:t xml:space="preserve"> </w:t>
      </w:r>
      <w:r>
        <w:rPr>
          <w:rFonts w:ascii="Times New Roman;serif" w:hAnsi="Times New Roman;serif"/>
          <w:b w:val="false"/>
          <w:color w:val="000000"/>
          <w:sz w:val="22"/>
        </w:rPr>
        <w:t>Violation of antitrust laws can result in severe civil and criminal penalties, including imprisonment for individuals, and AGNC can be subjected to substantial fines and damage awards.</w:t>
      </w:r>
    </w:p>
    <w:p>
      <w:pPr>
        <w:pStyle w:val="TextBody"/>
        <w:bidi w:val="0"/>
        <w:spacing w:lineRule="auto" w:line="288" w:before="120" w:after="283"/>
        <w:ind w:left="0" w:right="0" w:hanging="360"/>
        <w:jc w:val="left"/>
        <w:rPr/>
      </w:pPr>
      <w:r>
        <w:rPr>
          <w:rFonts w:ascii="Times New Roman;serif" w:hAnsi="Times New Roman;serif"/>
          <w:b/>
          <w:color w:val="000000"/>
          <w:sz w:val="20"/>
        </w:rPr>
        <w:t>a.</w:t>
      </w:r>
      <w:r>
        <w:rPr>
          <w:rFonts w:ascii="Times New Roman;serif" w:hAnsi="Times New Roman;serif"/>
          <w:b/>
          <w:color w:val="000000"/>
          <w:sz w:val="22"/>
        </w:rPr>
        <w:t>Agreements with Competitors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following agreements, arrangements or understandings between AGNC and its competitors (whether oral or in writing) should be avoided:</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that affect the price or other terms or conditions of sale of products or the terms on which we invest;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regarding the companies in which AGNC or its managed companies will, or will not, invest or sell or provide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to refuse to invest in or sell to particular businesses or to refuse to buy from particular businesses;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that limit the types of investments that AGNC will make.</w:t>
      </w:r>
    </w:p>
    <w:p>
      <w:pPr>
        <w:pStyle w:val="TextBody"/>
        <w:bidi w:val="0"/>
        <w:spacing w:lineRule="auto" w:line="288" w:before="120" w:after="283"/>
        <w:jc w:val="both"/>
        <w:rPr/>
      </w:pPr>
      <w:r>
        <w:rPr>
          <w:rFonts w:ascii="Times New Roman;serif" w:hAnsi="Times New Roman;serif"/>
          <w:b w:val="false"/>
          <w:color w:val="000000"/>
          <w:sz w:val="22"/>
        </w:rPr>
        <w:t>Contacts with our competitors are sensitive and risky, because courts can infer an agreement or collusion from these contacts when they are followed by common action or behavior.</w:t>
      </w:r>
      <w:r>
        <w:rPr>
          <w:color w:val="000000"/>
        </w:rPr>
        <w:t xml:space="preserve"> </w:t>
      </w:r>
      <w:r>
        <w:rPr>
          <w:rFonts w:ascii="Times New Roman;serif" w:hAnsi="Times New Roman;serif"/>
          <w:b w:val="false"/>
          <w:color w:val="000000"/>
          <w:sz w:val="22"/>
        </w:rPr>
        <w:t>We recognize that we may need to work with our competitors in the regular course of our business.</w:t>
      </w:r>
      <w:r>
        <w:rPr>
          <w:color w:val="000000"/>
        </w:rPr>
        <w:t xml:space="preserve"> </w:t>
      </w:r>
      <w:r>
        <w:rPr>
          <w:rFonts w:ascii="Times New Roman;serif" w:hAnsi="Times New Roman;serif"/>
          <w:b w:val="false"/>
          <w:color w:val="000000"/>
          <w:sz w:val="22"/>
        </w:rPr>
        <w:t>In all contacts with our competitors, you are expected to avoid discussing prices, costs, competition, division of markets, marketing plans or studies, or any other proprietary or confidential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any competitor initiates a discussion with you involving the subjects above, you should immediately excuse yourself from the conversation and report the matter to the Chief Compliance Officer or a member of the Legal team.</w:t>
      </w:r>
    </w:p>
    <w:p>
      <w:pPr>
        <w:pStyle w:val="TextBody"/>
        <w:bidi w:val="0"/>
        <w:spacing w:lineRule="auto" w:line="288" w:before="120" w:after="283"/>
        <w:ind w:left="0" w:right="0" w:hanging="360"/>
        <w:jc w:val="both"/>
        <w:rPr/>
      </w:pPr>
      <w:r>
        <w:rPr>
          <w:rFonts w:ascii="Times New Roman;serif" w:hAnsi="Times New Roman;serif"/>
          <w:b/>
          <w:color w:val="000000"/>
          <w:sz w:val="24"/>
        </w:rPr>
        <w:t>5.</w:t>
      </w:r>
      <w:r>
        <w:rPr>
          <w:rFonts w:ascii="Times New Roman;serif" w:hAnsi="Times New Roman;serif"/>
          <w:b/>
          <w:color w:val="000000"/>
          <w:sz w:val="22"/>
        </w:rPr>
        <w:t>SECURITIES LAWS AND INSIDER TRADING</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20 years. Additionally, if we or our senior officers do not take appropriate steps to prevent AGNC people from insider trading, we may also face severe legal consequences, including, among other things, substantial criminal penalties.</w:t>
      </w:r>
    </w:p>
    <w:p>
      <w:pPr>
        <w:pStyle w:val="TextBody"/>
        <w:bidi w:val="0"/>
        <w:spacing w:lineRule="auto" w:line="288" w:before="120" w:after="283"/>
        <w:jc w:val="both"/>
        <w:rPr/>
      </w:pPr>
      <w:r>
        <w:rPr>
          <w:rFonts w:ascii="Times New Roman;serif" w:hAnsi="Times New Roman;serif"/>
          <w:b w:val="false"/>
          <w:color w:val="000000"/>
          <w:sz w:val="22"/>
        </w:rPr>
        <w:t>Accordingly, if you have material, nonpublic (i.e., inside) information about AGNC or another company, you should not buy or sell securities of AGNC or the other company (including derivative securities such as put and call options) until a reasonable time after the inside information has been publicly disclosed. You also should only disclose or discuss inside information with other AMM Group members who need to know, or use, the information as part of their employment or service for the AMM Group, and you should not disclose inside information to others outside AGNC until a reasonable time after the information has been publicly disclosed. In addition, it is never appropriate for you to advise others to buy or sell AGNC securities.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AGNC has implemented the AGNC Investment Corp. Policy on Insider Trading to promote compliance with insider trading laws, rules and regulations and establish standards on trading of AGNC securities and the securities of other public companies as to which an AGNC Person may obtain material nonpublic information in the course of his or her services to AGNC. The Policy on Insider Trading is administered by the Chief Compliance Officer. AGNC people with questions regarding insider trading or the policy should contact the Legal Department.</w:t>
      </w:r>
    </w:p>
    <w:p>
      <w:pPr>
        <w:pStyle w:val="TextBody"/>
        <w:bidi w:val="0"/>
        <w:spacing w:before="120" w:after="283"/>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6.HARASSMENT AND DISCRIMINATION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are committed to providing a supportive work environment that is free from harassment and discrimination of any kind. To this end, AGNC has adopted an Anti-Harassment Policy and an Equal Employment Opportunity policy, copies of which are included in the Policy Booklet distributed to all AGNC employees. AGNC will not tolerate discrimination or harassment of employees or non-employees with whom we have a business, service or professional relationship. AGNC people are encouraged to report any acts of harassment or discrimination to the Chief Compliance Officer, the Chair of the Compensation and Corporate Governance Committee of the Board of Directors or to the hotline.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7.HEALTH AND SAFETY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strive to provide AGNC people with a safe and healthy work environment. You have a responsibility for maintaining a safe and healthy workplace for all other AGNC people by following safety and health rules and practices and reporting accidents, injuries and unsafe equipment, practices and conditions.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Violence and threatening behavior are not permitted and will not be tolerated. If any AGNC person knows of actual or potential workplace violence or threatening behavior, he/she should immediately report such concerns to his or her manager, a member of the Human Resources or Legal Departments, the Chief Compliance Officer or the hotline.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All AGNC people are expected to conduct AGNC business free from the influence of any substance that could impair job performance. This includes alcohol, illegal drugs, controlled substances and, in certain instances, prescription medication. The use, sale and/or distribution of illegal drugs in the workplace will not be tolerated at any time.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8.INTERNATIONAL ISSUES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You are expected to comply with the legal requirements and ethical standards of each country in which you conduct AGNC business, as well as with all U.S. laws applicable in other countries.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legal requirements may affect our international business or transactions. These include, but are not limited to, laws, rules and regulations prohibiting money laundering and transactions with specifically designated nationals subject to government sanctions, which are covered by our Anti-Money Laundering Policy. If you have any questions regarding legal requirements applicable to international business or transactions, please contact a member of our Legal team.</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    AVOIDING CONFLICTS OF INTEREST</w:t>
      </w:r>
    </w:p>
    <w:p>
      <w:pPr>
        <w:pStyle w:val="TextBody"/>
        <w:bidi w:val="0"/>
        <w:spacing w:lineRule="auto" w:line="288" w:before="120" w:after="283"/>
        <w:ind w:left="0" w:right="0" w:hanging="360"/>
        <w:jc w:val="both"/>
        <w:rPr/>
      </w:pPr>
      <w:r>
        <w:rPr>
          <w:rFonts w:ascii="Times New Roman;serif" w:hAnsi="Times New Roman;serif"/>
          <w:b/>
          <w:color w:val="000000"/>
          <w:sz w:val="24"/>
        </w:rPr>
        <w:t>1.</w:t>
      </w:r>
      <w:r>
        <w:rPr>
          <w:rFonts w:ascii="Times New Roman;serif" w:hAnsi="Times New Roman;serif"/>
          <w:b/>
          <w:color w:val="000000"/>
          <w:sz w:val="22"/>
        </w:rPr>
        <w:t>GENERALLY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responsibilities to AGNC or from AGNC’s best interests. Put another way, a conflict of interest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is created whenever an activity, association or relationship of yours might impair your independent exercise of judgment in AGNC’s best interest.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Examples of situations that could be perceived as conflicts of interest and should be avoided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Conducting AGNC’s business with a company owned, partially owned or controlled by you or a member of your family;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Ownership of more than one percent of the stock of a company that competes or does business with AGNC (other than indirect ownership as a result of owning a widely-held mutual fund);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Working as an employee or a consultant for a competitor, regulatory body, government entity or enterprise, investment adviser, fund, investor, consulting or research firm, or vendor concerning AGNC, its business or strategy, or the markets or industry sector in which AGNC does business (other than as part of your AGNC employment);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Doing any work for a third party that may adversely affect your performance or judgment on the job, diminish your ability to devote the necessary time and attention to your duties or require you to divulge confidential information about AGNC, its business or strategy;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Appropriating or diverting to yourself or others any business opportunity or idea in which AGNC might have an interest.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2.USE OF OUR ASSETS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You are responsible for the proper use of AGNC’s physical resources and property, as well as its proprietary information.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of copyrighted or patented materials of others and should ask a member of the Legal team if you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pStyle w:val="TextBody"/>
        <w:bidi w:val="0"/>
        <w:spacing w:lineRule="auto" w:line="288" w:before="120" w:after="283"/>
        <w:ind w:left="0" w:right="0" w:hanging="360"/>
        <w:jc w:val="both"/>
        <w:rPr/>
      </w:pPr>
      <w:r>
        <w:rPr>
          <w:rFonts w:ascii="Times New Roman;serif" w:hAnsi="Times New Roman;serif"/>
          <w:b/>
          <w:color w:val="000000"/>
          <w:sz w:val="24"/>
        </w:rPr>
        <w:t>3.</w:t>
      </w:r>
      <w:r>
        <w:rPr>
          <w:rFonts w:ascii="Times New Roman;serif" w:hAnsi="Times New Roman;serif"/>
          <w:b/>
          <w:color w:val="000000"/>
          <w:sz w:val="22"/>
        </w:rPr>
        <w:t>GIFTS, GRATUITIES AND ENTERTAINMENT</w:t>
      </w:r>
    </w:p>
    <w:p>
      <w:pPr>
        <w:pStyle w:val="TextBody"/>
        <w:bidi w:val="0"/>
        <w:spacing w:lineRule="auto" w:line="288" w:before="120" w:after="283"/>
        <w:ind w:left="0" w:right="0" w:hanging="360"/>
        <w:jc w:val="left"/>
        <w:rPr/>
      </w:pPr>
      <w:r>
        <w:rPr>
          <w:rFonts w:ascii="Times New Roman;serif" w:hAnsi="Times New Roman;serif"/>
          <w:b/>
          <w:color w:val="000000"/>
          <w:sz w:val="20"/>
        </w:rPr>
        <w:t>a.</w:t>
      </w:r>
      <w:r>
        <w:rPr>
          <w:rFonts w:ascii="Times New Roman;serif" w:hAnsi="Times New Roman;serif"/>
          <w:b/>
          <w:color w:val="000000"/>
          <w:sz w:val="22"/>
        </w:rPr>
        <w:t>Giving</w:t>
      </w:r>
    </w:p>
    <w:p>
      <w:pPr>
        <w:pStyle w:val="TextBody"/>
        <w:bidi w:val="0"/>
        <w:spacing w:lineRule="auto" w:line="288" w:before="120" w:after="283"/>
        <w:jc w:val="both"/>
        <w:rPr/>
      </w:pPr>
      <w:r>
        <w:rPr>
          <w:rFonts w:ascii="Times New Roman;serif" w:hAnsi="Times New Roman;serif"/>
          <w:b w:val="false"/>
          <w:color w:val="000000"/>
          <w:sz w:val="22"/>
        </w:rPr>
        <w:t>You may not offer money, gifts or other items or services of value to anyone with whom we do business or potentially would do business for the purpose of securing an investment opportunity or contract or obtaining favorable treatment.</w:t>
      </w:r>
      <w:r>
        <w:rPr>
          <w:color w:val="000000"/>
        </w:rPr>
        <w:t xml:space="preserve"> </w:t>
      </w:r>
      <w:r>
        <w:rPr>
          <w:rFonts w:ascii="Times New Roman;serif" w:hAnsi="Times New Roman;serif"/>
          <w:b w:val="false"/>
          <w:color w:val="000000"/>
          <w:sz w:val="22"/>
        </w:rPr>
        <w:t>Business-connected favors or gifts may not be extended unless they: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Are consistent with customary business practices;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 not have substantial monetary value and would not be viewed as improper by others;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 not violate applicable laws, rules or regulations.</w:t>
      </w:r>
    </w:p>
    <w:p>
      <w:pPr>
        <w:pStyle w:val="TextBody"/>
        <w:bidi w:val="0"/>
        <w:spacing w:lineRule="auto" w:line="288" w:before="120" w:after="283"/>
        <w:jc w:val="both"/>
        <w:rPr/>
      </w:pPr>
      <w:r>
        <w:rPr>
          <w:rFonts w:ascii="Times New Roman;serif" w:hAnsi="Times New Roman;serif"/>
          <w:b w:val="false"/>
          <w:color w:val="000000"/>
          <w:sz w:val="22"/>
        </w:rPr>
        <w:t>Business entertainment in the form of meals and beverages may be offered only if these activities and related expenses are modest and infrequent.</w:t>
      </w:r>
      <w:r>
        <w:rPr>
          <w:color w:val="000000"/>
        </w:rPr>
        <w:t xml:space="preserve"> </w:t>
      </w:r>
      <w:r>
        <w:rPr>
          <w:rFonts w:ascii="Times New Roman;serif" w:hAnsi="Times New Roman;serif"/>
          <w:b w:val="false"/>
          <w:color w:val="000000"/>
          <w:sz w:val="22"/>
        </w:rPr>
        <w:t>Other forms of entertainment (such as tickets to sporting, civic or cultural events) are allowed only if reasonable, customary and not excessive. You should not give to or receive from vendors or service providers gift cards or other cash-like items.</w:t>
      </w:r>
    </w:p>
    <w:p>
      <w:pPr>
        <w:pStyle w:val="TextBody"/>
        <w:bidi w:val="0"/>
        <w:spacing w:lineRule="auto" w:line="288" w:before="120" w:after="283"/>
        <w:ind w:left="0" w:right="0" w:hanging="360"/>
        <w:jc w:val="left"/>
        <w:rPr>
          <w:rFonts w:ascii="Times New Roman;serif" w:hAnsi="Times New Roman;serif"/>
          <w:b/>
          <w:color w:val="000000"/>
          <w:sz w:val="22"/>
        </w:rPr>
      </w:pPr>
      <w:r>
        <w:rPr>
          <w:rFonts w:ascii="Times New Roman;serif" w:hAnsi="Times New Roman;serif"/>
          <w:b/>
          <w:color w:val="000000"/>
          <w:sz w:val="22"/>
        </w:rPr>
        <w:t>b.Receiving</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To avoid even the implication of impropriety, you should decline any gift, favor, entertainment or anything else of value from current or prospective intermediaries, clients, suppliers or contractors or their representatives except for: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Gifts that do not have substantial monetary value given at holidays or other special occasions;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Reasonable entertainment at lunch, dinner or business meetings where the return of the expenditure on a reciprocal basis is likely to occur and would be properly chargeable as a business expense;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Promotional materials, including gift cards, received at conferences or other widely attended corporate or industry events with a value of less than $50;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Other routine entertainment that is business-related such as sports outings or cultural events, but only if such is otherwise acceptable under this Code and is reasonable, customary and not excessive.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Ultimately, you must exercise good business judgment in deciding which situations are unacceptable. If there is ever any doubt as to the acceptability of any entertainment activity, consult with your supervisor or our Chief Compliance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D.    MAINTAINING ACCURATE AND COMPLETE COMPANY RECORDS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1.ACCOUNTING AND FINANCIAL RECORDS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not: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Improperly accelerate or defer expenses or revenues to achieve financial results or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Deviate from any accounting standards applicable to AGNC or otherwise;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Participate in the valuation of any of our assets at a value other than that required by law;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Maintain any undisclosed or unrecorded funds or off the book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Establish or maintain improper, misleading, incomplete or fraudulent accounting documentation or financial reporting;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Make any payment for purposes other than those described in the documents supporting the payment;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Submit or approve any expense report where you know or suspect that any portion of the underlying expenses were not incurred or are not accurate;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Sign any documents believed to be inaccurate or untruthful.</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Section F.2 of this Code describes the procedure for making these reports. You may also make an anonymous report under Section F.2 if you are not comfortable revealing your identity when making a report.</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2.DISCLOSURES TO INVESTORS</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 these disclosures, have a legal and ethical duty to ensure that the content of the disclosures is accurate, complete and timely.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3.RETENTION OF DOCUMENTS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E.    PROTECTING CONFIDENTIAL INFORMATION</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1.AGNC CONFIDENTIAL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will often have access to information that is private to AGNC, has not been made public and constitutes trade secrets or proprietary information. Protection of this information is critical to our ability to grow and compete.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Under the laws of most jurisdictions where we do business, trade secrets are legally protected property as long as they remain secret (meaning not generally or publicly known).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Your obligations with respect to our confidential trade secrets and proprietary information 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Not to disclose the information outside of AGNC;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Not to use the information for any purpose except to benefit AGNC’s business;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Not to disclose the information within AGNC, except to other AGNC people who need to know, or use, the information and are aware that it constitutes a trade secret or proprietary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2.CONFIDENTIAL INFORMATION OF OTHERS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the normal course of business, you will acquire information about many other organizations, including clients, suppliers and competitors. This is a normal business activity and is not unethical in itself. We properly gather this kind of information for such purposes as evaluating investments. We also collect information on competitors from a variety of legitimate sources to evaluate the relative merits of our own investments and other business practices.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There are, however, limits to the ways that this information should be acquired and used. When working with sensitive information about our customers or suppliers, you should use that information only for the purposes for which it was disclosed to you and make it available only to other AGNC people with a legitimate need to know.</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3.INADVERTENT DISCLOSURE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4.CONTACTS WITH REPORTERS, ANALYSTS AND OTHER MEDIA</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are authorized to discuss information about AGNC with the news media, securities analysts and investors. If you receive inquiries from these sources, you should immediately refer them to one of these authorized spokespersons.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It should also be noted that the foregoing restrictions also apply with regard to the disclosure of information through other media, including but not limited to bulletin boards, internet chat rooms and social media.</w:t>
      </w:r>
    </w:p>
    <w:p>
      <w:pPr>
        <w:pStyle w:val="TextBody"/>
        <w:bidi w:val="0"/>
        <w:spacing w:lineRule="auto" w:line="288" w:before="120" w:after="283"/>
        <w:jc w:val="left"/>
        <w:rPr/>
      </w:pPr>
      <w:r>
        <w:rPr>
          <w:rFonts w:ascii="Times New Roman;serif" w:hAnsi="Times New Roman;serif"/>
          <w:b w:val="false"/>
          <w:color w:val="000000"/>
          <w:sz w:val="22"/>
        </w:rPr>
        <w:t>F.    </w:t>
      </w:r>
      <w:r>
        <w:rPr>
          <w:rFonts w:ascii="Times New Roman;serif" w:hAnsi="Times New Roman;serif"/>
          <w:b/>
          <w:color w:val="000000"/>
          <w:sz w:val="22"/>
        </w:rPr>
        <w:t>ADMINISTRATION OF THIS CODE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1.ONGOING REVIEW OF COMPLIANCE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2.REPORTING OF SUSPECTED VIOLATIONS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you are not comfortable revealing your identity when making a report, you can also make an anonymous report with our Chief Compliance Officer, the hotline or our Audit Committee.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3.NON-RETALIATION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4.INVESTIGATION OF SUSPECTED VIOLATIONS</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5.DISCIPLINARY ACTION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6.SPECIAL PROVISIONS APPLICABLE TO CERTAIN FINANCIAL EXECUTIVES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7.REVISIONS AND UPDATES TO THIS CODE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This Code may be revised, changed or amended at any time by our Board. Following any material revisions or updates, an updated version of this Code will be distributed to you, and will supersede the prior version of this Code effective upon distribution. We may ask you to sign an acknowledgement confirming that you have read and understood the revised version of the Code, and that you agree to comply with its provisions.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8.IMPORTANT DISCLAIMERS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Code reflects general principles to guide you in making ethical decisions and cannot, and is not intended to, address every specific situation in which we may find it appropriate to take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disciplinary action. This Code is not intended to create any contract (express or implied) with you, including without limitation any employment contract, or to constitute any promise with regard to the length and terms of your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Peter J. Federico,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AGNC Investment Corp.;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8546" w:type="dxa"/>
        <w:jc w:val="left"/>
        <w:tblInd w:w="0" w:type="dxa"/>
        <w:tblLayout w:type="fixed"/>
        <w:tblCellMar>
          <w:top w:w="28" w:type="dxa"/>
          <w:left w:w="28" w:type="dxa"/>
          <w:bottom w:w="28" w:type="dxa"/>
          <w:right w:w="28" w:type="dxa"/>
        </w:tblCellMar>
      </w:tblPr>
      <w:tblGrid>
        <w:gridCol w:w="200"/>
        <w:gridCol w:w="177"/>
        <w:gridCol w:w="178"/>
        <w:gridCol w:w="2536"/>
        <w:gridCol w:w="2536"/>
        <w:gridCol w:w="254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Bernice E. Bell,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AGNC Investment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450"/>
        <w:jc w:val="both"/>
        <w:rPr/>
      </w:pPr>
      <w:r>
        <w:rPr/>
      </w:r>
    </w:p>
    <w:tbl>
      <w:tblPr>
        <w:tblW w:w="7631" w:type="dxa"/>
        <w:jc w:val="left"/>
        <w:tblInd w:w="0" w:type="dxa"/>
        <w:tblLayout w:type="fixed"/>
        <w:tblCellMar>
          <w:top w:w="28" w:type="dxa"/>
          <w:left w:w="28" w:type="dxa"/>
          <w:bottom w:w="28" w:type="dxa"/>
          <w:right w:w="28" w:type="dxa"/>
        </w:tblCellMar>
      </w:tblPr>
      <w:tblGrid>
        <w:gridCol w:w="200"/>
        <w:gridCol w:w="177"/>
        <w:gridCol w:w="178"/>
        <w:gridCol w:w="2231"/>
        <w:gridCol w:w="2231"/>
        <w:gridCol w:w="224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Peter J. Federico, President, Chief Executive Officer and Chief Investment Officer, and Bernice E. Bell, Executive Vice President and Chief Financial Officer of AGNC Investment Corp. (the “Company”), certify pursuant to Section 906 of the Sarbanes-Oxley Act of 2002, 18 U.S.C. Section 1350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2025 (the “Report”) fully complies with the requirements of Section 13(a) of the Securities Exchange Act of 1934 (15 U.S.C. 78m);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95"/>
        <w:jc w:val="both"/>
        <w:rPr/>
      </w:pPr>
      <w:r>
        <w:rPr/>
      </w:r>
    </w:p>
    <w:p>
      <w:pPr>
        <w:pStyle w:val="TextBody"/>
        <w:bidi w:val="0"/>
        <w:spacing w:lineRule="auto" w:line="288" w:before="0" w:after="0"/>
        <w:jc w:val="left"/>
        <w:rPr>
          <w:color w:val="000000"/>
        </w:rPr>
      </w:pPr>
      <w:r>
        <w:rPr>
          <w:color w:val="000000"/>
        </w:rPr>
        <w:t> </w:t>
      </w:r>
    </w:p>
    <w:tbl>
      <w:tblPr>
        <w:tblW w:w="5486" w:type="dxa"/>
        <w:jc w:val="left"/>
        <w:tblInd w:w="0" w:type="dxa"/>
        <w:tblLayout w:type="fixed"/>
        <w:tblCellMar>
          <w:top w:w="28" w:type="dxa"/>
          <w:left w:w="28" w:type="dxa"/>
          <w:bottom w:w="28" w:type="dxa"/>
          <w:right w:w="28" w:type="dxa"/>
        </w:tblCellMar>
      </w:tblPr>
      <w:tblGrid>
        <w:gridCol w:w="233"/>
        <w:gridCol w:w="205"/>
        <w:gridCol w:w="207"/>
        <w:gridCol w:w="1488"/>
        <w:gridCol w:w="1488"/>
        <w:gridCol w:w="149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w:t>
              <w:br/>
              <w:t>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b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algun Gothic">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3689/000142368925000056/agncexhibit313312510-q.htm" TargetMode="External"/><Relationship Id="rId4" Type="http://schemas.openxmlformats.org/officeDocument/2006/relationships/hyperlink" Target="https://www.sec.gov/Archives/edgar/data/1423689/000142368925000056/agncexhibit313312510-q.htm" TargetMode="External"/><Relationship Id="rId5" Type="http://schemas.openxmlformats.org/officeDocument/2006/relationships/hyperlink" Target="https://www.sec.gov/Archives/edgar/data/1423689/000142368921000017/arbylaws-march2021vrevised.htm" TargetMode="External"/><Relationship Id="rId6" Type="http://schemas.openxmlformats.org/officeDocument/2006/relationships/hyperlink" Target="https://www.sec.gov/Archives/edgar/data/1423689/000142368923000046/bylaws72023-ex.htm" TargetMode="External"/><Relationship Id="rId7" Type="http://schemas.openxmlformats.org/officeDocument/2006/relationships/hyperlink" Target="https://www.sec.gov/Archives/edgar/data/1423689/000142368917000044/ex35certificateofdesignati.htm" TargetMode="External"/><Relationship Id="rId8" Type="http://schemas.openxmlformats.org/officeDocument/2006/relationships/hyperlink" Target="https://www.sec.gov/Archives/edgar/data/1423689/000142368917000044/ex35certificateofdesignati.htm" TargetMode="External"/><Relationship Id="rId9" Type="http://schemas.openxmlformats.org/officeDocument/2006/relationships/hyperlink" Target="https://www.sec.gov/Archives/edgar/data/1423689/000142368917000065/certificateofelimination.htm" TargetMode="External"/><Relationship Id="rId10" Type="http://schemas.openxmlformats.org/officeDocument/2006/relationships/hyperlink" Target="https://www.sec.gov/Archives/edgar/data/1423689/000142368917000065/certificateofelimination.htm" TargetMode="External"/><Relationship Id="rId11" Type="http://schemas.openxmlformats.org/officeDocument/2006/relationships/hyperlink" Target="https://www.sec.gov/Archives/edgar/data/1423689/000142368919000019/certificateofdesignations.htm" TargetMode="External"/><Relationship Id="rId12" Type="http://schemas.openxmlformats.org/officeDocument/2006/relationships/hyperlink" Target="https://www.sec.gov/Archives/edgar/data/1423689/000142368919000019/certificateofdesignations.htm" TargetMode="External"/><Relationship Id="rId13" Type="http://schemas.openxmlformats.org/officeDocument/2006/relationships/hyperlink" Target="https://www.sec.gov/Archives/edgar/data/1423689/000142368919000064/certofdesignations.htm" TargetMode="External"/><Relationship Id="rId14" Type="http://schemas.openxmlformats.org/officeDocument/2006/relationships/hyperlink" Target="https://www.sec.gov/Archives/edgar/data/1423689/000142368919000064/certofdesignations.htm" TargetMode="External"/><Relationship Id="rId15" Type="http://schemas.openxmlformats.org/officeDocument/2006/relationships/hyperlink" Target="https://www.sec.gov/Archives/edgar/data/1423689/000142368919000078/certificateofeliminati.htm" TargetMode="External"/><Relationship Id="rId16" Type="http://schemas.openxmlformats.org/officeDocument/2006/relationships/hyperlink" Target="https://www.sec.gov/Archives/edgar/data/1423689/000142368919000078/certificateofeliminati.htm" TargetMode="External"/><Relationship Id="rId17" Type="http://schemas.openxmlformats.org/officeDocument/2006/relationships/hyperlink" Target="https://www.sec.gov/Archives/edgar/data/1423689/000142368920000012/certificateofdesignations-.htm" TargetMode="External"/><Relationship Id="rId18" Type="http://schemas.openxmlformats.org/officeDocument/2006/relationships/hyperlink" Target="https://www.sec.gov/Archives/edgar/data/1423689/000142368920000012/certificateofdesignations-.htm" TargetMode="External"/><Relationship Id="rId19" Type="http://schemas.openxmlformats.org/officeDocument/2006/relationships/hyperlink" Target="https://www.sec.gov/Archives/edgar/data/1423689/000142368922000061/seriesgcertificateofdesign.htm" TargetMode="External"/><Relationship Id="rId20" Type="http://schemas.openxmlformats.org/officeDocument/2006/relationships/hyperlink" Target="https://www.sec.gov/Archives/edgar/data/1423689/000142368922000061/seriesgcertificateofdesign.htm" TargetMode="External"/><Relationship Id="rId21" Type="http://schemas.openxmlformats.org/officeDocument/2006/relationships/hyperlink" Target="https://www.sec.gov/Archives/edgar/data/1423689/000142368925000056/agncexhibit313312510-q.htm" TargetMode="External"/><Relationship Id="rId22" Type="http://schemas.openxmlformats.org/officeDocument/2006/relationships/hyperlink" Target="https://www.sec.gov/Archives/edgar/data/1423689/000142368925000056/agncexhibit313312510-q.htm" TargetMode="External"/><Relationship Id="rId23" Type="http://schemas.openxmlformats.org/officeDocument/2006/relationships/hyperlink" Target="https://www.sec.gov/Archives/edgar/data/1423689/000142368921000017/arbylaws-march2021vrevised.htm" TargetMode="External"/><Relationship Id="rId24" Type="http://schemas.openxmlformats.org/officeDocument/2006/relationships/hyperlink" Target="https://www.sec.gov/Archives/edgar/data/1423689/000142368923000046/bylaws72023-ex.htm" TargetMode="External"/><Relationship Id="rId25" Type="http://schemas.openxmlformats.org/officeDocument/2006/relationships/hyperlink" Target="https://www.sec.gov/Archives/edgar/data/1423689/000142368922000076/exhibit43.htm" TargetMode="External"/><Relationship Id="rId26" Type="http://schemas.openxmlformats.org/officeDocument/2006/relationships/hyperlink" Target="https://www.sec.gov/Archives/edgar/data/1423689/000142368922000076/exhibit43.htm" TargetMode="External"/><Relationship Id="rId27" Type="http://schemas.openxmlformats.org/officeDocument/2006/relationships/hyperlink" Target="https://www.sec.gov/Archives/edgar/data/1423689/000142368917000044/exhibit41.htm" TargetMode="External"/><Relationship Id="rId28" Type="http://schemas.openxmlformats.org/officeDocument/2006/relationships/hyperlink" Target="https://www.sec.gov/Archives/edgar/data/1423689/000142368917000044/exhibit41.htm" TargetMode="External"/><Relationship Id="rId29" Type="http://schemas.openxmlformats.org/officeDocument/2006/relationships/hyperlink" Target="https://www.sec.gov/Archives/edgar/data/1423689/000142368919000019/stockcertificateb98.htm" TargetMode="External"/><Relationship Id="rId30" Type="http://schemas.openxmlformats.org/officeDocument/2006/relationships/hyperlink" Target="https://www.sec.gov/Archives/edgar/data/1423689/000142368919000019/stockcertificateb98.htm" TargetMode="External"/><Relationship Id="rId31" Type="http://schemas.openxmlformats.org/officeDocument/2006/relationships/hyperlink" Target="https://www.sec.gov/Archives/edgar/data/1423689/000142368919000064/stockcertificate.htm" TargetMode="External"/><Relationship Id="rId32" Type="http://schemas.openxmlformats.org/officeDocument/2006/relationships/hyperlink" Target="https://www.sec.gov/Archives/edgar/data/1423689/000142368919000064/stockcertificate.htm" TargetMode="External"/><Relationship Id="rId33" Type="http://schemas.openxmlformats.org/officeDocument/2006/relationships/hyperlink" Target="https://www.sec.gov/Archives/edgar/data/1423689/000142368920000012/stockcertificate.htm" TargetMode="External"/><Relationship Id="rId34" Type="http://schemas.openxmlformats.org/officeDocument/2006/relationships/hyperlink" Target="https://www.sec.gov/Archives/edgar/data/1423689/000142368920000012/stockcertificate.htm" TargetMode="External"/><Relationship Id="rId35" Type="http://schemas.openxmlformats.org/officeDocument/2006/relationships/hyperlink" Target="https://www.sec.gov/Archives/edgar/data/1423689/000142368922000061/stockcertificate1.htm" TargetMode="External"/><Relationship Id="rId36" Type="http://schemas.openxmlformats.org/officeDocument/2006/relationships/hyperlink" Target="https://www.sec.gov/Archives/edgar/data/1423689/000142368922000061/stockcertificate1.htm" TargetMode="External"/><Relationship Id="rId37" Type="http://schemas.openxmlformats.org/officeDocument/2006/relationships/hyperlink" Target="https://www.sec.gov/Archives/edgar/data/1423689/000142368917000049/depositagreement.htm" TargetMode="External"/><Relationship Id="rId38" Type="http://schemas.openxmlformats.org/officeDocument/2006/relationships/hyperlink" Target="https://www.sec.gov/Archives/edgar/data/1423689/000142368917000049/depositagreement.htm" TargetMode="External"/><Relationship Id="rId39" Type="http://schemas.openxmlformats.org/officeDocument/2006/relationships/hyperlink" Target="https://www.sec.gov/Archives/edgar/data/1423689/000142368917000049/depositagreement.htm" TargetMode="External"/><Relationship Id="rId40" Type="http://schemas.openxmlformats.org/officeDocument/2006/relationships/hyperlink" Target="https://www.sec.gov/Archives/edgar/data/1423689/000142368917000049/depositagreement.htm" TargetMode="External"/><Relationship Id="rId41" Type="http://schemas.openxmlformats.org/officeDocument/2006/relationships/hyperlink" Target="https://www.sec.gov/Archives/edgar/data/1423689/000142368919000021/prefddepositagmt.htm" TargetMode="External"/><Relationship Id="rId42" Type="http://schemas.openxmlformats.org/officeDocument/2006/relationships/hyperlink" Target="https://www.sec.gov/Archives/edgar/data/1423689/000142368919000021/prefddepositagmt.htm" TargetMode="External"/><Relationship Id="rId43" Type="http://schemas.openxmlformats.org/officeDocument/2006/relationships/hyperlink" Target="https://www.sec.gov/Archives/edgar/data/1423689/000142368919000021/prefddepositagmt.htm" TargetMode="External"/><Relationship Id="rId44" Type="http://schemas.openxmlformats.org/officeDocument/2006/relationships/hyperlink" Target="https://www.sec.gov/Archives/edgar/data/1423689/000142368919000021/prefddepositagmt.htm" TargetMode="External"/><Relationship Id="rId45" Type="http://schemas.openxmlformats.org/officeDocument/2006/relationships/hyperlink" Target="https://www.sec.gov/Archives/edgar/data/1423689/000142368919000021/prefddepositagmt.htm" TargetMode="External"/><Relationship Id="rId46" Type="http://schemas.openxmlformats.org/officeDocument/2006/relationships/hyperlink" Target="https://www.sec.gov/Archives/edgar/data/1423689/000142368919000068/depositagmt-prefe.htm" TargetMode="External"/><Relationship Id="rId47" Type="http://schemas.openxmlformats.org/officeDocument/2006/relationships/hyperlink" Target="https://www.sec.gov/Archives/edgar/data/1423689/000142368919000068/depositagmt-prefe.htm" TargetMode="External"/><Relationship Id="rId48" Type="http://schemas.openxmlformats.org/officeDocument/2006/relationships/hyperlink" Target="https://www.sec.gov/Archives/edgar/data/1423689/000142368919000068/depositagmt-prefe.htm" TargetMode="External"/><Relationship Id="rId49" Type="http://schemas.openxmlformats.org/officeDocument/2006/relationships/hyperlink" Target="https://www.sec.gov/Archives/edgar/data/1423689/000142368919000068/depositagmt-prefe.htm" TargetMode="External"/><Relationship Id="rId50" Type="http://schemas.openxmlformats.org/officeDocument/2006/relationships/hyperlink" Target="https://www.sec.gov/Archives/edgar/data/1423689/000142368920000014/depositaryagmt-seriesf.htm" TargetMode="External"/><Relationship Id="rId51" Type="http://schemas.openxmlformats.org/officeDocument/2006/relationships/hyperlink" Target="https://www.sec.gov/Archives/edgar/data/1423689/000142368920000014/depositaryagmt-seriesf.htm" TargetMode="External"/><Relationship Id="rId52" Type="http://schemas.openxmlformats.org/officeDocument/2006/relationships/hyperlink" Target="https://www.sec.gov/Archives/edgar/data/1423689/000142368920000014/depositaryagmt-seriesf.htm" TargetMode="External"/><Relationship Id="rId53" Type="http://schemas.openxmlformats.org/officeDocument/2006/relationships/hyperlink" Target="https://www.sec.gov/Archives/edgar/data/1423689/000142368920000014/depositaryagmt-seriesf.htm" TargetMode="External"/><Relationship Id="rId54" Type="http://schemas.openxmlformats.org/officeDocument/2006/relationships/hyperlink" Target="https://www.sec.gov/Archives/edgar/data/1423689/000142368922000069/depositaryagmt.htm" TargetMode="External"/><Relationship Id="rId55" Type="http://schemas.openxmlformats.org/officeDocument/2006/relationships/hyperlink" Target="https://www.sec.gov/Archives/edgar/data/1423689/000142368922000069/depositaryagmt.htm" TargetMode="External"/><Relationship Id="rId56" Type="http://schemas.openxmlformats.org/officeDocument/2006/relationships/hyperlink" Target="https://www.sec.gov/Archives/edgar/data/1423689/000142368922000069/depositaryagmt.htm" TargetMode="External"/><Relationship Id="rId57" Type="http://schemas.openxmlformats.org/officeDocument/2006/relationships/hyperlink" Target="https://www.sec.gov/Archives/edgar/data/1423689/000142368922000069/depositaryagmt.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35160</Words>
  <Characters>190966</Characters>
  <CharactersWithSpaces>222989</CharactersWithSpaces>
  <Paragraphs>6078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