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0" w:type="dxa"/>
            <w:vAlign w:val="bottom"/>
          </w:tcPr>
          <w:p>
            <w:pPr>
              <w:spacing w:after="0"/>
              <w:rPr>
                <w:sz w:val="1"/>
                <w:szCs w:val="1"/>
                <w:color w:val="auto"/>
              </w:rPr>
            </w:pPr>
          </w:p>
        </w:tc>
      </w:tr>
      <w:tr>
        <w:trPr>
          <w:trHeight w:val="238"/>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0" w:type="dxa"/>
            <w:vAlign w:val="bottom"/>
          </w:tcPr>
          <w:p>
            <w:pPr>
              <w:spacing w:after="0"/>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83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0"/>
        </w:trPr>
        <w:tc>
          <w:tcPr>
            <w:tcW w:w="1060" w:type="dxa"/>
            <w:vAlign w:val="bottom"/>
          </w:tcPr>
          <w:p>
            <w:pPr>
              <w:spacing w:after="0"/>
              <w:rPr>
                <w:sz w:val="22"/>
                <w:szCs w:val="22"/>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tc>
        <w:tc>
          <w:tcPr>
            <w:tcW w:w="0" w:type="dxa"/>
            <w:vAlign w:val="bottom"/>
          </w:tcPr>
          <w:p>
            <w:pPr>
              <w:spacing w:after="0"/>
              <w:rPr>
                <w:sz w:val="1"/>
                <w:szCs w:val="1"/>
                <w:color w:val="auto"/>
              </w:rPr>
            </w:pPr>
          </w:p>
        </w:tc>
      </w:tr>
      <w:tr>
        <w:trPr>
          <w:trHeight w:val="190"/>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83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3"/>
                <w:szCs w:val="23"/>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109220</wp:posOffset>
            </wp:positionV>
            <wp:extent cx="19030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14"/>
        </w:trPr>
        <w:tc>
          <w:tcPr>
            <w:tcW w:w="2020" w:type="dxa"/>
            <w:vAlign w:val="bottom"/>
          </w:tcPr>
          <w:p>
            <w:pPr>
              <w:spacing w:after="0"/>
              <w:rPr>
                <w:sz w:val="18"/>
                <w:szCs w:val="18"/>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8"/>
                <w:szCs w:val="18"/>
                <w:b w:val="1"/>
                <w:bCs w:val="1"/>
                <w:color w:val="auto"/>
                <w:w w:val="98"/>
              </w:rPr>
              <w:t>AGNC INVESTMENT CORP.</w:t>
            </w:r>
          </w:p>
        </w:tc>
      </w:tr>
      <w:tr>
        <w:trPr>
          <w:trHeight w:val="182"/>
        </w:trPr>
        <w:tc>
          <w:tcPr>
            <w:tcW w:w="2020" w:type="dxa"/>
            <w:vAlign w:val="bottom"/>
          </w:tcPr>
          <w:p>
            <w:pPr>
              <w:spacing w:after="0"/>
              <w:rPr>
                <w:sz w:val="15"/>
                <w:szCs w:val="15"/>
                <w:color w:val="auto"/>
              </w:rPr>
            </w:pPr>
          </w:p>
        </w:tc>
        <w:tc>
          <w:tcPr>
            <w:tcW w:w="54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64"/>
        </w:trPr>
        <w:tc>
          <w:tcPr>
            <w:tcW w:w="2020" w:type="dxa"/>
            <w:vAlign w:val="bottom"/>
          </w:tcPr>
          <w:p>
            <w:pPr>
              <w:spacing w:after="0"/>
              <w:rPr>
                <w:sz w:val="14"/>
                <w:szCs w:val="14"/>
                <w:color w:val="auto"/>
              </w:rPr>
            </w:pPr>
          </w:p>
        </w:tc>
        <w:tc>
          <w:tcPr>
            <w:tcW w:w="5440" w:type="dxa"/>
            <w:vAlign w:val="bottom"/>
          </w:tcPr>
          <w:p>
            <w:pPr>
              <w:jc w:val="right"/>
              <w:ind w:right="1708"/>
              <w:spacing w:after="0"/>
              <w:rPr>
                <w:sz w:val="20"/>
                <w:szCs w:val="20"/>
                <w:color w:val="auto"/>
              </w:rPr>
            </w:pPr>
            <w:r>
              <w:rPr>
                <w:rFonts w:ascii="Times New Roman" w:cs="Times New Roman" w:eastAsia="Times New Roman" w:hAnsi="Times New Roman"/>
                <w:sz w:val="13"/>
                <w:szCs w:val="13"/>
                <w:color w:val="auto"/>
                <w:w w:val="98"/>
              </w:rPr>
              <w:t>_________________________________________________________</w:t>
            </w:r>
          </w:p>
        </w:tc>
      </w:tr>
      <w:tr>
        <w:trPr>
          <w:trHeight w:val="208"/>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26-1701984</w:t>
            </w:r>
          </w:p>
        </w:tc>
      </w:tr>
      <w:tr>
        <w:trPr>
          <w:trHeight w:val="161"/>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2020" w:type="dxa"/>
            <w:vAlign w:val="bottom"/>
          </w:tcPr>
          <w:p>
            <w:pPr>
              <w:spacing w:after="0"/>
              <w:rPr>
                <w:sz w:val="23"/>
                <w:szCs w:val="23"/>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7373 Wisconsin Avenue, 22nd Floor</w:t>
            </w:r>
          </w:p>
        </w:tc>
      </w:tr>
      <w:tr>
        <w:trPr>
          <w:trHeight w:val="176"/>
        </w:trPr>
        <w:tc>
          <w:tcPr>
            <w:tcW w:w="2020" w:type="dxa"/>
            <w:vAlign w:val="bottom"/>
          </w:tcPr>
          <w:p>
            <w:pPr>
              <w:spacing w:after="0"/>
              <w:rPr>
                <w:sz w:val="15"/>
                <w:szCs w:val="15"/>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Bethesda, Maryland 20814</w:t>
            </w:r>
          </w:p>
        </w:tc>
      </w:tr>
      <w:tr>
        <w:trPr>
          <w:trHeight w:val="176"/>
        </w:trPr>
        <w:tc>
          <w:tcPr>
            <w:tcW w:w="2020" w:type="dxa"/>
            <w:vAlign w:val="bottom"/>
          </w:tcPr>
          <w:p>
            <w:pPr>
              <w:spacing w:after="0"/>
              <w:rPr>
                <w:sz w:val="15"/>
                <w:szCs w:val="15"/>
                <w:color w:val="auto"/>
              </w:rPr>
            </w:pPr>
          </w:p>
        </w:tc>
        <w:tc>
          <w:tcPr>
            <w:tcW w:w="54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75"/>
        </w:trPr>
        <w:tc>
          <w:tcPr>
            <w:tcW w:w="2020" w:type="dxa"/>
            <w:vAlign w:val="bottom"/>
          </w:tcPr>
          <w:p>
            <w:pPr>
              <w:spacing w:after="0"/>
              <w:rPr>
                <w:sz w:val="15"/>
                <w:szCs w:val="15"/>
                <w:color w:val="auto"/>
              </w:rPr>
            </w:pPr>
          </w:p>
        </w:tc>
        <w:tc>
          <w:tcPr>
            <w:tcW w:w="5440" w:type="dxa"/>
            <w:vAlign w:val="bottom"/>
          </w:tcPr>
          <w:p>
            <w:pPr>
              <w:jc w:val="right"/>
              <w:ind w:right="3048"/>
              <w:spacing w:after="0"/>
              <w:rPr>
                <w:sz w:val="20"/>
                <w:szCs w:val="20"/>
                <w:color w:val="auto"/>
              </w:rPr>
            </w:pPr>
            <w:r>
              <w:rPr>
                <w:rFonts w:ascii="Times New Roman" w:cs="Times New Roman" w:eastAsia="Times New Roman" w:hAnsi="Times New Roman"/>
                <w:sz w:val="14"/>
                <w:szCs w:val="14"/>
                <w:b w:val="1"/>
                <w:bCs w:val="1"/>
                <w:color w:val="auto"/>
              </w:rPr>
              <w:t>(301) 968-9315</w:t>
            </w:r>
          </w:p>
        </w:tc>
      </w:tr>
      <w:tr>
        <w:trPr>
          <w:trHeight w:val="182"/>
        </w:trPr>
        <w:tc>
          <w:tcPr>
            <w:tcW w:w="2020" w:type="dxa"/>
            <w:vAlign w:val="bottom"/>
          </w:tcPr>
          <w:p>
            <w:pPr>
              <w:spacing w:after="0"/>
              <w:rPr>
                <w:sz w:val="15"/>
                <w:szCs w:val="15"/>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64"/>
        </w:trPr>
        <w:tc>
          <w:tcPr>
            <w:tcW w:w="2020" w:type="dxa"/>
            <w:vAlign w:val="bottom"/>
          </w:tcPr>
          <w:p>
            <w:pPr>
              <w:spacing w:after="0"/>
              <w:rPr>
                <w:sz w:val="14"/>
                <w:szCs w:val="14"/>
                <w:color w:val="auto"/>
              </w:rPr>
            </w:pPr>
          </w:p>
        </w:tc>
        <w:tc>
          <w:tcPr>
            <w:tcW w:w="5440" w:type="dxa"/>
            <w:vAlign w:val="bottom"/>
          </w:tcPr>
          <w:p>
            <w:pPr>
              <w:jc w:val="center"/>
              <w:ind w:right="1608"/>
              <w:spacing w:after="0"/>
              <w:rPr>
                <w:sz w:val="20"/>
                <w:szCs w:val="20"/>
                <w:color w:val="auto"/>
              </w:rPr>
            </w:pPr>
            <w:r>
              <w:rPr>
                <w:rFonts w:ascii="Times New Roman" w:cs="Times New Roman" w:eastAsia="Times New Roman" w:hAnsi="Times New Roman"/>
                <w:sz w:val="13"/>
                <w:szCs w:val="13"/>
                <w:color w:val="auto"/>
                <w:w w:val="97"/>
              </w:rPr>
              <w:t>_________________________________________________________</w:t>
            </w:r>
          </w:p>
        </w:tc>
      </w:tr>
    </w:tbl>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1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4"/>
        </w:trPr>
        <w:tc>
          <w:tcPr>
            <w:tcW w:w="57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color w:val="auto"/>
              </w:rPr>
              <w:t>Depositary shares of 7.000% Series C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AGNCN</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6.875% Series D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AGNCM</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6.50% Series E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AGNCO</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Depositary shares of 6.125% Series F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AGNCP</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Depositary shares of 7.75% Series G Fixed-Rate Reset Cumulative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AGNCL</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9"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300" w:type="dxa"/>
        <w:tblCellMar>
          <w:top w:w="0" w:type="dxa"/>
          <w:left w:w="0" w:type="dxa"/>
          <w:bottom w:w="0" w:type="dxa"/>
          <w:right w:w="0" w:type="dxa"/>
        </w:tblCellMar>
      </w:tblPr>
      <w:tr>
        <w:trPr>
          <w:trHeight w:val="19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87" w:lineRule="exact"/>
        <w:rPr>
          <w:sz w:val="24"/>
          <w:szCs w:val="24"/>
          <w:color w:val="auto"/>
        </w:rPr>
      </w:pPr>
    </w:p>
    <w:p>
      <w:pPr>
        <w:ind w:right="460" w:firstLine="324"/>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28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The number of shares of the issuer's common stock, $0.01 par value, outstanding as of October 31, 2024 was 885,639,833.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57785</wp:posOffset>
            </wp:positionV>
            <wp:extent cx="6990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0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23495</wp:posOffset>
            </wp:positionV>
            <wp:extent cx="6990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460" w:type="dxa"/>
            <w:vAlign w:val="bottom"/>
            <w:gridSpan w:val="2"/>
          </w:tcPr>
          <w:p>
            <w:pPr>
              <w:spacing w:after="0"/>
              <w:rPr>
                <w:sz w:val="16"/>
                <w:szCs w:val="16"/>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5440" w:type="dxa"/>
            <w:vAlign w:val="bottom"/>
            <w:gridSpan w:val="3"/>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Quantitative and Qualitative Disclosures About Market Risk</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44</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680" w:type="dxa"/>
            <w:vAlign w:val="bottom"/>
            <w:gridSpan w:val="2"/>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47</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576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1.</w:t>
            </w:r>
          </w:p>
        </w:tc>
        <w:tc>
          <w:tcPr>
            <w:tcW w:w="460" w:type="dxa"/>
            <w:vAlign w:val="bottom"/>
            <w:gridSpan w:val="2"/>
          </w:tcPr>
          <w:p>
            <w:pPr>
              <w:spacing w:after="0"/>
              <w:rPr>
                <w:sz w:val="18"/>
                <w:szCs w:val="18"/>
                <w:color w:val="auto"/>
              </w:rPr>
            </w:pPr>
          </w:p>
        </w:tc>
        <w:tc>
          <w:tcPr>
            <w:tcW w:w="120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840" w:type="dxa"/>
            <w:vAlign w:val="bottom"/>
            <w:tcBorders>
              <w:bottom w:val="single" w:sz="8" w:color="0000FF"/>
            </w:tcBorders>
            <w:gridSpan w:val="4"/>
          </w:tcPr>
          <w:p>
            <w:pPr>
              <w:spacing w:after="0"/>
              <w:rPr>
                <w:sz w:val="18"/>
                <w:szCs w:val="18"/>
                <w:color w:val="auto"/>
              </w:rPr>
            </w:pPr>
          </w:p>
        </w:tc>
        <w:tc>
          <w:tcPr>
            <w:tcW w:w="1860" w:type="dxa"/>
            <w:vAlign w:val="bottom"/>
            <w:gridSpan w:val="2"/>
          </w:tcPr>
          <w:p>
            <w:pPr>
              <w:spacing w:after="0"/>
              <w:rPr>
                <w:sz w:val="18"/>
                <w:szCs w:val="18"/>
                <w:color w:val="auto"/>
              </w:rPr>
            </w:pPr>
          </w:p>
        </w:tc>
        <w:tc>
          <w:tcPr>
            <w:tcW w:w="36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48</w:t>
            </w:r>
          </w:p>
        </w:tc>
      </w:tr>
      <w:tr>
        <w:trPr>
          <w:trHeight w:val="190"/>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2"/>
              </w:rPr>
              <w:t>Item 3.</w:t>
            </w:r>
          </w:p>
        </w:tc>
        <w:tc>
          <w:tcPr>
            <w:tcW w:w="220" w:type="dxa"/>
            <w:vAlign w:val="bottom"/>
            <w:tcBorders>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680" w:type="dxa"/>
            <w:vAlign w:val="bottom"/>
            <w:tcBorders>
              <w:bottom w:val="single" w:sz="8" w:color="0000FF"/>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48</w:t>
            </w:r>
          </w:p>
        </w:tc>
      </w:tr>
      <w:tr>
        <w:trPr>
          <w:trHeight w:val="203"/>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580" w:type="dxa"/>
            <w:vAlign w:val="bottom"/>
            <w:gridSpan w:val="3"/>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580" w:type="dxa"/>
            <w:vAlign w:val="bottom"/>
            <w:gridSpan w:val="3"/>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17"/>
                <w:szCs w:val="17"/>
                <w:color w:val="auto"/>
              </w:rPr>
            </w:pPr>
          </w:p>
        </w:tc>
        <w:tc>
          <w:tcPr>
            <w:tcW w:w="6400" w:type="dxa"/>
            <w:vAlign w:val="bottom"/>
            <w:gridSpan w:val="9"/>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51</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887" w:right="9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$62,331 and $49,575,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$588 and $678, respectively)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Non-Agency securities, at fair value, and other mortgage credit investments (including pledged securities of $224 and</w:t>
            </w: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$262, respectively)</w:t>
            </w: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$2,527 and $1,530, respectively)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for investment securities sold (including pledged securities of $1,612 and $0, respectively)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212"/>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89,590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$1,688</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162"/>
        </w:trPr>
        <w:tc>
          <w:tcPr>
            <w:tcW w:w="790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 $0.01 par value; 1,500 shares authorized; 844.2 and 694.3 shares issued and outstanding,</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860" w:type="dxa"/>
            <w:vAlign w:val="bottom"/>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860" w:type="dxa"/>
            <w:vAlign w:val="bottom"/>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3"/>
        </w:trPr>
        <w:tc>
          <w:tcPr>
            <w:tcW w:w="6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184"/>
        </w:trPr>
        <w:tc>
          <w:tcPr>
            <w:tcW w:w="694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net income,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(loss) on derivative instruments and other investments, net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184"/>
        </w:trPr>
        <w:tc>
          <w:tcPr>
            <w:tcW w:w="694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other</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9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887" w:right="6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derivative instruments and other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(27,386)</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(24,576)</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26,973</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proceeds from (payments on) derivative 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(16,172)</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3,980,103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2,590,724</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(3,964,550)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(2,574,879)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15,807</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87" w:right="9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2023.</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Equity Securities</w:t>
      </w:r>
      <w:r>
        <w:rPr>
          <w:rFonts w:ascii="Times New Roman" w:cs="Times New Roman" w:eastAsia="Times New Roman" w:hAnsi="Times New Roman"/>
          <w:sz w:val="18"/>
          <w:szCs w:val="18"/>
          <w:color w:val="auto"/>
        </w:rPr>
        <w:t>, requires that at the time of purchase, we designate a security as held-to-maturity, available-for-sale or trading, depending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ability and 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September 30, 2024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factors. Any resulting changes in effective yield are recognized prospectively based on the current amortized cost of the investment adjusted for credit impairments,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 and US Treasury futures contracts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are valued based on prices obtained from multiple third-party pricing sources. The pricing sources utilize various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TBA securities </w:t>
      </w:r>
      <w:r>
        <w:rPr>
          <w:rFonts w:ascii="Times New Roman" w:cs="Times New Roman" w:eastAsia="Times New Roman" w:hAnsi="Times New Roman"/>
          <w:sz w:val="18"/>
          <w:szCs w:val="18"/>
          <w:color w:val="auto"/>
        </w:rPr>
        <w:t>- are valued using prices obtained from third-party pricing sources based on pricing models that reference recent trading activity.</w:t>
      </w:r>
    </w:p>
    <w:p>
      <w:pPr>
        <w:spacing w:after="0" w:line="17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are valued using the daily settlement price, or fair value, determined by the clearing exchange based on a pricing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observable market inputs, including current benchmark rates and the forward yield curve.</w:t>
      </w:r>
    </w:p>
    <w:p>
      <w:pPr>
        <w:spacing w:after="0" w:line="10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swaptions </w:t>
      </w:r>
      <w:r>
        <w:rPr>
          <w:rFonts w:ascii="Times New Roman" w:cs="Times New Roman" w:eastAsia="Times New Roman" w:hAnsi="Times New Roman"/>
          <w:sz w:val="18"/>
          <w:szCs w:val="18"/>
          <w:color w:val="auto"/>
        </w:rPr>
        <w:t>- are valued using prices obtained from the counterparty and other third-party pricing models. The pricing models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Treasury securities and futures are valued based on quoted prices for identical instruments in active markets and are classified as Level 1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financial instruments are classified as Level 3 inputs.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our investment portfolio consisted of $68.9 billion and $54.8 billion investment securities, at fair value, respectively, $4.1 billion and $5.4 billion net TBA securities, at fair value, respectively, and other mortgage credit investments of $61 million and $44 million, respectively, which we account for under the equity method of accounting. Our TBA position is reported at its net carrying value totaling $1 million and $66 million as of September 30, 2024 and December 31, 2023,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our investment securities had a net unamortized premium balance of $0.9 billion and $1.2 billion,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September 30, 2024 and December 31, 2023, excluding TBA securities and other mortgage credit investments (dollars in millions). Details of our TBA securities are included in Note 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6"/>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67,727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66,668</w:t>
            </w:r>
          </w:p>
        </w:tc>
        <w:tc>
          <w:tcPr>
            <w:tcW w:w="72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55,289</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68,937</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gridSpan w:val="8"/>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7"/>
          </w:tcPr>
          <w:p>
            <w:pPr>
              <w:jc w:val="right"/>
              <w:ind w:right="535"/>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Ginnie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CMBS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3,541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4,591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3,744</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1,115</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4,860</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3,432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1,015</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4,448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34,734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28,811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285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562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64,441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35,158</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29,046</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3"/>
                <w:szCs w:val="13"/>
                <w:color w:val="auto"/>
              </w:rPr>
              <w:t>278</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573</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65,101</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807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34,610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28,957</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258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620</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64,489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38,042</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29,972</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3"/>
                <w:szCs w:val="13"/>
                <w:color w:val="auto"/>
              </w:rPr>
              <w:t>258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620</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68,937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Weighted average coupon as of September 30, 2024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Weighted average yield as of September 30, 2024 </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4.86 %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7.40 %</w:t>
            </w: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8.96 %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97"/>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3,881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5,034</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4,107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5,333</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3,715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4,816</w:t>
            </w:r>
          </w:p>
        </w:tc>
        <w:tc>
          <w:tcPr>
            <w:tcW w:w="0" w:type="dxa"/>
            <w:vAlign w:val="bottom"/>
          </w:tcPr>
          <w:p>
            <w:pPr>
              <w:spacing w:after="0"/>
              <w:rPr>
                <w:sz w:val="1"/>
                <w:szCs w:val="1"/>
                <w:color w:val="auto"/>
              </w:rPr>
            </w:pPr>
          </w:p>
        </w:tc>
      </w:tr>
      <w:tr>
        <w:trPr>
          <w:trHeight w:val="150"/>
        </w:trPr>
        <w:tc>
          <w:tcPr>
            <w:tcW w:w="35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29,910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19,503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50,726</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1,095</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30,504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682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51,632</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(1,949)</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29,404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19,293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50,008</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33,119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20,393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282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54,824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Weighted average coupon as of December 31, 2023 </w:t>
            </w:r>
            <w:r>
              <w:rPr>
                <w:rFonts w:ascii="Times New Roman" w:cs="Times New Roman" w:eastAsia="Times New Roman" w:hAnsi="Times New Roman"/>
                <w:sz w:val="16"/>
                <w:szCs w:val="16"/>
                <w:color w:val="auto"/>
                <w:vertAlign w:val="superscript"/>
              </w:rPr>
              <w:t>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2023 </w:t>
            </w:r>
            <w:r>
              <w:rPr>
                <w:rFonts w:ascii="Times New Roman" w:cs="Times New Roman" w:eastAsia="Times New Roman" w:hAnsi="Times New Roman"/>
                <w:sz w:val="16"/>
                <w:szCs w:val="16"/>
                <w:color w:val="auto"/>
                <w:vertAlign w:val="superscript"/>
              </w:rPr>
              <w:t>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$61 million and $44 million as of September 30, 2024 and December 31, 2023, respectively.</w:t>
      </w:r>
    </w:p>
    <w:p>
      <w:pPr>
        <w:spacing w:after="0" w:line="11" w:lineRule="exact"/>
        <w:rPr>
          <w:rFonts w:ascii="Times New Roman" w:cs="Times New Roman" w:eastAsia="Times New Roman" w:hAnsi="Times New Roman"/>
          <w:sz w:val="14"/>
          <w:szCs w:val="14"/>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excludes interest-only securities. As of September 30, 2024 and December 31, 2023, Agency RMBS interest-only securities had a par value of $319 million and $336 million, respectively, and non-Agency interest-only securities had a par value of $97 million and $98 million, respectively.</w:t>
      </w:r>
    </w:p>
    <w:p>
      <w:pPr>
        <w:ind w:left="660" w:hanging="328"/>
        <w:spacing w:after="0" w:line="251"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coupon excludes interest-only and principle-only securities. As of September 30, 2024 and December 31, 2023 Agency RMBS interest-only securities have a weighted average coupon of 1.83% and 1.77%, respectively, and non-Agency interest-only securities had a weighted average coupon of 0.81% and 0.71%, respectively.</w:t>
      </w:r>
    </w:p>
    <w:p>
      <w:pPr>
        <w:ind w:left="660" w:hanging="328"/>
        <w:spacing w:after="0" w:line="261"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13.2% and 11.4% based on forward rates as of September 30, 2024 and December 31, 2023, respectively.</w:t>
      </w:r>
    </w:p>
    <w:p>
      <w:pPr>
        <w:spacing w:after="0" w:line="3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2024 and December 31, 2023, our investments in CRT and non-Agency securities had the following credit ratings (in millions):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00"/>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RMBS </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96"/>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0" w:hanging="328"/>
        <w:spacing w:after="0" w:line="259"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$61 million and $44 million as of September 30, 2024 and December 31, 2023, respectively.</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rates. As of September 30, 2024 and December 31, 2023, the weighted average expected constant prepayment rate ("CPR") over the remaining life of our Agency and high credit quality non-Agency RMBS investment portfolio was 13.2% and 11.4%, respectively. Our estimates can differ materially for different securities and thus our individual holdings have a wide range of projected CPRs. The following table summarizes our investments as of September 30, 2024 and December 31, 2023 according to their estimated weighted average life classification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6"/>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6,440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18,580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4.70%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69,961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$61 million and $44 million as of September 30, 2024 and December 31, 2023, respectively.</w:t>
      </w:r>
    </w:p>
    <w:p>
      <w:pPr>
        <w:spacing w:after="0" w:line="18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September 30, 2024 and December 31, 2023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1"/>
                <w:szCs w:val="11"/>
                <w:color w:val="auto"/>
              </w:rPr>
            </w:pPr>
          </w:p>
        </w:tc>
        <w:tc>
          <w:tcPr>
            <w:tcW w:w="800" w:type="dxa"/>
            <w:vAlign w:val="bottom"/>
            <w:tcBorders>
              <w:top w:val="single" w:sz="8" w:color="auto"/>
            </w:tcBorders>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43"/>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34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by investment classification of accounting (in millions):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9"/>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1"/>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3"/>
        </w:trPr>
        <w:tc>
          <w:tcPr>
            <w:tcW w:w="5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21"/>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62"/>
        </w:trPr>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9"/>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
        </w:trPr>
        <w:tc>
          <w:tcPr>
            <w:tcW w:w="5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1"/>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6,516</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14" w:lineRule="exact"/>
        <w:rPr>
          <w:rFonts w:ascii="Times New Roman" w:cs="Times New Roman" w:eastAsia="Times New Roman" w:hAnsi="Times New Roman"/>
          <w:sz w:val="14"/>
          <w:szCs w:val="14"/>
          <w:color w:val="auto"/>
        </w:rPr>
      </w:pPr>
    </w:p>
    <w:p>
      <w:pPr>
        <w:ind w:left="660" w:hanging="328"/>
        <w:spacing w:after="0" w:line="283"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2024, we received principal repayments on available-for-sale securities of $444 million and $882 million, respectively. During the three and nine months ended September 30, 2023, we received principal repayments on available-for-sale securities of $547 million and $1.1 billion,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2024, we had met all margin call requirements. For additional information regarding our pledged assets, please refer to Note 6.</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we had $66.0 billion and $50.4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September 30, 2024 and December 31, 2023 (dollars in millions):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8"/>
        </w:trPr>
        <w:tc>
          <w:tcPr>
            <w:tcW w:w="2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1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53,118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9,904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63,399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2,580</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65,979</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September 30, 2024 and December 31, 2023, $31.7 billion and $16.7 billion, respectively, of our investment securities repurchase agreements and all of our U.S. Treasury repurchase agreements had an overnight maturity of one business day and none of our repurchase agreements were due on demand. As of September 30, 2024, we had $26.7 billion of forward commitments to enter into repurchase agreements with a weighted average forward start date of 1 day and a weighted average interest rate of 5.15%. As of December 31, 2023, we had $8.8 billion of forward commitments to enter into repurchase agreements, with a weighted average forward start date of 4 days and a weighted average interest rate of 5.54%. As of September 30, 2024 and December 31, 2023, 50% and 48%,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47% and 43% of our repurchase agreement funding outstanding as of September 30, 2024 and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we had $13.5 billion and $11.6 billion, respectively, of reverse repurchase agreements outstanding used primarily to borrow securities to cover short sales of U.S. Treasury securities, for which we had associated obligations to return borrowed securities at fair value of $13.0 billion and $10.9 billion, respectively. As of September 30, 2024 and December 31, 2023, $4.1 billion and $3.1 billion, respectively, of our reverse repurchase agreements were with the FICC sourced through BES.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September 30, 2024 and December 31, 2023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28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4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1"/>
                <w:szCs w:val="21"/>
                <w:color w:val="auto"/>
                <w:vertAlign w:val="superscript"/>
              </w:rPr>
              <w:t>1</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62"/>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2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vMerge w:val="continue"/>
          </w:tcPr>
          <w:p>
            <w:pPr>
              <w:spacing w:after="0"/>
              <w:rPr>
                <w:sz w:val="18"/>
                <w:szCs w:val="18"/>
                <w:color w:val="auto"/>
              </w:rPr>
            </w:pPr>
          </w:p>
        </w:tc>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81"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December 31, 2023, the net fair value of our interest rate swaps excluding the recognition of variation margin settlements as a direct reduction of carrying value (see Note 2) was a net asset (liability) of $1.4 billion and $2.9 billion, respectively. As of September 30, 2024 and December 31, 2023, the net fair value of our credit default swaps excluding the recognition of variation margin settlements was a net asset (liability) of $(7) million and $(6) million, respectively.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(dollars in millions):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2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82% and 18% of notional amount receive index references SOFR and OIS, respectively. As of December 31, 2023, 80% and 20% of notional amount receive index references SOFR and OIS,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7" w:name="page18"/>
    <w:bookmarkEnd w:id="17"/>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Receive Fixed / Pay Variable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vMerge w:val="continue"/>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4"/>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Borders>
              <w:top w:val="single" w:sz="8" w:color="auto"/>
            </w:tcBorders>
          </w:tcPr>
          <w:p>
            <w:pPr>
              <w:jc w:val="center"/>
              <w:ind w:left="106"/>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left="106"/>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 Pay</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Fixed Receive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left="126"/>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 Pay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Fixed Receive</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106"/>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126"/>
              <w:spacing w:after="0"/>
              <w:rPr>
                <w:sz w:val="20"/>
                <w:szCs w:val="20"/>
                <w:color w:val="auto"/>
              </w:rPr>
            </w:pPr>
            <w:r>
              <w:rPr>
                <w:rFonts w:ascii="Times New Roman" w:cs="Times New Roman" w:eastAsia="Times New Roman" w:hAnsi="Times New Roman"/>
                <w:sz w:val="16"/>
                <w:szCs w:val="16"/>
                <w:color w:val="auto"/>
                <w:w w:val="99"/>
              </w:rPr>
              <w:t>0.0</w:t>
            </w: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40" w:type="dxa"/>
            <w:vAlign w:val="bottom"/>
            <w:gridSpan w:val="2"/>
            <w:vMerge w:val="restart"/>
          </w:tcPr>
          <w:p>
            <w:pPr>
              <w:jc w:val="right"/>
              <w:ind w:right="527"/>
              <w:spacing w:after="0"/>
              <w:rPr>
                <w:sz w:val="20"/>
                <w:szCs w:val="20"/>
                <w:color w:val="auto"/>
              </w:rPr>
            </w:pPr>
            <w:r>
              <w:rPr>
                <w:rFonts w:ascii="Times New Roman" w:cs="Times New Roman" w:eastAsia="Times New Roman" w:hAnsi="Times New Roman"/>
                <w:sz w:val="11"/>
                <w:szCs w:val="11"/>
                <w:color w:val="auto"/>
                <w:w w:val="97"/>
              </w:rPr>
              <w:t>________________________________</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   Pay index references SOFR.</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jc w:val="center"/>
              <w:ind w:left="587"/>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right="145"/>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980" w:type="dxa"/>
            <w:vAlign w:val="bottom"/>
            <w:tcBorders>
              <w:top w:val="single" w:sz="8" w:color="auto"/>
            </w:tcBorders>
            <w:vMerge w:val="restart"/>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40" w:type="dxa"/>
            <w:vAlign w:val="bottom"/>
            <w:gridSpan w:val="4"/>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80" w:type="dxa"/>
            <w:vAlign w:val="bottom"/>
            <w:gridSpan w:val="4"/>
            <w:vMerge w:val="restart"/>
          </w:tcPr>
          <w:p>
            <w:pPr>
              <w:jc w:val="center"/>
              <w:ind w:right="24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98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80" w:type="dxa"/>
            <w:vAlign w:val="bottom"/>
            <w:gridSpan w:val="4"/>
            <w:vMerge w:val="continue"/>
          </w:tcPr>
          <w:p>
            <w:pPr>
              <w:spacing w:after="0"/>
              <w:rPr>
                <w:sz w:val="20"/>
                <w:szCs w:val="20"/>
                <w:color w:val="auto"/>
              </w:rPr>
            </w:pPr>
          </w:p>
        </w:tc>
        <w:tc>
          <w:tcPr>
            <w:tcW w:w="13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1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index references SOFR.</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Receiver Swaptions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545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
        <w:spacing w:after="0"/>
        <w:tabs>
          <w:tab w:leader="none" w:pos="840" w:val="left"/>
          <w:tab w:leader="none" w:pos="1200" w:val="left"/>
          <w:tab w:leader="none" w:pos="2060" w:val="left"/>
          <w:tab w:leader="none" w:pos="2900" w:val="left"/>
          <w:tab w:leader="none" w:pos="3620" w:val="left"/>
          <w:tab w:leader="none" w:pos="4260" w:val="left"/>
          <w:tab w:leader="none" w:pos="5140" w:val="left"/>
          <w:tab w:leader="none" w:pos="6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28</w:t>
        <w:tab/>
        <w:t>$</w:t>
      </w:r>
      <w:r>
        <w:rPr>
          <w:sz w:val="20"/>
          <w:szCs w:val="20"/>
          <w:color w:val="auto"/>
        </w:rPr>
        <w:tab/>
      </w:r>
      <w:r>
        <w:rPr>
          <w:rFonts w:ascii="Times New Roman" w:cs="Times New Roman" w:eastAsia="Times New Roman" w:hAnsi="Times New Roman"/>
          <w:sz w:val="16"/>
          <w:szCs w:val="16"/>
          <w:color w:val="auto"/>
        </w:rPr>
        <w:t>86</w:t>
      </w:r>
      <w:r>
        <w:rPr>
          <w:sz w:val="20"/>
          <w:szCs w:val="20"/>
          <w:color w:val="auto"/>
        </w:rPr>
        <w:tab/>
      </w:r>
      <w:r>
        <w:rPr>
          <w:rFonts w:ascii="Times New Roman" w:cs="Times New Roman" w:eastAsia="Times New Roman" w:hAnsi="Times New Roman"/>
          <w:sz w:val="16"/>
          <w:szCs w:val="16"/>
          <w:color w:val="auto"/>
        </w:rPr>
        <w:t>5</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1,250</w:t>
      </w:r>
      <w:r>
        <w:rPr>
          <w:sz w:val="20"/>
          <w:szCs w:val="20"/>
          <w:color w:val="auto"/>
        </w:rPr>
        <w:tab/>
      </w:r>
      <w:r>
        <w:rPr>
          <w:rFonts w:ascii="Times New Roman" w:cs="Times New Roman" w:eastAsia="Times New Roman" w:hAnsi="Times New Roman"/>
          <w:sz w:val="16"/>
          <w:szCs w:val="16"/>
          <w:color w:val="auto"/>
        </w:rPr>
        <w:t>2.61%</w:t>
      </w:r>
      <w:r>
        <w:rPr>
          <w:sz w:val="20"/>
          <w:szCs w:val="20"/>
          <w:color w:val="auto"/>
        </w:rPr>
        <w:tab/>
      </w: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45173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73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Receiver Swap</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jc w:val="center"/>
              <w:ind w:left="6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7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1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880" w:type="dxa"/>
            <w:vAlign w:val="bottom"/>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Receive</w:t>
            </w:r>
          </w:p>
        </w:tc>
        <w:tc>
          <w:tcPr>
            <w:tcW w:w="860" w:type="dxa"/>
            <w:vAlign w:val="bottom"/>
          </w:tcPr>
          <w:p>
            <w:pPr>
              <w:jc w:val="center"/>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3"/>
        </w:trPr>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400" w:space="720"/>
            <w:col w:w="71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year ≤ 2 years</w:t>
            </w:r>
          </w:p>
        </w:tc>
        <w:tc>
          <w:tcPr>
            <w:tcW w:w="140" w:type="dxa"/>
            <w:vAlign w:val="bottom"/>
          </w:tcPr>
          <w:p>
            <w:pPr>
              <w:spacing w:after="0"/>
              <w:rPr>
                <w:sz w:val="18"/>
                <w:szCs w:val="18"/>
                <w:color w:val="auto"/>
              </w:rPr>
            </w:pPr>
          </w:p>
        </w:tc>
        <w:tc>
          <w:tcPr>
            <w:tcW w:w="10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1"/>
              </w:rPr>
              <w:t>150</w:t>
            </w:r>
          </w:p>
        </w:tc>
        <w:tc>
          <w:tcPr>
            <w:tcW w:w="1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40" w:type="dxa"/>
            <w:vAlign w:val="bottom"/>
          </w:tcPr>
          <w:p>
            <w:pPr>
              <w:spacing w:after="0"/>
              <w:rPr>
                <w:sz w:val="11"/>
                <w:szCs w:val="11"/>
                <w:color w:val="auto"/>
              </w:rPr>
            </w:pPr>
          </w:p>
        </w:tc>
        <w:tc>
          <w:tcPr>
            <w:tcW w:w="1040" w:type="dxa"/>
            <w:vAlign w:val="bottom"/>
            <w:gridSpan w:val="3"/>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1"/>
                <w:szCs w:val="11"/>
                <w:color w:val="auto"/>
              </w:rPr>
            </w:pPr>
          </w:p>
        </w:tc>
        <w:tc>
          <w:tcPr>
            <w:tcW w:w="13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1"/>
                <w:szCs w:val="11"/>
                <w:color w:val="auto"/>
              </w:rPr>
            </w:pPr>
          </w:p>
        </w:tc>
        <w:tc>
          <w:tcPr>
            <w:tcW w:w="11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1060" w:type="dxa"/>
            <w:vAlign w:val="bottom"/>
            <w:gridSpan w:val="3"/>
          </w:tcPr>
          <w:p>
            <w:pPr>
              <w:jc w:val="right"/>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 years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year ≤ 7 years</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(1,633)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year ≤ 10 years</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(9,442)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(1,830)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7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December 31, 2023, short U.S. Treasury securities totaling $(13.0) billion and $(10.9) billion, at fair value, respectively, had a weighted average yield of 3.69% and 3.64%, respectively. As of September 30, 2024 and December 31, 2023, long U.S. Treasury securities totaling $2.6 billion and $1.5 billion, at fair value, respectively, had a weighted average yield of 4.06% and 4.39%,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2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8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Years to Maturity</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18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 ≤ 7 years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7 year ≤ 10 years</w:t>
            </w: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TBA Securities by Coupon</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1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tcPr>
          <w:p>
            <w:pPr>
              <w:jc w:val="right"/>
              <w:ind w:right="209"/>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we held SOFR futures contracts with a long notional position of $1.0 billion and $0.9 billion, respectively, measured on a two-year swap equivalent basis, with a net carrying value of $(5) million and $(10) million, respectively.</w:t>
      </w:r>
    </w:p>
    <w:p>
      <w:pPr>
        <w:spacing w:after="0" w:line="122"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As of September 30, 2024 and December 31, 2023, we held centrally cleared credit default swaps ("CDS") with a notional value of $96 million and $95 million, respectively, that reference the Markit CDX Investment Grade or High Yield Grade Index, maturing in June 2029 and December 2028, respectively. Under the terms of these contracts, we make fixed periodic payments equal to 1% per annum of the notional value and we are entitled to receive payments in the event of qualifying credit events. As of September 30, 2024 and December 31, 2023, the credit default swaps had a market value of $(7) million and $(6) million, respectively, and a carrying value of zero dollars, net of variation margin settlements. Pursuant to rules governing central clearing activities, we recognize variation margin settlements as a direct reduction of the carrying value of the CDS asset or liability.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and nine months ended September 30, 2024 and 2023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Pr>
          <w:p>
            <w:pPr>
              <w:spacing w:after="0"/>
              <w:rPr>
                <w:sz w:val="11"/>
                <w:szCs w:val="11"/>
                <w:color w:val="auto"/>
              </w:rPr>
            </w:pPr>
          </w:p>
        </w:tc>
        <w:tc>
          <w:tcPr>
            <w:tcW w:w="11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1"/>
                <w:szCs w:val="11"/>
                <w:color w:val="auto"/>
              </w:rPr>
            </w:pPr>
          </w:p>
        </w:tc>
        <w:tc>
          <w:tcPr>
            <w:tcW w:w="120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 and</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Securities,</w:t>
            </w:r>
          </w:p>
        </w:tc>
        <w:tc>
          <w:tcPr>
            <w:tcW w:w="0" w:type="dxa"/>
            <w:vAlign w:val="bottom"/>
          </w:tcPr>
          <w:p>
            <w:pPr>
              <w:spacing w:after="0"/>
              <w:rPr>
                <w:sz w:val="1"/>
                <w:szCs w:val="1"/>
                <w:color w:val="auto"/>
              </w:rPr>
            </w:pPr>
          </w:p>
        </w:tc>
      </w:tr>
      <w:tr>
        <w:trPr>
          <w:trHeight w:val="203"/>
        </w:trPr>
        <w:tc>
          <w:tcPr>
            <w:tcW w:w="462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8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0" w:type="dxa"/>
            <w:vAlign w:val="bottom"/>
          </w:tcPr>
          <w:p>
            <w:pPr>
              <w:spacing w:after="0"/>
              <w:rPr>
                <w:sz w:val="17"/>
                <w:szCs w:val="17"/>
                <w:color w:val="auto"/>
              </w:rPr>
            </w:pPr>
          </w:p>
        </w:tc>
        <w:tc>
          <w:tcPr>
            <w:tcW w:w="1200" w:type="dxa"/>
            <w:vAlign w:val="bottom"/>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Net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receive,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receiver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138,448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receive,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(23,185)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23,429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2"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as of September 30, 2024 and December 31, 2023, we held SOFR futures contracts with a long notional position of $1.0 billion and $0.9 billion, respectively, measured on a two-year swap equivalent basis. For the three and nine months ended September 30, 2024, we recognized a gain of $36 million and $23 million, respectively, and for the three and nine months ended September 30, 2023, we recognized a loss of and $(6) million and $(25) million, respectively, on our SOFR futures contracts in gain (loss) on derivative instruments and other securities, net in our consolidated statements of comprehensive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2024,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September 30, 2024, 7% of our tangible stockholder's equity was at risk with the Fixed Income Clearing Corporation.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brokerage and clearing agreements by type, including securities pledged related to securities sold but not yet settled, as of September 30, 2024 and December 31, 2023 (in millions):</w:t>
      </w: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63,973</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64,087</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49,602</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spacing w:after="0" w:line="2" w:lineRule="exact"/>
        <w:rPr>
          <w:rFonts w:ascii="Times New Roman" w:cs="Times New Roman" w:eastAsia="Times New Roman" w:hAnsi="Times New Roman"/>
          <w:sz w:val="14"/>
          <w:szCs w:val="14"/>
          <w:color w:val="auto"/>
        </w:rPr>
      </w:pPr>
    </w:p>
    <w:p>
      <w:pPr>
        <w:ind w:left="660" w:hanging="328"/>
        <w:spacing w:after="0" w:line="278"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 million and $42 million of retained interests in our consolidated VIEs pledged as collateral under repurchase agreements as of September 30, 2024 and December 31, 2023, respectively.</w:t>
      </w:r>
    </w:p>
    <w:p>
      <w:pPr>
        <w:spacing w:after="0" w:line="12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September 30, 2024 and December 31, 2023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r>
      <w:tr>
        <w:trPr>
          <w:trHeight w:val="137"/>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Interest on</w:t>
            </w:r>
          </w:p>
        </w:tc>
      </w:tr>
      <w:tr>
        <w:trPr>
          <w:trHeight w:val="160"/>
        </w:trPr>
        <w:tc>
          <w:tcPr>
            <w:tcW w:w="3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3"/>
                <w:szCs w:val="13"/>
                <w:color w:val="auto"/>
              </w:rPr>
            </w:pPr>
          </w:p>
        </w:tc>
        <w:tc>
          <w:tcPr>
            <w:tcW w:w="102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3"/>
                <w:szCs w:val="13"/>
                <w:color w:val="auto"/>
              </w:rPr>
            </w:pPr>
          </w:p>
        </w:tc>
        <w:tc>
          <w:tcPr>
            <w:tcW w:w="106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90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9"/>
                <w:szCs w:val="9"/>
                <w:b w:val="1"/>
                <w:bCs w:val="1"/>
                <w:color w:val="auto"/>
              </w:rPr>
              <w:t>1,2</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02"/>
        </w:trPr>
        <w:tc>
          <w:tcPr>
            <w:tcW w:w="3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5"/>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 months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3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80" w:hanging="328"/>
        <w:spacing w:after="0" w:line="278"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 million and $42 million of retained interests in our consolidated VIEs pledged as collateral under repurchase agreements as of September 30, 2024 and December 31, 2023, respectively.</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$33 million and $397 million of repledged U.S. Treasury securities received as collateral from counterparties as of September 30, 2024 and December 31, 2023,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 -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3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13,387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2024 and December 31, 2023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2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33655</wp:posOffset>
            </wp:positionV>
            <wp:extent cx="45516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left="74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1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66,027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66,027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-976630</wp:posOffset>
            </wp:positionV>
            <wp:extent cx="707199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-694055</wp:posOffset>
            </wp:positionV>
            <wp:extent cx="70719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-427990</wp:posOffset>
            </wp:positionV>
            <wp:extent cx="707199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-170815</wp:posOffset>
            </wp:positionV>
            <wp:extent cx="707199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-1242060</wp:posOffset>
            </wp:positionV>
            <wp:extent cx="70719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3320" w:space="720"/>
            <w:col w:w="7200"/>
          </w:cols>
          <w:pgMar w:left="320" w:top="925" w:right="339" w:bottom="1440" w:gutter="0" w:footer="0" w:header="0"/>
          <w:type w:val="continuous"/>
        </w:sectPr>
      </w:pPr>
    </w:p>
    <w:p>
      <w:pPr>
        <w:ind w:left="660" w:right="160" w:hanging="328"/>
        <w:spacing w:after="0" w:line="260"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23" w:name="page24"/>
    <w:bookmarkEnd w:id="23"/>
    <w:p>
      <w:pPr>
        <w:ind w:left="660" w:right="400" w:hanging="328"/>
        <w:spacing w:after="0" w:line="30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September 30, 2024 and December 31, 2023, based on their categorization within the valuation hierarchy (in millions). There were no transfers between valuation hierarchy levels during the periods presented in our accompanying consolidated statements of comprehensive income.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53,673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9"/>
                <w:szCs w:val="9"/>
                <w:color w:val="auto"/>
              </w:rPr>
              <w:t>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69,084</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6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9"/>
                <w:szCs w:val="9"/>
                <w:color w:val="auto"/>
              </w:rPr>
              <w:t>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9"/>
                <w:szCs w:val="9"/>
                <w:color w:val="auto"/>
              </w:rPr>
              <w:t>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December 31, 2023, the net fair value of our interest rate swaps excluding the recognition of variation margin settlements as a direct reduction of carrying value was a net asset (liability) of $1.4 billion and $2.9 billion, respectively, based on "Level 2" inputs. As of September 30, 2024 and December 31, 2023, the net fair value of our credit default swaps excluding the recognition of variation margin settlements was a net asset (liability) of $(7) million and $(6) million, respectively, based on "Level 2" inputs. See Notes 2 and 5 for additional details.</w:t>
      </w:r>
    </w:p>
    <w:p>
      <w:pPr>
        <w:spacing w:after="0" w:line="28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Excluded from the table above are financial instruments reported at cost and other mortgage credit investments reported under the equity method of accounting in our consolidated financial statements. As of September 30, 2024 and December 31, 2023,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September 30, 2024 and December 31, 2023, the carrying value of other mortgage credit investments reported under the equity method of accounting was $61 million and $44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Diluted net income (loss) per common share assumes the issuance of all potential common stock equivalents unless doing so would reduce a loss or increase income per common share. Our potential common stock equivalents consist of unvested time-and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7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73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r>
      <w:tr>
        <w:trPr>
          <w:trHeight w:val="196"/>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1.3 million and 1.1 million, respectively, of potentially dilutive unvested time- and performance-based RSUs outstanding were excluded from the computation of diluted net income (loss) per common share because including them would have been anti-dilutive for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authorized to designate and issue up to 10.0 million shares of preferred stock in one or more classes or series. As of September 30, 2024 and December 31, 2023,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September 30, 2024 and December 31, 2023,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includes a summary of preferred stock depositary shares issued and outstanding as of September 30, 2024 (dollars and shares in millions):</w:t>
      </w:r>
    </w:p>
    <w:p>
      <w:pPr>
        <w:spacing w:after="0" w:line="12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Depositary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Redeemable</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20" w:type="dxa"/>
            <w:vAlign w:val="bottom"/>
          </w:tcPr>
          <w:p>
            <w:pPr>
              <w:spacing w:after="0"/>
              <w:rPr>
                <w:sz w:val="12"/>
                <w:szCs w:val="12"/>
                <w:color w:val="auto"/>
              </w:rPr>
            </w:pPr>
          </w:p>
        </w:tc>
        <w:tc>
          <w:tcPr>
            <w:tcW w:w="92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 Annum</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First Optional</w:t>
            </w:r>
          </w:p>
        </w:tc>
        <w:tc>
          <w:tcPr>
            <w:tcW w:w="0" w:type="dxa"/>
            <w:vAlign w:val="bottom"/>
          </w:tcPr>
          <w:p>
            <w:pPr>
              <w:spacing w:after="0"/>
              <w:rPr>
                <w:sz w:val="1"/>
                <w:szCs w:val="1"/>
                <w:color w:val="auto"/>
              </w:rPr>
            </w:pPr>
          </w:p>
        </w:tc>
      </w:tr>
      <w:tr>
        <w:trPr>
          <w:trHeight w:val="135"/>
        </w:trPr>
        <w:tc>
          <w:tcPr>
            <w:tcW w:w="188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3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Dividend</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Redemption Date /</w:t>
            </w:r>
          </w:p>
        </w:tc>
        <w:tc>
          <w:tcPr>
            <w:tcW w:w="0" w:type="dxa"/>
            <w:vAlign w:val="bottom"/>
          </w:tcPr>
          <w:p>
            <w:pPr>
              <w:spacing w:after="0"/>
              <w:rPr>
                <w:sz w:val="1"/>
                <w:szCs w:val="1"/>
                <w:color w:val="auto"/>
              </w:rPr>
            </w:pPr>
          </w:p>
        </w:tc>
      </w:tr>
      <w:tr>
        <w:trPr>
          <w:trHeight w:val="203"/>
        </w:trPr>
        <w:tc>
          <w:tcPr>
            <w:tcW w:w="1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Preferred Stock </w:t>
            </w:r>
            <w:r>
              <w:rPr>
                <w:rFonts w:ascii="Times New Roman" w:cs="Times New Roman" w:eastAsia="Times New Roman" w:hAnsi="Times New Roman"/>
                <w:sz w:val="18"/>
                <w:szCs w:val="18"/>
                <w:b w:val="1"/>
                <w:bCs w:val="1"/>
                <w:color w:val="auto"/>
                <w:vertAlign w:val="superscript"/>
              </w:rPr>
              <w:t>1</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3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Rate </w:t>
            </w:r>
            <w:r>
              <w:rPr>
                <w:rFonts w:ascii="Times New Roman" w:cs="Times New Roman" w:eastAsia="Times New Roman" w:hAnsi="Times New Roman"/>
                <w:sz w:val="18"/>
                <w:szCs w:val="18"/>
                <w:b w:val="1"/>
                <w:bCs w:val="1"/>
                <w:color w:val="auto"/>
                <w:w w:val="94"/>
                <w:vertAlign w:val="superscript"/>
              </w:rPr>
              <w:t>2,3</w:t>
            </w: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Conversion Date </w:t>
            </w:r>
            <w:r>
              <w:rPr>
                <w:rFonts w:ascii="Times New Roman" w:cs="Times New Roman" w:eastAsia="Times New Roman" w:hAnsi="Times New Roman"/>
                <w:sz w:val="18"/>
                <w:szCs w:val="18"/>
                <w:b w:val="1"/>
                <w:bCs w:val="1"/>
                <w:color w:val="auto"/>
                <w:w w:val="96"/>
                <w:vertAlign w:val="superscript"/>
              </w:rPr>
              <w:t>3,4</w:t>
            </w:r>
          </w:p>
        </w:tc>
        <w:tc>
          <w:tcPr>
            <w:tcW w:w="0" w:type="dxa"/>
            <w:vAlign w:val="bottom"/>
          </w:tcPr>
          <w:p>
            <w:pPr>
              <w:spacing w:after="0"/>
              <w:rPr>
                <w:sz w:val="1"/>
                <w:szCs w:val="1"/>
                <w:color w:val="auto"/>
              </w:rPr>
            </w:pPr>
          </w:p>
        </w:tc>
      </w:tr>
      <w:tr>
        <w:trPr>
          <w:trHeight w:val="183"/>
        </w:trPr>
        <w:tc>
          <w:tcPr>
            <w:tcW w:w="1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C</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August 22, 2017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w w:val="99"/>
              </w:rPr>
              <w:t>10.65872%</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15, 2022</w:t>
            </w: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D</w:t>
            </w: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March 6, 2019</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7"/>
              </w:rPr>
              <w:t>9.87972%</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April 15, 2024</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October 3, 2019</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6.500%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15, 2024</w:t>
            </w: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F</w:t>
            </w: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February 11, 2020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6.125%</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April 15, 2025</w:t>
            </w:r>
          </w:p>
        </w:tc>
        <w:tc>
          <w:tcPr>
            <w:tcW w:w="0" w:type="dxa"/>
            <w:vAlign w:val="bottom"/>
          </w:tcPr>
          <w:p>
            <w:pPr>
              <w:spacing w:after="0"/>
              <w:rPr>
                <w:sz w:val="1"/>
                <w:szCs w:val="1"/>
                <w:color w:val="auto"/>
              </w:rPr>
            </w:pPr>
          </w:p>
        </w:tc>
      </w:tr>
      <w:tr>
        <w:trPr>
          <w:trHeight w:val="186"/>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Fixed-Rate Reset:</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G</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September 14, 2022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7.750%</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15, 2027</w:t>
            </w:r>
          </w:p>
        </w:tc>
        <w:tc>
          <w:tcPr>
            <w:tcW w:w="0" w:type="dxa"/>
            <w:vAlign w:val="bottom"/>
          </w:tcPr>
          <w:p>
            <w:pPr>
              <w:spacing w:after="0"/>
              <w:rPr>
                <w:sz w:val="1"/>
                <w:szCs w:val="1"/>
                <w:color w:val="auto"/>
              </w:rPr>
            </w:pPr>
          </w:p>
        </w:tc>
      </w:tr>
      <w:tr>
        <w:trPr>
          <w:trHeight w:val="179"/>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60" w:hanging="328"/>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and D per annum dividend rates represent the rates in effect as of September 30, 2024.</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72"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and D dividends accrue at a rate equal to the 3-Month CME Term SOFR plus 0.26161%, plus a spread of 5.111% and 4.332%, respectively, per annum, resetting quarterly in accordance with the certificate of designations for such series and the Adjustable Interest Rate (LIBOR) Act of 2021 (the “LIBOR Act”). At the conclusion of the fixed rate period (the conversion date) for the Series E and F Preferred Stock, the</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25" w:name="page26"/>
    <w:bookmarkEnd w:id="25"/>
    <w:p>
      <w:pPr>
        <w:jc w:val="both"/>
        <w:ind w:left="660"/>
        <w:spacing w:after="0" w:line="262" w:lineRule="auto"/>
        <w:rPr>
          <w:sz w:val="20"/>
          <w:szCs w:val="20"/>
          <w:color w:val="auto"/>
        </w:rPr>
      </w:pPr>
      <w:r>
        <w:rPr>
          <w:rFonts w:ascii="Times New Roman" w:cs="Times New Roman" w:eastAsia="Times New Roman" w:hAnsi="Times New Roman"/>
          <w:sz w:val="14"/>
          <w:szCs w:val="14"/>
          <w:color w:val="auto"/>
        </w:rPr>
        <w:t>dividend for such series will accrue at a rate equal to the 3-Month CME Term SOFR plus 0.26161%, plus a spread of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62"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and nine months ended September 30, 2024, we sold 78.1 million and 149.0 million shares, respectively, of our common stock under the sales agreements for proceeds of $781 million and $1,456 million, respectively, or $10.00 and $9.78 per common share, respectively, net of offering costs. As of September 30, 2024, shares of our common stock with an aggregate offering price of $189 million remained authorized for issuance under this program through December 31, 2025. See Note 10. Subsequent Events for additional information regarding our At-the-Market Offering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and nine months ended September 30, 2024 and 2023 (in millions):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76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7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39"/>
        </w:trPr>
        <w:tc>
          <w:tcPr>
            <w:tcW w:w="714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Net loss amounts for available-for-sale securities reclassified from accumulated OCI to realized gain (loss) on sale of</w:t>
            </w:r>
          </w:p>
        </w:tc>
        <w:tc>
          <w:tcPr>
            <w:tcW w:w="2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 securities, net</w:t>
            </w: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During October 2024, we entered into amendments to the agreements with the sales agents that govern our At-the-Market Offering Program (see Note</w:t>
      </w:r>
    </w:p>
    <w:p>
      <w:pPr>
        <w:spacing w:after="0" w:line="39" w:lineRule="exact"/>
        <w:rPr>
          <w:sz w:val="20"/>
          <w:szCs w:val="20"/>
          <w:color w:val="auto"/>
        </w:rPr>
      </w:pPr>
    </w:p>
    <w:p>
      <w:pPr>
        <w:jc w:val="both"/>
        <w:ind w:firstLine="8"/>
        <w:spacing w:after="0" w:line="255"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Pursuant to these amendments and the prospectus supplement filed in connection with the amendments, we may publicly offer and sell shares of our common stock in privately negotiated and/or at-the-market transactions from time-to-time up to a maximum aggregate offering price of our common stock of $1.5 billion from and after the date of the amendment through December 31,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maintained a stock repurchase plan that enables us to repurchase shares of our common stock from time to time. We intend to repurchase shares under the stock repurchase program only when the repurchase price is less than our then-current estimate of tangible net book value per common share. Our existing stock repurchase plan, which had $1 billion in remaining capacity, was due to expire on December 31, 2024. During October 2024, our Board of Directors terminated this stock repurchase plan and replaced it with a new plan authorizing us to repurchase up to $1 billion of common stock through December 31, 2026. Under the new plan, we may repurchase shares in the open market or through privately negotiated transactions or pursuant to a trading plan that may be adopted in accordance with Rule 10b5-1 of the Exchange Act. Our stock repurchase program may be limited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2024. Our MD&amp;A is presented in the following sections:</w:t>
      </w:r>
    </w:p>
    <w:p>
      <w:pPr>
        <w:spacing w:after="0" w:line="5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and Social Media Disclosure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favorable investment environment, characterized by Agency mortgage spreads to benchmark interest rates that remained materially wider than historical norms and within a relatively narrow trading range, declining interest rate volatility, and the emerging accommodative monetary policy stance by the Federal Reserve (the "Fed"), continued to strengthen in the third quarter of 2024. The shift in monetary policy was further supported by the Fed's initial rate cut in September, which was larger than many expected. More importantly, the September rate cut marked the end of an extended period of monetary policy restraint, with the Fed communicating its intention to lower short-term rates to a neutral level over time. As a result, Treasury rates declined across the yield curve, and the yield curve ended the quarter with a positive slope for the first time in two years.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Against this favorable backdrop, AGNC generated an economic return on tangible common equity per share of 9.3% for the third quarter, comprised of $0.36 of dividends per common share and a $0.42, or 5%, increase in tangible net book value per common share, bringing our year-to-date economic return through September 30, 2024 to 13.8% per common share. Consistent with Agency RMBS spreads trading in a relatively narrow range, our year-to-date economic return consisted of a modest increase in our tangible net book value per common share of 1.4% and a $1.08 of dividends per common share.</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Looking ahead, the outlook for Agency RMBS is decidedly better today than it was in 2022 and 2023 given the current economic outlook, the stance of the Fed, and our expectation that long-term interest rates and Agency RMBS spreads will remain relatively stable. While the path of financial markets is never perfectly smooth and periods of volatility are inevitable, our view is based, in part, on our belief that the supply and demand dynamics for Agency RMBS will remain in reasonable balance. Given the recent modest decline in mortgage rates during the third quarter, it is possible that the supply of Agency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RMBS will increase somewhat over the intermediate term. On the demand side, however, accommodative monetary policy, a steeper yield curve, historically large money market mutual fund balances, and the potential for less onerous bank capital reforms than originally proposed suggest that demand for high-quality fixed income assets is likely to increase as the Fed reduces short-term interest rates.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Agency RMBS performance during the third quarter varied considerably by coupon and hedge composition, with lower coupon RMBS outperforming higher coupons, driven by favorable technical factors and strong demand from fixed income bond funds. Our performance benefited from having a diversified mix of assets as well as a meaningful share of longer-term US Treasury-based hedges. During the quarter, we reduced our swap-based hedges and increased our allocation to Treasury-based hedges. Additionally, we expanded our use of longer-term hedges in response to the shift in monetary policy and our expectations for further yield curve steepening. Consistent with our transition toward longer-term hedges, our overall interest rate hedge position declined to 72% of the outstanding balance of our Investment Securities Repo, TBA position, and other debt by the end of the quarter, down from 98% as of the second quarter.</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weighted average coupon on our fixed-rate Agency RMBS and TBA securities decreased to 4.90% as of the end of the third quarter, from 4.95% at the end of the second quarter. Consistent with the decline in interest rates during the third quarter, the average projected life CPR for our portfolio increased 4.0% to 13.2%. Actual CPRs for the third quarter averaged 7.3%, up slightly from 7.1% in the second quarter.</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"at risk" leverage decreased modestly to 7.2x tangible stockholders’ equity at the end of the quarter, from 7.4x as of June 30, 2024. Additionally, we concluded the quarter with $6.2 billion in cash and unencumbered Agency RMBS, or 68% of our tangible equity, up from $5.3 billion, or 65% of our tangible equity, at the end of the second quarter.</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spread and dollar roll income per diluted common share (a non-GAAP measure) declined by $0.10 to $0.43 per share in the third quarter, driven by a reduction in our net interest rate spread, which narrowed by 48 basis points to 221 basis points. Approximately half of the decline in our net interest spread was due to the maturity of $6.5 billion of low-cost pay-fixed interest rate swaps during the quarter. No additional swaps are scheduled to mature until the second quarter of 2025. The remaining decline was largely due to our decision to further reduce our swap-based hedges in favor of Treasury-based hedges, which are not reflected in our reported net interest spread.</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third quarter, we issued $781 million of common equity through our At-the-Market ("ATM") offering program, bringing our year-to-date issuances to $1.46 billion. The significant increase in ATM issuances during the third quarter was aligned with the substantial price-to-book premium of our common stock and contributed to meaningful book value accretion for our common stockholders. Additionally, the positive investment environment provided a favorable backdrop for deploying this new capital.</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benchmark interest rates and prices of generic fixed rate Agency RMBS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 30,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 30, 2024</w:t>
            </w:r>
          </w:p>
        </w:tc>
        <w:tc>
          <w:tcPr>
            <w:tcW w:w="0" w:type="dxa"/>
            <w:vAlign w:val="bottom"/>
          </w:tcPr>
          <w:p>
            <w:pPr>
              <w:spacing w:after="0"/>
              <w:rPr>
                <w:sz w:val="1"/>
                <w:szCs w:val="1"/>
                <w:color w:val="auto"/>
              </w:rPr>
            </w:pPr>
          </w:p>
        </w:tc>
      </w:tr>
      <w:tr>
        <w:trPr>
          <w:trHeight w:val="146"/>
        </w:trPr>
        <w:tc>
          <w:tcPr>
            <w:tcW w:w="41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203"/>
        </w:trPr>
        <w:tc>
          <w:tcPr>
            <w:tcW w:w="410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0" w:type="dxa"/>
            <w:vAlign w:val="bottom"/>
          </w:tcPr>
          <w:p>
            <w:pPr>
              <w:spacing w:after="0"/>
              <w:rPr>
                <w:sz w:val="1"/>
                <w:szCs w:val="1"/>
                <w:color w:val="auto"/>
              </w:rPr>
            </w:pPr>
          </w:p>
        </w:tc>
      </w:tr>
      <w:tr>
        <w:trPr>
          <w:trHeight w:val="19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$82.77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$81.87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$86.22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+$4.35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$82.75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$88.58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$89.61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$88.67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$93.09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+$4.42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$89.09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$91.68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$95.34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$98.27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+$3.82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$99.04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$97.70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$96.81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+$0.86</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$99.58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$98.76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$98.74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$100.98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$86.69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$89.16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+$3.55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$85.81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$88.71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$91.07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$93.68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$90.54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$95.13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$97.88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$94.42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$96.95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$96.24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t>The following table summarizes mortgage and credit spreads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 30,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 30, 2024</w:t>
            </w:r>
          </w:p>
        </w:tc>
        <w:tc>
          <w:tcPr>
            <w:tcW w:w="0" w:type="dxa"/>
            <w:vAlign w:val="bottom"/>
          </w:tcPr>
          <w:p>
            <w:pPr>
              <w:spacing w:after="0"/>
              <w:rPr>
                <w:sz w:val="1"/>
                <w:szCs w:val="1"/>
                <w:color w:val="auto"/>
              </w:rPr>
            </w:pPr>
          </w:p>
        </w:tc>
      </w:tr>
      <w:tr>
        <w:trPr>
          <w:trHeight w:val="146"/>
        </w:trPr>
        <w:tc>
          <w:tcPr>
            <w:tcW w:w="41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8"/>
        </w:trPr>
        <w:tc>
          <w:tcPr>
            <w:tcW w:w="410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0" w:type="dxa"/>
            <w:vAlign w:val="bottom"/>
          </w:tcPr>
          <w:p>
            <w:pPr>
              <w:spacing w:after="0"/>
              <w:rPr>
                <w:sz w:val="1"/>
                <w:szCs w:val="1"/>
                <w:color w:val="auto"/>
              </w:rPr>
            </w:pPr>
          </w:p>
        </w:tc>
      </w:tr>
      <w:tr>
        <w:trPr>
          <w:trHeight w:val="201"/>
        </w:trPr>
        <w:tc>
          <w:tcPr>
            <w:tcW w:w="394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0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30-Year Agency Current Coupon Yield to 5-Year U.S. Treasury</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vMerge w:val="restart"/>
          </w:tcPr>
          <w:p>
            <w:pPr>
              <w:jc w:val="center"/>
              <w:ind w:right="4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30-Year Agency Current Coupon Yield to 10-Year U.S. Treasury</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0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30-Year Agency Current Coupon Yield to 5/10-Year U.S.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Treasury 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4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8"/>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7" w:lineRule="exact"/>
        <w:rPr>
          <w:sz w:val="20"/>
          <w:szCs w:val="20"/>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yield on new production Agency RMBS. 30-Year Current Coupon Yields are sourced from Bloomberg and 30-Year Mortgage Rates are sourced from Clear Blue.</w:t>
      </w: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our investment portfolio totaled $73.1 billion and $60.2 billion, respectively, consisting of: $68.0 billion and $53.8 billion Agency RMBS, at fair value, respectively; $4.1 billion and $5.4 billion net TBA securities, at fair value, respectively; $0.9 billion and $1.0 billion CRT, non-Agency RMBS and CMBS, at fair value, respectively; and other mortgage credit investments of $61 million and $44 million, respectively, which we account for under the equity method of accounting. The following table is a summary of our investment securities (including TBA securities) as of September 30, 2024 and December 31, 2023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3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71,096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70,098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70,736</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CMO Agency RMBS </w:t>
            </w:r>
            <w:r>
              <w:rPr>
                <w:rFonts w:ascii="Times New Roman" w:cs="Times New Roman" w:eastAsia="Times New Roman" w:hAnsi="Times New Roman"/>
                <w:sz w:val="18"/>
                <w:szCs w:val="18"/>
                <w:color w:val="auto"/>
                <w:vertAlign w:val="superscript"/>
              </w:rPr>
              <w:t>3</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35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Agency RMBS and TBA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73,160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61,225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CMBS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11.20 %</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Total investment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$61 million and $44 million as of September 30, 2024 and December 31, 2023, respectively.</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10-Q</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excludes interest-only and principal-only securities.</w:t>
      </w:r>
    </w:p>
    <w:p>
      <w:pPr>
        <w:spacing w:after="0" w:line="1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TBA securities are recorded as derivative instruments in our accompanying consolidated financial statements, and our TBA dollar roll transactions represent a form of off-balance sheet financing. As of September 30, 2024 and December 31, 2023, our TBA securities had a net carrying value of $1 million and $66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weighted average yield on our investment securities (excluding TBA and forward settling securities) was 4.68% and 4.41%,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 securities, as of September 30, 2024 and December 31, 2023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3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4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100" w:type="dxa"/>
            <w:vAlign w:val="bottom"/>
          </w:tcPr>
          <w:p>
            <w:pPr>
              <w:spacing w:after="0"/>
              <w:rPr>
                <w:sz w:val="17"/>
                <w:szCs w:val="17"/>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99.4%</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100.9%</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101.3%</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101.3%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4.5%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101.2%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5"/>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104.5%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103.5%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103.7%</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104.8%</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3.11%</w:t>
            </w:r>
          </w:p>
        </w:tc>
        <w:tc>
          <w:tcPr>
            <w:tcW w:w="2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103.9%</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96.9%</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104.1%</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104.6%</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101.3%</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102.4%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70,304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71,096</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70,098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4.92%</w:t>
            </w:r>
          </w:p>
        </w:tc>
        <w:tc>
          <w:tcPr>
            <w:tcW w:w="2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70,979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70,736</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6"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2024, lower balance specified pools had a weighted average original loan balance of $188,000 and $147,000 for 15-year and 30-year securities, respectively, and HARP pools had a weighted average original LTV of 128% and 141% for 15-year and 30-year securities, respectively.</w:t>
      </w: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6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Fixed Rate Agency RMBS and</w:t>
            </w: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60" w:type="dxa"/>
            <w:vAlign w:val="bottom"/>
            <w:gridSpan w:val="3"/>
            <w:vMerge w:val="restart"/>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02"/>
        </w:trPr>
        <w:tc>
          <w:tcPr>
            <w:tcW w:w="2360" w:type="dxa"/>
            <w:vAlign w:val="bottom"/>
            <w:gridSpan w:val="2"/>
            <w:vMerge w:val="continue"/>
          </w:tcPr>
          <w:p>
            <w:pPr>
              <w:spacing w:after="0"/>
              <w:rPr>
                <w:sz w:val="8"/>
                <w:szCs w:val="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TBA Securities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102.8%</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100.9%</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104.7%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104.3%</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104.1%</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105.7%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103.9%</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100.5%</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57,766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4.88%</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59,442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58,515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preceding table for specified pool composition.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2023.</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our CRT and non-Agency securities, including credit ratings, as of September 30, 2024 and December 31, 2023, please refer to Note 3 of our Consolidated Financial Statements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the related per common share measures and certain financial metrics derived from such non-GAAP information.</w:t>
      </w:r>
    </w:p>
    <w:p>
      <w:pPr>
        <w:spacing w:after="0" w:line="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54"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31, 2023, "Net spread and dollar roll income available to common stockholders" was referred to as "net spread and dollar roll income, excluding 'catch-up' premium amortization, available to common stockholders". "Net spread and dollar roll income available to common stockholders" continues to exclude "catch-up" premium amortization.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p>
      <w:pPr>
        <w:spacing w:after="0" w:line="243"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following selected financial data is derived from our interim consolidated financial statements and the notes thereto. The tables below present our condensed consolidated balance sheets as of September 30, 2024 and December 31, 2023 and condensed consolidated statements of comprehensive income and key statistics for the three and nine months ended September 30, 2024 and 2023 (in millions, except per share amounts):</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60" w:type="dxa"/>
            <w:vAlign w:val="bottom"/>
          </w:tcPr>
          <w:p>
            <w:pPr>
              <w:spacing w:after="0"/>
              <w:rPr>
                <w:sz w:val="17"/>
                <w:szCs w:val="17"/>
                <w:color w:val="auto"/>
              </w:rPr>
            </w:pPr>
          </w:p>
        </w:tc>
        <w:tc>
          <w:tcPr>
            <w:tcW w:w="12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9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Investment securities, at fair value of $68,937 and $54,824, respectively, and other mortgage credit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68,998</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54,868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89,590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66,048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50,506</w:t>
            </w: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79,934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60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 (Unaudited)</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r>
      <w:tr>
        <w:trPr>
          <w:trHeight w:val="213"/>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0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1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6"/>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65,748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59,756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49,491</w:t>
            </w:r>
          </w:p>
        </w:tc>
      </w:tr>
      <w:tr>
        <w:trPr>
          <w:trHeight w:val="21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66,674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55,665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60,842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50,921</w:t>
            </w: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11,687</w:t>
            </w:r>
          </w:p>
        </w:tc>
      </w:tr>
      <w:tr>
        <w:trPr>
          <w:trHeight w:val="21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84,245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65,025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76,291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61,964</w:t>
            </w: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59,322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52,969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42,841</w:t>
            </w:r>
          </w:p>
        </w:tc>
      </w:tr>
      <w:tr>
        <w:trPr>
          <w:trHeight w:val="216"/>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9,151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8,661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7,843</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5</w:t>
            </w:r>
          </w:p>
        </w:tc>
        <w:tc>
          <w:tcPr>
            <w:tcW w:w="19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7.2:1</w:t>
            </w:r>
          </w:p>
        </w:tc>
        <w:tc>
          <w:tcPr>
            <w:tcW w:w="13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7.5:1</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7.2:1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6</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7.2:1</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7.9:1</w:t>
            </w: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7.2:1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7</w:t>
            </w:r>
          </w:p>
        </w:tc>
        <w:tc>
          <w:tcPr>
            <w:tcW w:w="19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9.3 %</w:t>
            </w:r>
          </w:p>
        </w:tc>
        <w:tc>
          <w:tcPr>
            <w:tcW w:w="13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(10.1)%</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13.8 %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 - annualized</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0.14 %</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0.14 %</w:t>
            </w: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0.14 %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0.15 %</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 - annualized</w:t>
            </w:r>
          </w:p>
        </w:tc>
        <w:tc>
          <w:tcPr>
            <w:tcW w:w="19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0.14 %</w:t>
            </w:r>
          </w:p>
        </w:tc>
        <w:tc>
          <w:tcPr>
            <w:tcW w:w="13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0.13 %</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0.13 %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0.12 %</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 - annualized</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1.31 %</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1.19 %</w:t>
            </w: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1.20 %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spacing w:after="0" w:line="3" w:lineRule="exact"/>
        <w:rPr>
          <w:sz w:val="20"/>
          <w:szCs w:val="20"/>
          <w:color w:val="auto"/>
        </w:rPr>
      </w:pPr>
    </w:p>
    <w:p>
      <w:pPr>
        <w:ind w:left="660" w:hanging="328"/>
        <w:spacing w:after="0" w:line="259"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17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14" w:lineRule="exact"/>
        <w:rPr>
          <w:rFonts w:ascii="Times New Roman" w:cs="Times New Roman" w:eastAsia="Times New Roman" w:hAnsi="Times New Roman"/>
          <w:sz w:val="14"/>
          <w:szCs w:val="14"/>
          <w:color w:val="auto"/>
        </w:rPr>
      </w:pPr>
    </w:p>
    <w:p>
      <w:pPr>
        <w:ind w:left="660" w:right="20" w:hanging="328"/>
        <w:spacing w:after="0" w:line="254"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11" w:lineRule="exact"/>
        <w:rPr>
          <w:rFonts w:ascii="Times New Roman" w:cs="Times New Roman" w:eastAsia="Times New Roman" w:hAnsi="Times New Roman"/>
          <w:sz w:val="14"/>
          <w:szCs w:val="14"/>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60" w:hanging="328"/>
        <w:spacing w:after="0" w:line="263"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5" w:name="page36"/>
    <w:bookmarkEnd w:id="35"/>
    <w:p>
      <w:pPr>
        <w:ind w:left="660" w:right="20" w:hanging="328"/>
        <w:spacing w:after="0" w:line="302"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the three and nine months ended September 30, 2024 and 2023,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0" w:type="dxa"/>
            <w:vAlign w:val="bottom"/>
          </w:tcPr>
          <w:p>
            <w:pPr>
              <w:spacing w:after="0"/>
              <w:rPr>
                <w:sz w:val="1"/>
                <w:szCs w:val="1"/>
                <w:color w:val="auto"/>
              </w:rPr>
            </w:pPr>
          </w:p>
        </w:tc>
      </w:tr>
      <w:tr>
        <w:trPr>
          <w:trHeight w:val="19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3.67 %</w:t>
            </w:r>
          </w:p>
        </w:tc>
        <w:tc>
          <w:tcPr>
            <w:tcW w:w="0" w:type="dxa"/>
            <w:vAlign w:val="bottom"/>
          </w:tcPr>
          <w:p>
            <w:pPr>
              <w:spacing w:after="0"/>
              <w:rPr>
                <w:sz w:val="1"/>
                <w:szCs w:val="1"/>
                <w:color w:val="auto"/>
              </w:rPr>
            </w:pPr>
          </w:p>
        </w:tc>
      </w:tr>
      <w:tr>
        <w:trPr>
          <w:trHeight w:val="139"/>
        </w:trPr>
        <w:tc>
          <w:tcPr>
            <w:tcW w:w="39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w:t>
            </w:r>
          </w:p>
        </w:tc>
        <w:tc>
          <w:tcPr>
            <w:tcW w:w="12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0" w:type="dxa"/>
            <w:vAlign w:val="bottom"/>
          </w:tcPr>
          <w:p>
            <w:pPr>
              <w:spacing w:after="0"/>
              <w:rPr>
                <w:sz w:val="1"/>
                <w:szCs w:val="1"/>
                <w:color w:val="auto"/>
              </w:rPr>
            </w:pPr>
          </w:p>
        </w:tc>
      </w:tr>
      <w:tr>
        <w:trPr>
          <w:trHeight w:val="193"/>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CPR forecast</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0" w:type="dxa"/>
            <w:vAlign w:val="bottom"/>
          </w:tcPr>
          <w:p>
            <w:pPr>
              <w:spacing w:after="0"/>
              <w:rPr>
                <w:sz w:val="1"/>
                <w:szCs w:val="1"/>
                <w:color w:val="auto"/>
              </w:rPr>
            </w:pPr>
          </w:p>
        </w:tc>
      </w:tr>
      <w:tr>
        <w:trPr>
          <w:trHeight w:val="19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9"/>
                <w:szCs w:val="9"/>
                <w:color w:val="auto"/>
              </w:rPr>
              <w:t>1,2</w:t>
            </w:r>
          </w:p>
        </w:tc>
        <w:tc>
          <w:tcPr>
            <w:tcW w:w="1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interest income (non-GAAP measure) </w:t>
            </w:r>
            <w:r>
              <w:rPr>
                <w:rFonts w:ascii="Times New Roman" w:cs="Times New Roman" w:eastAsia="Times New Roman" w:hAnsi="Times New Roman"/>
                <w:sz w:val="9"/>
                <w:szCs w:val="9"/>
                <w:color w:val="auto"/>
              </w:rPr>
              <w:t>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spacing w:after="0" w:line="251"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1" w:lineRule="exact"/>
        <w:rPr>
          <w:sz w:val="20"/>
          <w:szCs w:val="20"/>
          <w:color w:val="auto"/>
        </w:rPr>
      </w:pPr>
    </w:p>
    <w:p>
      <w:pPr>
        <w:ind w:left="20" w:right="380"/>
        <w:spacing w:after="0" w:line="251"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9"/>
          <w:szCs w:val="9"/>
          <w:color w:val="auto"/>
        </w:rPr>
        <w:t>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9"/>
          <w:szCs w:val="9"/>
          <w:color w:val="auto"/>
        </w:rPr>
        <w:t>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7.3 %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7.1 %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6.7 %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338"/>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13.2 %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8.3 %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13.2 %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203"/>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6.14 %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7.41 %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6.14 %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7.41 %</w:t>
            </w:r>
          </w:p>
        </w:tc>
      </w:tr>
      <w:tr>
        <w:trPr>
          <w:trHeight w:val="203"/>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3.78 %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4.57 %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3.78 %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-670560</wp:posOffset>
            </wp:positionV>
            <wp:extent cx="71323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-241935</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740" w:space="640"/>
            <w:col w:w="6860"/>
          </w:cols>
          <w:pgMar w:left="320" w:top="886" w:right="339" w:bottom="1440" w:gutter="0" w:footer="0" w:header="0"/>
          <w:type w:val="continuous"/>
        </w:sect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13"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5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nine months ended September 30, 2024 compared to the prior year period (in millions):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Periods ended September 30, 2024 vs. September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37"/>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7"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1"/>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1"/>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average investment portfolio (at cost), inclusive of TBAs, increased 10% and 5% for the three and nine months ended September 30, 2024, respectively, primarily due to an increase in our capital base. The average yield on our investment portfolio, including TBA implied asset yields and excluding "catch-up" premium amortization, increased 53 and 66 basis points for the three and nine months ended September 30, 2024, respectively, largely as a result of shifting our asset portfolio from TBA and lower coupon holdings toward a greater share of higher coupon, specified pools.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in this Form 10-Q for further discussion of TBA securities and dollar roll transactions). Repurchase agreements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9"/>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Investment Securities Repurchase Agreements and</w:t>
            </w:r>
          </w:p>
        </w:tc>
        <w:tc>
          <w:tcPr>
            <w:tcW w:w="140" w:type="dxa"/>
            <w:vAlign w:val="bottom"/>
          </w:tcPr>
          <w:p>
            <w:pPr>
              <w:spacing w:after="0"/>
              <w:rPr>
                <w:sz w:val="12"/>
                <w:szCs w:val="12"/>
                <w:color w:val="auto"/>
              </w:rPr>
            </w:pPr>
          </w:p>
        </w:tc>
        <w:tc>
          <w:tcPr>
            <w:tcW w:w="1700" w:type="dxa"/>
            <w:vAlign w:val="bottom"/>
            <w:gridSpan w:val="4"/>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Tangible Net Book</w:t>
            </w: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Other Debt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Long/(Short)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Average Tangible Net</w:t>
            </w:r>
          </w:p>
        </w:tc>
        <w:tc>
          <w:tcPr>
            <w:tcW w:w="13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Value "At Risk"</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Average Daily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Book Value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"At Risk" Leverage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0" w:type="dxa"/>
            <w:vAlign w:val="bottom"/>
          </w:tcPr>
          <w:p>
            <w:pPr>
              <w:spacing w:after="0"/>
              <w:rPr>
                <w:sz w:val="1"/>
                <w:szCs w:val="1"/>
                <w:color w:val="auto"/>
              </w:rPr>
            </w:pPr>
          </w:p>
        </w:tc>
      </w:tr>
      <w:tr>
        <w:trPr>
          <w:trHeight w:val="18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Daily Amount</w:t>
            </w:r>
          </w:p>
        </w:tc>
        <w:tc>
          <w:tcPr>
            <w:tcW w:w="14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6"/>
                <w:szCs w:val="16"/>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 xml:space="preserve">during the Period </w:t>
            </w:r>
            <w:r>
              <w:rPr>
                <w:rFonts w:ascii="Times New Roman" w:cs="Times New Roman" w:eastAsia="Times New Roman" w:hAnsi="Times New Roman"/>
                <w:sz w:val="16"/>
                <w:szCs w:val="16"/>
                <w:b w:val="1"/>
                <w:bCs w:val="1"/>
                <w:color w:val="auto"/>
                <w:w w:val="97"/>
                <w:vertAlign w:val="superscript"/>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 xml:space="preserve">Period End </w:t>
            </w:r>
            <w:r>
              <w:rPr>
                <w:rFonts w:ascii="Times New Roman" w:cs="Times New Roman" w:eastAsia="Times New Roman" w:hAnsi="Times New Roman"/>
                <w:sz w:val="16"/>
                <w:szCs w:val="16"/>
                <w:b w:val="1"/>
                <w:bCs w:val="1"/>
                <w:color w:val="auto"/>
                <w:w w:val="94"/>
                <w:vertAlign w:val="superscript"/>
              </w:rPr>
              <w:t>4</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64,585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50,784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55,507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6,805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5,318</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49,894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8,405</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7.0:1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52,643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4,993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5,288</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2,407</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7.5:1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2023</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42,408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10,320</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17,851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10,385</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7.7:1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69"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7" w:name="page38"/>
    <w:bookmarkEnd w:id="37"/>
    <w:p>
      <w:pPr>
        <w:jc w:val="both"/>
        <w:ind w:left="660" w:hanging="328"/>
        <w:spacing w:after="0" w:line="281" w:lineRule="auto"/>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the three and nine months ended September 30, 2024 and 2023 (dollars in millions), which includes the combination of interest expense on repurchase agreements and other debt used to fund acquisitions of investment securities (GAAP measure), implied financing cost of our TBA securities and interest rate swap periodic income: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9"/>
          <w:szCs w:val="9"/>
          <w:b w:val="1"/>
          <w:bCs w:val="1"/>
          <w:color w:val="auto"/>
        </w:rPr>
        <w:t>1</w:t>
      </w:r>
    </w:p>
    <w:p>
      <w:pPr>
        <w:spacing w:after="0" w:line="57"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Investment securities repurchase agreement and other debt - interest expense (GAAP measure)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9"/>
          <w:szCs w:val="9"/>
          <w:color w:val="auto"/>
        </w:rPr>
        <w:t>2,3</w:t>
      </w:r>
    </w:p>
    <w:p>
      <w:pPr>
        <w:spacing w:after="0" w:line="42" w:lineRule="exact"/>
        <w:rPr>
          <w:sz w:val="20"/>
          <w:szCs w:val="20"/>
          <w:color w:val="auto"/>
        </w:rPr>
      </w:pPr>
    </w:p>
    <w:p>
      <w:pPr>
        <w:ind w:left="180" w:right="180"/>
        <w:spacing w:after="0" w:line="230" w:lineRule="auto"/>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income, net </w:t>
      </w:r>
      <w:r>
        <w:rPr>
          <w:rFonts w:ascii="Times New Roman" w:cs="Times New Roman" w:eastAsia="Times New Roman" w:hAnsi="Times New Roman"/>
          <w:sz w:val="18"/>
          <w:szCs w:val="18"/>
          <w:color w:val="auto"/>
          <w:vertAlign w:val="superscript"/>
        </w:rPr>
        <w:t>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9"/>
          <w:szCs w:val="9"/>
          <w:color w:val="auto"/>
        </w:rPr>
        <w:t>2,5</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6"/>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6"/>
          </w:tcPr>
          <w:p>
            <w:pPr>
              <w:jc w:val="center"/>
              <w:ind w:right="360"/>
              <w:spacing w:after="0" w:line="15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center"/>
              <w:ind w:right="88"/>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center"/>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0" w:type="dxa"/>
            <w:vAlign w:val="bottom"/>
          </w:tcPr>
          <w:p>
            <w:pPr>
              <w:spacing w:after="0"/>
              <w:rPr>
                <w:sz w:val="1"/>
                <w:szCs w:val="1"/>
                <w:color w:val="auto"/>
              </w:rPr>
            </w:pPr>
          </w:p>
        </w:tc>
      </w:tr>
      <w:tr>
        <w:trPr>
          <w:trHeight w:val="313"/>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1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0" w:type="dxa"/>
            <w:vAlign w:val="bottom"/>
          </w:tcPr>
          <w:p>
            <w:pPr>
              <w:spacing w:after="0"/>
              <w:rPr>
                <w:sz w:val="1"/>
                <w:szCs w:val="1"/>
                <w:color w:val="auto"/>
              </w:rPr>
            </w:pPr>
          </w:p>
        </w:tc>
      </w:tr>
      <w:tr>
        <w:trPr>
          <w:trHeight w:val="23"/>
        </w:trPr>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3"/>
        </w:trPr>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0.95 %</w:t>
            </w:r>
          </w:p>
        </w:tc>
        <w:tc>
          <w:tcPr>
            <w:tcW w:w="0" w:type="dxa"/>
            <w:vAlign w:val="bottom"/>
          </w:tcPr>
          <w:p>
            <w:pPr>
              <w:spacing w:after="0"/>
              <w:rPr>
                <w:sz w:val="1"/>
                <w:szCs w:val="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-513715</wp:posOffset>
            </wp:positionV>
            <wp:extent cx="7132320" cy="213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1399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-170815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-864870</wp:posOffset>
            </wp:positionV>
            <wp:extent cx="71323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3940" w:space="380"/>
            <w:col w:w="6920"/>
          </w:cols>
          <w:pgMar w:left="320" w:top="886" w:right="339" w:bottom="1440" w:gutter="0" w:footer="0" w:header="0"/>
          <w:type w:val="continuous"/>
        </w:sectPr>
      </w:pPr>
    </w:p>
    <w:p>
      <w:pPr>
        <w:ind w:left="660" w:hanging="328"/>
        <w:spacing w:after="0" w:line="260"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4" w:lineRule="exact"/>
        <w:rPr>
          <w:rFonts w:ascii="Times New Roman" w:cs="Times New Roman" w:eastAsia="Times New Roman" w:hAnsi="Times New Roman"/>
          <w:sz w:val="14"/>
          <w:szCs w:val="14"/>
          <w:color w:val="auto"/>
        </w:rPr>
      </w:pPr>
    </w:p>
    <w:p>
      <w:pPr>
        <w:jc w:val="both"/>
        <w:ind w:left="660" w:hanging="328"/>
        <w:spacing w:after="0" w:line="260"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60" w:right="20" w:hanging="328"/>
        <w:spacing w:after="0" w:line="251"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income is measured as a percent of average mortgage borrowings outstanding for the period.</w:t>
      </w:r>
    </w:p>
    <w:p>
      <w:pPr>
        <w:spacing w:after="0" w:line="2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nine months ended September 30, 2024 compared to the prior year period (in millions):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37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Periods ended September 30, 2024 vs.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37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 periodic income/cost</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change in economic interest expense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Pr>
          <w:p>
            <w:pPr>
              <w:spacing w:after="0"/>
              <w:rPr>
                <w:sz w:val="11"/>
                <w:szCs w:val="11"/>
                <w:color w:val="auto"/>
              </w:rPr>
            </w:pPr>
          </w:p>
        </w:tc>
        <w:tc>
          <w:tcPr>
            <w:tcW w:w="1280" w:type="dxa"/>
            <w:vAlign w:val="bottom"/>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7"/>
        </w:trPr>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1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-299720</wp:posOffset>
            </wp:positionV>
            <wp:extent cx="70377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1289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-16510</wp:posOffset>
            </wp:positionV>
            <wp:extent cx="703770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-565150</wp:posOffset>
            </wp:positionV>
            <wp:extent cx="703770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6060" w:space="720"/>
            <w:col w:w="4460"/>
          </w:cols>
          <w:pgMar w:left="320" w:top="886" w:right="339" w:bottom="1440" w:gutter="0" w:footer="0" w:header="0"/>
          <w:type w:val="continuous"/>
        </w:sectPr>
      </w:pPr>
    </w:p>
    <w:p>
      <w:pPr>
        <w:ind w:left="892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151"/>
        </w:trPr>
        <w:tc>
          <w:tcPr>
            <w:tcW w:w="670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gridSpan w:val="2"/>
            <w:shd w:val="clear" w:color="auto" w:fill="CCEEFF"/>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gridSpan w:val="2"/>
            <w:shd w:val="clear" w:color="auto" w:fill="CCEEFF"/>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0" w:type="dxa"/>
            <w:vAlign w:val="bottom"/>
          </w:tcPr>
          <w:p>
            <w:pPr>
              <w:spacing w:after="0"/>
              <w:rPr>
                <w:sz w:val="1"/>
                <w:szCs w:val="1"/>
                <w:color w:val="auto"/>
              </w:rPr>
            </w:pPr>
          </w:p>
        </w:tc>
      </w:tr>
      <w:tr>
        <w:trPr>
          <w:trHeight w:val="200"/>
        </w:trPr>
        <w:tc>
          <w:tcPr>
            <w:tcW w:w="6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9"/>
        </w:trPr>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center"/>
              <w:ind w:left="808"/>
              <w:spacing w:after="0"/>
              <w:rPr>
                <w:sz w:val="20"/>
                <w:szCs w:val="20"/>
                <w:color w:val="auto"/>
              </w:rPr>
            </w:pPr>
            <w:r>
              <w:rPr>
                <w:rFonts w:ascii="Times New Roman" w:cs="Times New Roman" w:eastAsia="Times New Roman" w:hAnsi="Times New Roman"/>
                <w:sz w:val="14"/>
                <w:szCs w:val="14"/>
                <w:color w:val="auto"/>
                <w:w w:val="95"/>
              </w:rPr>
              <w:t>569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center"/>
              <w:ind w:left="82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8"/>
              </w:rPr>
              <w:t>(217)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808"/>
              <w:spacing w:after="0"/>
              <w:rPr>
                <w:sz w:val="20"/>
                <w:szCs w:val="20"/>
                <w:color w:val="auto"/>
              </w:rPr>
            </w:pPr>
            <w:r>
              <w:rPr>
                <w:rFonts w:ascii="Times New Roman" w:cs="Times New Roman" w:eastAsia="Times New Roman" w:hAnsi="Times New Roman"/>
                <w:sz w:val="14"/>
                <w:szCs w:val="14"/>
                <w:color w:val="auto"/>
                <w:w w:val="95"/>
              </w:rPr>
              <w:t>168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848"/>
              <w:spacing w:after="0"/>
              <w:rPr>
                <w:sz w:val="20"/>
                <w:szCs w:val="20"/>
                <w:color w:val="auto"/>
              </w:rPr>
            </w:pPr>
            <w:r>
              <w:rPr>
                <w:rFonts w:ascii="Times New Roman" w:cs="Times New Roman" w:eastAsia="Times New Roman" w:hAnsi="Times New Roman"/>
                <w:sz w:val="14"/>
                <w:szCs w:val="14"/>
                <w:color w:val="auto"/>
                <w:w w:val="95"/>
              </w:rPr>
              <w:t>117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w w:val="95"/>
              </w:rPr>
              <w:t>520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center"/>
              <w:ind w:left="828"/>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Our average mortgage borrowings, inclusive of TBAs, increased 14% and 7% for the three and nine months ended September 30, 2024, respectively, consistent with the increase in our investment portfolio. The average interest rate on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borrowings, excluding the impact interest rate swap periodic income, increased 4 and 46 basis points for the three and nine months ended September 30, 2024, respectively, due to higher short-term interest rates.</w:t>
      </w:r>
    </w:p>
    <w:p>
      <w:pPr>
        <w:spacing w:after="0" w:line="135" w:lineRule="exact"/>
        <w:rPr>
          <w:sz w:val="20"/>
          <w:szCs w:val="20"/>
          <w:color w:val="auto"/>
        </w:rPr>
      </w:pPr>
    </w:p>
    <w:p>
      <w:pPr>
        <w:jc w:val="both"/>
        <w:ind w:firstLine="445"/>
        <w:spacing w:after="0" w:line="260" w:lineRule="auto"/>
        <w:rPr>
          <w:sz w:val="20"/>
          <w:szCs w:val="20"/>
          <w:color w:val="auto"/>
        </w:rPr>
      </w:pPr>
      <w:r>
        <w:rPr>
          <w:rFonts w:ascii="Times New Roman" w:cs="Times New Roman" w:eastAsia="Times New Roman" w:hAnsi="Times New Roman"/>
          <w:sz w:val="18"/>
          <w:szCs w:val="18"/>
          <w:color w:val="auto"/>
        </w:rPr>
        <w:t>Interest rate swap periodic income declined for the three and nine months ended September 30, 2024 primarily due to higher pay rates on our pay-fixed swaps largely driven by the maturity of low cost interest swaps. The following is a summary of our average interest rate swaps outstanding and their average pay and receive rates for the three and nine months ended September 30, 2024 (dollars in millions). Amounts exclude forward starting swaps not yet in effect.</w:t>
      </w:r>
    </w:p>
    <w:tbl>
      <w:tblPr>
        <w:tblLayout w:type="fixed"/>
        <w:tblInd w:w="0" w:type="dxa"/>
        <w:tblCellMar>
          <w:top w:w="0" w:type="dxa"/>
          <w:left w:w="0" w:type="dxa"/>
          <w:bottom w:w="0" w:type="dxa"/>
          <w:right w:w="0" w:type="dxa"/>
        </w:tblCellMar>
      </w:tblPr>
      <w:tr>
        <w:trPr>
          <w:trHeight w:val="147"/>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2"/>
                <w:szCs w:val="12"/>
                <w:color w:val="auto"/>
              </w:rPr>
            </w:pPr>
          </w:p>
        </w:tc>
        <w:tc>
          <w:tcPr>
            <w:tcW w:w="2140" w:type="dxa"/>
            <w:vAlign w:val="bottom"/>
            <w:gridSpan w:val="4"/>
          </w:tcPr>
          <w:p>
            <w:pPr>
              <w:jc w:val="right"/>
              <w:ind w:right="508"/>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5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59,322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47,073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52,969</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42,841</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7,340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5,206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11,687</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61,972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54,413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58,175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54,528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44,781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46,808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44,650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48,153</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6"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0.64 %</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0.51 %</w:t>
            </w: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-427990</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-170815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1066" w:right="339" w:bottom="1440" w:gutter="0" w:footer="0" w:header="0"/>
          <w:type w:val="continuous"/>
        </w:sectPr>
      </w:pPr>
    </w:p>
    <w:p>
      <w:pPr>
        <w:spacing w:after="0" w:line="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we had an average forward starting net pay-fixed rate swap balance of $1 million and $474 million, respectively. For the three and nine months ended September 30, 2023, we had an average forward starting net pay and (receive) fixed rate swap balance of $(928) million and $(294) million, respectively. Forward starting interest rate swaps do not impact our economic interest expense and aggregate cost of funds until they commence accruing net interest settlements on their forward start 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75"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"catch-up" premium amortization) for the three and nine months ended September 30, 2024 and 2023:</w:t>
      </w:r>
    </w:p>
    <w:tbl>
      <w:tblPr>
        <w:tblLayout w:type="fixed"/>
        <w:tblInd w:w="0" w:type="dxa"/>
        <w:tblCellMar>
          <w:top w:w="0" w:type="dxa"/>
          <w:left w:w="0" w:type="dxa"/>
          <w:bottom w:w="0" w:type="dxa"/>
          <w:right w:w="0" w:type="dxa"/>
        </w:tblCellMar>
      </w:tblPr>
      <w:tr>
        <w:trPr>
          <w:trHeight w:val="147"/>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38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196"/>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(0.95)%</w:t>
            </w:r>
          </w:p>
        </w:tc>
      </w:tr>
      <w:tr>
        <w:trPr>
          <w:trHeight w:val="22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3.05 %</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the three and nine months ended September 30, 2024 and 2023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0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70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73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9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exclude realized and unrealized (gains) losses reported through net income: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(gain) loss on sale of investment securities,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95"/>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derivative instruments and other securities,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19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exclude unrealized (gain) loss reported through other comprehensive income: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 at fair value through other comprehensive income,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Estimated "catch-up" premium amortization cost (benefit) due to change in CPR forecast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3"/>
        </w:trPr>
        <w:tc>
          <w:tcPr>
            <w:tcW w:w="73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periodic income (cost), net </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203"/>
        </w:trPr>
        <w:tc>
          <w:tcPr>
            <w:tcW w:w="732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2,3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21"/>
        </w:trPr>
        <w:tc>
          <w:tcPr>
            <w:tcW w:w="7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Net spread and dollar roll income available to common stockholders (non-GAAP measure) </w:t>
            </w:r>
            <w:r>
              <w:rPr>
                <w:rFonts w:ascii="Times New Roman" w:cs="Times New Roman" w:eastAsia="Times New Roman" w:hAnsi="Times New Roman"/>
                <w:sz w:val="18"/>
                <w:szCs w:val="18"/>
                <w:color w:val="auto"/>
                <w:vertAlign w:val="superscript"/>
              </w:rPr>
              <w:t>4</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 w:lineRule="exact"/>
        <w:rPr>
          <w:rFonts w:ascii="Times New Roman" w:cs="Times New Roman" w:eastAsia="Times New Roman" w:hAnsi="Times New Roman"/>
          <w:sz w:val="14"/>
          <w:szCs w:val="14"/>
          <w:color w:val="auto"/>
        </w:rPr>
      </w:pPr>
    </w:p>
    <w:p>
      <w:pPr>
        <w:ind w:left="660" w:hanging="328"/>
        <w:spacing w:after="0" w:line="254"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ind w:left="660" w:right="20" w:hanging="328"/>
        <w:spacing w:after="0" w:line="278"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31, 2023, this measure was referred to as "net spread and dollar roll income, excluding 'catch-up' premium amortization cost/benefit, per common share." Though it continues to exclude "catch-up" premium amortization cost/benefit, its title has been condensed to its revised title in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the three and nine months ended September 30, 2024 and 2023 (in millions):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8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8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3"/>
        </w:trPr>
        <w:tc>
          <w:tcPr>
            <w:tcW w:w="71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of investment securities, net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203"/>
        </w:trPr>
        <w:tc>
          <w:tcPr>
            <w:tcW w:w="71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Unrealized gain (loss) on investment securities measured at fair value through net income, net </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19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0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gain (loss) on investment securities, net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and nine months ended September 30, 2024 and 2023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7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7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2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TBA securities, mark-to-market gain (loss)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periodic income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buy protection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Payer swaptions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futures contracts - short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 income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96"/>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gain (loss)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most recent Annual Report on Form 10-K and Item</w:t>
      </w:r>
    </w:p>
    <w:p>
      <w:pPr>
        <w:spacing w:after="0" w:line="5" w:lineRule="exact"/>
        <w:rPr>
          <w:sz w:val="20"/>
          <w:szCs w:val="20"/>
          <w:color w:val="auto"/>
        </w:rPr>
      </w:pPr>
    </w:p>
    <w:p>
      <w:pPr>
        <w:jc w:val="both"/>
        <w:ind w:firstLine="8"/>
        <w:spacing w:after="0" w:line="255"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of Market Risks </w:t>
      </w:r>
      <w:r>
        <w:rPr>
          <w:rFonts w:ascii="Times New Roman" w:cs="Times New Roman" w:eastAsia="Times New Roman" w:hAnsi="Times New Roman"/>
          <w:sz w:val="18"/>
          <w:szCs w:val="18"/>
          <w:color w:val="auto"/>
        </w:rPr>
        <w:t>in this Form 10-Q. In assessing our liquidity, we consider a number of factors,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and Financing Sources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7.2x and 7.0x as of September 30, 2024 and December 31, 2023, respectively. The following table includes a summary of our mortgage borrowings outstanding as of September 30, 2024 and December 31, 2023 (dollars in millions). For additional details of our mortgage borrowings refer to Notes 2, 4 and 5 to our Consolidated Financial Statements in this Form 10-Q.</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02"/>
        </w:trPr>
        <w:tc>
          <w:tcPr>
            <w:tcW w:w="5680" w:type="dxa"/>
            <w:vAlign w:val="bottom"/>
            <w:tcBorders>
              <w:top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63,399</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63,468</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2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3" w:lineRule="exact"/>
        <w:rPr>
          <w:sz w:val="20"/>
          <w:szCs w:val="20"/>
          <w:color w:val="auto"/>
        </w:rPr>
      </w:pPr>
    </w:p>
    <w:p>
      <w:pPr>
        <w:ind w:left="660" w:right="20" w:hanging="328"/>
        <w:spacing w:after="0" w:line="260" w:lineRule="auto"/>
        <w:tabs>
          <w:tab w:leader="none" w:pos="658" w:val="left"/>
        </w:tabs>
        <w:numPr>
          <w:ilvl w:val="0"/>
          <w:numId w:val="37"/>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$2.6 billion and $1.5 billion as of September 30, 2024 and December 31, 2023, respectively.</w:t>
      </w:r>
    </w:p>
    <w:p>
      <w:pPr>
        <w:ind w:left="660" w:hanging="328"/>
        <w:spacing w:after="0" w:line="283" w:lineRule="auto"/>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December 31, 2023, 47% and 43%, respectively, of our total repurchase agreements, including 49% and 45% or our investment securities repurchase agreements, respectively, were funded through the Fixed Income Clearing Corporation's GCF Repo service.</w:t>
      </w:r>
    </w:p>
    <w:p>
      <w:pPr>
        <w:spacing w:after="0" w:line="11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 and Unencumbered Assets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September 30, 2024, we had met all our margin requirements.</w:t>
      </w:r>
    </w:p>
    <w:p>
      <w:pPr>
        <w:spacing w:after="0" w:line="13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September 30, 2024, approximately 6% of our investment portfolio consisted of TBA securities, which are not subject to monthly principal pay-downs. The remainder of our portfolio primarily consisted of Agency RMBS, which had an average one-year CPR forecast of 14% as of September 30, 2024.</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Haircut levels and minimum margin requirements imposed by our counterparties reduce the amount of our unencumbered assets and limit the amount we can borrow against our investment securities. During the nine months ended September 30, 2024, haircuts on our repo funding arrangements remained stable. As of September 30, 2024, the weighted average haircut on our repurchase agreements was approximately 2.9% of the value of our collateral, compared to 3.1% as of December 31, 2023.</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mitigate the risk of margins calls, we seek to maintain excess liquidity by holding unencumbered liquid assets that can be used to satisfy collateral requirements, collateralize additional borrowings or sold for cash. As of September 30, 2024, our unencumbered assets totaled approximately $6.3 billion, or 69% of tangible equity, consisting of $6.2 billion of cash and unencumbered Agency RMBS and $0.1 billion of unencumbered credit assets. This compares to $5.2 billion of unencumbered assets, or 67% of tangible equity, as of December 31, 2023, consisting of $5.1 billion of cash and unencumbered Agency RMBS and $0.1 billion of unencumbered credit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2024,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5% of our tangible stockholders' equity. As of September 30, 2024, 7% of our tangible stockholder's equity was at risk with the FICC. Excluding central clearing exchanges, as of September 30, 2024, our amount at risk with any counterparty to our derivative agreements was less than 1% of our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8"/>
          <w:szCs w:val="18"/>
          <w:i w:val="1"/>
          <w:iCs w:val="1"/>
          <w:color w:val="auto"/>
        </w:rPr>
        <w:t>Trends and Recent Market Impacts</w:t>
      </w:r>
      <w:r>
        <w:rPr>
          <w:rFonts w:ascii="Times New Roman" w:cs="Times New Roman" w:eastAsia="Times New Roman" w:hAnsi="Times New Roman"/>
          <w:sz w:val="18"/>
          <w:szCs w:val="18"/>
          <w:color w:val="auto"/>
        </w:rPr>
        <w:t xml:space="preserve"> of this Management Discussion and Analysis for further information regarding Agency RMBS and TBA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of Directors, which as of the end of the third quarter had $1 billion in remaining capacity and was set to expire on December 31, 2024. Please refer to Notes 9 and 10 of our Consolidated Financial Statements in this Form 10-Q for further details regarding our recent equity capital transactions and additional information about amendments to our At-the-Market Offering Program and the reauthorization of our stock repurchase plan through December 31,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2024,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2024, we had not guaranteed obligations of unconsolidated entities or entered into a commitment or intent to provide funding to such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68" w:lineRule="exact"/>
        <w:rPr>
          <w:sz w:val="20"/>
          <w:szCs w:val="20"/>
          <w:color w:val="auto"/>
        </w:rPr>
      </w:pPr>
    </w:p>
    <w:p>
      <w:pPr>
        <w:ind w:left="660" w:hanging="247"/>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yield curve;</w:t>
      </w:r>
    </w:p>
    <w:p>
      <w:pPr>
        <w:spacing w:after="0" w:line="27" w:lineRule="exact"/>
        <w:rPr>
          <w:rFonts w:ascii="Times New Roman" w:cs="Times New Roman" w:eastAsia="Times New Roman" w:hAnsi="Times New Roman"/>
          <w:sz w:val="18"/>
          <w:szCs w:val="18"/>
          <w:color w:val="auto"/>
        </w:rPr>
      </w:pPr>
    </w:p>
    <w:p>
      <w:pPr>
        <w:ind w:left="660" w:hanging="247"/>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degree and extent of volatility in interest rates or the yield on our assets relative to interest rate benchmarks;</w:t>
      </w:r>
    </w:p>
    <w:p>
      <w:pPr>
        <w:spacing w:after="0" w:line="36" w:lineRule="exact"/>
        <w:rPr>
          <w:rFonts w:ascii="Arial" w:cs="Arial" w:eastAsia="Arial" w:hAnsi="Arial"/>
          <w:sz w:val="22"/>
          <w:szCs w:val="22"/>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mortgage prepayment rates on the loans underlying our Agency RMBS;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financing and our hedge positions;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ind w:left="660" w:hanging="247"/>
        <w:spacing w:after="0" w:line="28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from changes in net interest spreads, market liquidity or depth, and changes in our "at risk" leverage or hedge positions;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mitigation strategies;</w:t>
      </w:r>
    </w:p>
    <w:p>
      <w:pPr>
        <w:spacing w:after="0" w:line="15" w:lineRule="exact"/>
        <w:rPr>
          <w:rFonts w:ascii="Times New Roman" w:cs="Times New Roman" w:eastAsia="Times New Roman" w:hAnsi="Times New Roman"/>
          <w:sz w:val="18"/>
          <w:szCs w:val="18"/>
          <w:color w:val="auto"/>
        </w:rPr>
      </w:pPr>
    </w:p>
    <w:p>
      <w:pPr>
        <w:ind w:left="660" w:right="100" w:hanging="247"/>
        <w:spacing w:after="0" w:line="24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RMBS and other mortgage securities, including changes in the available supply of such securities or investor appetite therefor;</w:t>
      </w:r>
    </w:p>
    <w:p>
      <w:pPr>
        <w:spacing w:after="0" w:line="3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federal, state, or local governments that affect the economy, the housing sector or financial markets;</w:t>
      </w:r>
    </w:p>
    <w:p>
      <w:pPr>
        <w:spacing w:after="0" w:line="63" w:lineRule="exact"/>
        <w:rPr>
          <w:rFonts w:ascii="Times New Roman" w:cs="Times New Roman" w:eastAsia="Times New Roman" w:hAnsi="Times New Roman"/>
          <w:sz w:val="18"/>
          <w:szCs w:val="18"/>
          <w:color w:val="auto"/>
        </w:rPr>
      </w:pPr>
    </w:p>
    <w:p>
      <w:pPr>
        <w:jc w:val="both"/>
        <w:ind w:left="660" w:hanging="247"/>
        <w:spacing w:after="0" w:line="25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personnel, operational resources, information technology and other systems to conduct our operations;</w:t>
      </w:r>
    </w:p>
    <w:p>
      <w:pPr>
        <w:spacing w:after="0" w:line="4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regulations, rules or policies that affect U.S. housing finance activity, the GSE's or the markets for Agency RMBS; and</w:t>
      </w:r>
    </w:p>
    <w:p>
      <w:pPr>
        <w:spacing w:after="0" w:line="63"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that affect our status as a REIT, our exemption from the Investment Company Act of 1940 or the mortgage markets in which we participate.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our most recent Annual Report on Form 10-K and Part II of this Form 10-Q. We caution readers not to place undue reliance on our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0.2 years as of September 30, 2024, compared to -0.5 years as of December 31, 2023.</w:t>
      </w:r>
    </w:p>
    <w:p>
      <w:pPr>
        <w:spacing w:after="0" w:line="1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September 30, 2024 and December 31, 2023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September 30, 2024 and December 31, 2023.</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78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37"/>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0"/>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0" w:hanging="328"/>
        <w:spacing w:after="0" w:line="259" w:lineRule="auto"/>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60" w:hanging="328"/>
        <w:spacing w:after="0"/>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 and Extension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mortgages at a slower pace than originally anticipated, adversely impacting our net interest spread, and thus our net interest income.</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our investment securities (excluding TBAs) had a weighted average projected CPR of 13.2% and 11.4%, respectively, and a weighted average yield of 4.68% and 4.41%,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10"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8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Asset Yield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4.54%</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5"/>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and assumes a static portfolio. Actual results could differ materially from these estimates. Table excludes TBA securities.</w:t>
      </w:r>
    </w:p>
    <w:p>
      <w:pPr>
        <w:ind w:left="660" w:hanging="328"/>
        <w:spacing w:after="0"/>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2024 and December 31, 2023 should spreads widen or tighten by 10, 25 and 50 basis points. The estimated impact of changes in spreads is in addition to our interest rate shock sensitivity included in the interest rate shock table above. The table below assumes a spread duration of 4.6 and 4.7 years as of September 30, 2024 and December 31, 2023,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3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72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+22.4%</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+23.1%</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+11.2%</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60" w:hanging="328"/>
        <w:spacing w:after="0"/>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12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2024, we believe that we have sufficient liquidity and capital resources available to execute our business strategy (see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Capital Resources </w:t>
      </w:r>
      <w:r>
        <w:rPr>
          <w:rFonts w:ascii="Times New Roman" w:cs="Times New Roman" w:eastAsia="Times New Roman" w:hAnsi="Times New Roman"/>
          <w:sz w:val="18"/>
          <w:szCs w:val="18"/>
          <w:color w:val="auto"/>
        </w:rPr>
        <w:t>in this Form 10-Q for additional details). However, should the value of our collateral or the value of our derivative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September 30, 2024, our maximum amount at risk with any counterparty related to our repurchase agreements and derivative agreements was less than 2% and less than 1%, respectively, of tangible stockholders' equity.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September 30, 2024.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(as defined in Rule 16a-1(f) under the Exchange Act) informed us of the adoption or termination of a “Rule 10b5-1 trading arrangement” or “non-Rule 10b5-1 trading arrangement” (as each term is defined in Regulation S-K, Item 408), except as follows: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27, 2024, Peter Federico, our President and Chief Executive Officer and director, adopted a Rule 10b5-1 trading arrangement intended to satisfy the affirmative defense of Rule 10b5-1(c) providing for the sale of up to 145,000 shares of our common stock. The trading arrangement will expire on August 20, 2025 or earlier if all transactions under the trading arrangement are completed.</w:t>
      </w:r>
    </w:p>
    <w:p>
      <w:pPr>
        <w:spacing w:after="0" w:line="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 Index</w:t>
      </w:r>
    </w:p>
    <w:p>
      <w:pPr>
        <w:spacing w:after="0" w:line="16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83" w:lineRule="exact"/>
        <w:rPr>
          <w:sz w:val="20"/>
          <w:szCs w:val="20"/>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83">
        <w:r>
          <w:rPr>
            <w:rFonts w:ascii="Times New Roman" w:cs="Times New Roman" w:eastAsia="Times New Roman" w:hAnsi="Times New Roman"/>
            <w:sz w:val="18"/>
            <w:szCs w:val="18"/>
            <w:color w:val="auto"/>
          </w:rPr>
          <w:t>AGNC Investment Corp. Amended and Restated Certificate of Incorporation, as amended, incorporated by reference from Exhibit 3.1 of Form 10-K</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for the year ended December 31, 2021 (File No. 001-34057), filed February 23,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85">
        <w:r>
          <w:rPr>
            <w:rFonts w:ascii="Times New Roman" w:cs="Times New Roman" w:eastAsia="Times New Roman" w:hAnsi="Times New Roman"/>
            <w:sz w:val="18"/>
            <w:szCs w:val="18"/>
            <w:color w:val="auto"/>
          </w:rPr>
          <w:t>AGNC Investment Corp. Amended and Restated Bylaws, as amended, incorporated herein by reference to Exhibit 3.1 of Form 8-K (File No. 001-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34057), filed July 21, 2023.</w:t>
        </w:r>
      </w:hyperlink>
    </w:p>
    <w:p>
      <w:pPr>
        <w:spacing w:after="0" w:line="153" w:lineRule="exact"/>
        <w:rPr>
          <w:sz w:val="20"/>
          <w:szCs w:val="20"/>
          <w:color w:val="auto"/>
        </w:rPr>
      </w:pPr>
    </w:p>
    <w:p>
      <w:pPr>
        <w:jc w:val="both"/>
        <w:ind w:left="520" w:hanging="1295"/>
        <w:spacing w:after="0" w:line="282" w:lineRule="auto"/>
        <w:tabs>
          <w:tab w:leader="none" w:pos="500" w:val="left"/>
        </w:tabs>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86">
        <w:r>
          <w:rPr>
            <w:rFonts w:ascii="Times New Roman" w:cs="Times New Roman" w:eastAsia="Times New Roman" w:hAnsi="Times New Roman"/>
            <w:sz w:val="18"/>
            <w:szCs w:val="18"/>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auto"/>
          </w:rPr>
          <w:t>Exhibit 3.5 of Form 8-A (File No. 001-34057), filed August 18,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87">
        <w:r>
          <w:rPr>
            <w:rFonts w:ascii="Times New Roman" w:cs="Times New Roman" w:eastAsia="Times New Roman" w:hAnsi="Times New Roman"/>
            <w:sz w:val="18"/>
            <w:szCs w:val="18"/>
            <w:color w:val="auto"/>
          </w:rPr>
          <w:t>Certificate of Elimination of 8.000% Series A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auto"/>
          </w:rPr>
          <w:t>(File No 001-34057), filed October 26,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88">
        <w:r>
          <w:rPr>
            <w:rFonts w:ascii="Times New Roman" w:cs="Times New Roman" w:eastAsia="Times New Roman" w:hAnsi="Times New Roman"/>
            <w:sz w:val="18"/>
            <w:szCs w:val="18"/>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auto"/>
          </w:rPr>
          <w:t>Exhibit 3.5 of Form 8-A (File No 001-34057), filed March 6,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*3.6</w:t>
        </w:r>
      </w:hyperlink>
      <w:r>
        <w:rPr>
          <w:rFonts w:ascii="Times New Roman" w:cs="Times New Roman" w:eastAsia="Times New Roman" w:hAnsi="Times New Roman"/>
          <w:sz w:val="18"/>
          <w:szCs w:val="18"/>
          <w:color w:val="auto"/>
        </w:rPr>
        <w:tab/>
      </w:r>
      <w:hyperlink r:id="rId89">
        <w:r>
          <w:rPr>
            <w:rFonts w:ascii="Times New Roman" w:cs="Times New Roman" w:eastAsia="Times New Roman" w:hAnsi="Times New Roman"/>
            <w:sz w:val="18"/>
            <w:szCs w:val="18"/>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auto"/>
          </w:rPr>
          <w:t>Exhibit 3.6 of Form 8-A (File No 001-34057), filed October 3, 2019.</w:t>
        </w:r>
      </w:hyperlink>
    </w:p>
    <w:p>
      <w:pPr>
        <w:spacing w:after="0" w:line="108" w:lineRule="exact"/>
        <w:rPr>
          <w:rFonts w:ascii="Times New Roman" w:cs="Times New Roman" w:eastAsia="Times New Roman" w:hAnsi="Times New Roman"/>
          <w:sz w:val="18"/>
          <w:szCs w:val="18"/>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*3.7</w:t>
        </w:r>
      </w:hyperlink>
      <w:r>
        <w:rPr>
          <w:rFonts w:ascii="Times New Roman" w:cs="Times New Roman" w:eastAsia="Times New Roman" w:hAnsi="Times New Roman"/>
          <w:sz w:val="18"/>
          <w:szCs w:val="18"/>
          <w:color w:val="auto"/>
        </w:rPr>
        <w:tab/>
      </w:r>
      <w:hyperlink r:id="rId90">
        <w:r>
          <w:rPr>
            <w:rFonts w:ascii="Times New Roman" w:cs="Times New Roman" w:eastAsia="Times New Roman" w:hAnsi="Times New Roman"/>
            <w:sz w:val="18"/>
            <w:szCs w:val="18"/>
            <w:color w:val="auto"/>
          </w:rPr>
          <w:t>Certificate of Elimination of 7.750% Series B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(File No 001-34057), filed December 13, 2019.</w:t>
        </w:r>
      </w:hyperlink>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*3.8</w:t>
        </w:r>
      </w:hyperlink>
      <w:r>
        <w:rPr>
          <w:rFonts w:ascii="Times New Roman" w:cs="Times New Roman" w:eastAsia="Times New Roman" w:hAnsi="Times New Roman"/>
          <w:sz w:val="18"/>
          <w:szCs w:val="18"/>
          <w:color w:val="auto"/>
        </w:rPr>
        <w:tab/>
      </w:r>
      <w:hyperlink r:id="rId92">
        <w:r>
          <w:rPr>
            <w:rFonts w:ascii="Times New Roman" w:cs="Times New Roman" w:eastAsia="Times New Roman" w:hAnsi="Times New Roman"/>
            <w:sz w:val="18"/>
            <w:szCs w:val="18"/>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Exhibit 3.6 of Form 8-A (File No 001-34057), filed February 11, 2020.</w:t>
        </w:r>
      </w:hyperlink>
    </w:p>
    <w:p>
      <w:pPr>
        <w:spacing w:after="0" w:line="108" w:lineRule="exact"/>
        <w:rPr>
          <w:rFonts w:ascii="Times New Roman" w:cs="Times New Roman" w:eastAsia="Times New Roman" w:hAnsi="Times New Roman"/>
          <w:sz w:val="18"/>
          <w:szCs w:val="18"/>
          <w:color w:val="auto"/>
        </w:rPr>
      </w:pPr>
    </w:p>
    <w:p>
      <w:pPr>
        <w:jc w:val="both"/>
        <w:ind w:left="600" w:hanging="1295"/>
        <w:spacing w:after="0" w:line="282" w:lineRule="auto"/>
        <w:tabs>
          <w:tab w:leader="none" w:pos="58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*3.9</w:t>
        </w:r>
      </w:hyperlink>
      <w:r>
        <w:rPr>
          <w:rFonts w:ascii="Times New Roman" w:cs="Times New Roman" w:eastAsia="Times New Roman" w:hAnsi="Times New Roman"/>
          <w:sz w:val="18"/>
          <w:szCs w:val="18"/>
          <w:color w:val="auto"/>
        </w:rPr>
        <w:tab/>
      </w:r>
      <w:hyperlink r:id="rId93">
        <w:r>
          <w:rPr>
            <w:rFonts w:ascii="Times New Roman" w:cs="Times New Roman" w:eastAsia="Times New Roman" w:hAnsi="Times New Roman"/>
            <w:sz w:val="18"/>
            <w:szCs w:val="18"/>
            <w:color w:val="auto"/>
          </w:rPr>
          <w:t>Certificate of Designations of 7.75% Series G Fixed-Rate Reset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Exhibit 3.7 of Form 8-A (File No 001-34057), filed September 14, 2022.</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75" w:lineRule="auto"/>
        <w:tabs>
          <w:tab w:leader="none" w:pos="560" w:val="left"/>
        </w:tabs>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*4.1</w:t>
        </w:r>
      </w:hyperlink>
      <w:r>
        <w:rPr>
          <w:rFonts w:ascii="Times New Roman" w:cs="Times New Roman" w:eastAsia="Times New Roman" w:hAnsi="Times New Roman"/>
          <w:sz w:val="18"/>
          <w:szCs w:val="18"/>
          <w:color w:val="auto"/>
        </w:rPr>
        <w:tab/>
      </w:r>
      <w:hyperlink r:id="rId83">
        <w:r>
          <w:rPr>
            <w:rFonts w:ascii="Times New Roman" w:cs="Times New Roman" w:eastAsia="Times New Roman" w:hAnsi="Times New Roman"/>
            <w:sz w:val="18"/>
            <w:szCs w:val="18"/>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incorporated herein by reference to Exhibit 3.1 of Form 10-K for the year ended December 31, 2021 (File No. 001-34057), filed February</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23, 2022.</w:t>
        </w:r>
      </w:hyperlink>
    </w:p>
    <w:p>
      <w:pPr>
        <w:spacing w:after="0" w:line="336" w:lineRule="exact"/>
        <w:rPr>
          <w:rFonts w:ascii="Times New Roman" w:cs="Times New Roman" w:eastAsia="Times New Roman" w:hAnsi="Times New Roman"/>
          <w:sz w:val="18"/>
          <w:szCs w:val="18"/>
          <w:color w:val="auto"/>
        </w:rPr>
      </w:pPr>
    </w:p>
    <w:p>
      <w:pPr>
        <w:jc w:val="both"/>
        <w:ind w:left="540" w:hanging="1295"/>
        <w:spacing w:after="0" w:line="282" w:lineRule="auto"/>
        <w:tabs>
          <w:tab w:leader="none" w:pos="520" w:val="left"/>
        </w:tabs>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85">
        <w:r>
          <w:rPr>
            <w:rFonts w:ascii="Times New Roman" w:cs="Times New Roman" w:eastAsia="Times New Roman" w:hAnsi="Times New Roman"/>
            <w:sz w:val="18"/>
            <w:szCs w:val="18"/>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auto"/>
          </w:rPr>
          <w:t>reference to Exhibit 3.1 of Form 8-K, filed July 21, 2023.</w:t>
        </w:r>
      </w:hyperlink>
    </w:p>
    <w:p>
      <w:pPr>
        <w:spacing w:after="0" w:line="108" w:lineRule="exact"/>
        <w:rPr>
          <w:rFonts w:ascii="Times New Roman" w:cs="Times New Roman" w:eastAsia="Times New Roman" w:hAnsi="Times New Roman"/>
          <w:sz w:val="18"/>
          <w:szCs w:val="18"/>
          <w:color w:val="auto"/>
        </w:rPr>
      </w:pPr>
    </w:p>
    <w:p>
      <w:pPr>
        <w:jc w:val="both"/>
        <w:ind w:left="560" w:hanging="1295"/>
        <w:spacing w:after="0" w:line="282" w:lineRule="auto"/>
        <w:tabs>
          <w:tab w:leader="none" w:pos="54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*4.3</w:t>
        </w:r>
      </w:hyperlink>
      <w:r>
        <w:rPr>
          <w:rFonts w:ascii="Times New Roman" w:cs="Times New Roman" w:eastAsia="Times New Roman" w:hAnsi="Times New Roman"/>
          <w:sz w:val="18"/>
          <w:szCs w:val="18"/>
          <w:color w:val="auto"/>
        </w:rPr>
        <w:tab/>
      </w:r>
      <w:hyperlink r:id="rId94">
        <w:r>
          <w:rPr>
            <w:rFonts w:ascii="Times New Roman" w:cs="Times New Roman" w:eastAsia="Times New Roman" w:hAnsi="Times New Roman"/>
            <w:sz w:val="18"/>
            <w:szCs w:val="18"/>
            <w:color w:val="auto"/>
          </w:rPr>
          <w:t>Form of Certificate for Common Stock, incorporated herein by reference to Exhibit 4.3 of Form 10-Q for the quarter ended September 30, 2022</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(File No. 001-34057), filed November 7,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Specimen 7.00% Series C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4.1 of Form 8-A (File No. 001-34057), filed August 18, 2017.</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*4.5</w:t>
        </w:r>
      </w:hyperlink>
      <w:r>
        <w:rPr>
          <w:rFonts w:ascii="Times New Roman" w:cs="Times New Roman" w:eastAsia="Times New Roman" w:hAnsi="Times New Roman"/>
          <w:sz w:val="18"/>
          <w:szCs w:val="18"/>
          <w:color w:val="auto"/>
        </w:rPr>
        <w:tab/>
      </w:r>
      <w:hyperlink r:id="rId96">
        <w:r>
          <w:rPr>
            <w:rFonts w:ascii="Times New Roman" w:cs="Times New Roman" w:eastAsia="Times New Roman" w:hAnsi="Times New Roman"/>
            <w:sz w:val="18"/>
            <w:szCs w:val="18"/>
            <w:color w:val="auto"/>
          </w:rPr>
          <w:t>Specimen 6.875% Series D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4.1 of Form 8-A (File No. 001-34057), filed March 6, 2019.</w:t>
        </w:r>
      </w:hyperlink>
    </w:p>
    <w:p>
      <w:pPr>
        <w:spacing w:after="0" w:line="153" w:lineRule="exact"/>
        <w:rPr>
          <w:sz w:val="20"/>
          <w:szCs w:val="20"/>
          <w:color w:val="auto"/>
        </w:rPr>
      </w:pPr>
    </w:p>
    <w:p>
      <w:pPr>
        <w:spacing w:after="0"/>
        <w:tabs>
          <w:tab w:leader="none" w:pos="520" w:val="left"/>
        </w:tabs>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*4.6</w:t>
        </w:r>
      </w:hyperlink>
      <w:r>
        <w:rPr>
          <w:rFonts w:ascii="Times New Roman" w:cs="Times New Roman" w:eastAsia="Times New Roman" w:hAnsi="Times New Roman"/>
          <w:sz w:val="18"/>
          <w:szCs w:val="18"/>
          <w:color w:val="auto"/>
        </w:rPr>
        <w:tab/>
      </w:r>
      <w:hyperlink r:id="rId97">
        <w:r>
          <w:rPr>
            <w:rFonts w:ascii="Times New Roman" w:cs="Times New Roman" w:eastAsia="Times New Roman" w:hAnsi="Times New Roman"/>
            <w:sz w:val="18"/>
            <w:szCs w:val="18"/>
            <w:color w:val="auto"/>
          </w:rPr>
          <w:t>Specimen 6.50% Series E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4.1 of Form 8-A (File No. 001-34057), filed October 3, 2019.</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*4.7</w:t>
        </w:r>
      </w:hyperlink>
      <w:r>
        <w:rPr>
          <w:rFonts w:ascii="Times New Roman" w:cs="Times New Roman" w:eastAsia="Times New Roman" w:hAnsi="Times New Roman"/>
          <w:sz w:val="18"/>
          <w:szCs w:val="18"/>
          <w:color w:val="auto"/>
        </w:rPr>
        <w:tab/>
      </w:r>
      <w:hyperlink r:id="rId98">
        <w:r>
          <w:rPr>
            <w:rFonts w:ascii="Times New Roman" w:cs="Times New Roman" w:eastAsia="Times New Roman" w:hAnsi="Times New Roman"/>
            <w:sz w:val="18"/>
            <w:szCs w:val="18"/>
            <w:color w:val="auto"/>
          </w:rPr>
          <w:t>Specimen 6.125% Series F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4.1 of Form 8-A (File No 001-34057), filed February 11, 2020.</w:t>
        </w:r>
      </w:hyperlink>
    </w:p>
    <w:p>
      <w:pPr>
        <w:spacing w:after="0" w:line="153" w:lineRule="exact"/>
        <w:rPr>
          <w:sz w:val="20"/>
          <w:szCs w:val="20"/>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*4.8</w:t>
        </w:r>
      </w:hyperlink>
      <w:r>
        <w:rPr>
          <w:rFonts w:ascii="Times New Roman" w:cs="Times New Roman" w:eastAsia="Times New Roman" w:hAnsi="Times New Roman"/>
          <w:sz w:val="18"/>
          <w:szCs w:val="18"/>
          <w:color w:val="auto"/>
        </w:rPr>
        <w:tab/>
      </w:r>
      <w:hyperlink r:id="rId99">
        <w:r>
          <w:rPr>
            <w:rFonts w:ascii="Times New Roman" w:cs="Times New Roman" w:eastAsia="Times New Roman" w:hAnsi="Times New Roman"/>
            <w:sz w:val="18"/>
            <w:szCs w:val="18"/>
            <w:color w:val="auto"/>
          </w:rPr>
          <w:t>Specimen 7.75% Series G Fixed-Rate Reset Cumulative Redeemable Preferred Stock Certificate, incorporated herein by reference to Exhibit 4.1 of</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auto"/>
          </w:rPr>
          <w:t>Form 8-A (File No 001-34057), filed September 14, 2022.</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66" w:lineRule="auto"/>
        <w:tabs>
          <w:tab w:leader="none" w:pos="560" w:val="left"/>
        </w:tabs>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*4.9</w:t>
        </w:r>
      </w:hyperlink>
      <w:r>
        <w:rPr>
          <w:rFonts w:ascii="Times New Roman" w:cs="Times New Roman" w:eastAsia="Times New Roman" w:hAnsi="Times New Roman"/>
          <w:sz w:val="18"/>
          <w:szCs w:val="18"/>
          <w:color w:val="auto"/>
        </w:rPr>
        <w:tab/>
      </w:r>
      <w:hyperlink r:id="rId100">
        <w:r>
          <w:rPr>
            <w:rFonts w:ascii="Times New Roman" w:cs="Times New Roman" w:eastAsia="Times New Roman" w:hAnsi="Times New Roman"/>
            <w:sz w:val="18"/>
            <w:szCs w:val="18"/>
            <w:color w:val="auto"/>
          </w:rPr>
          <w:t>Deposit Agreement relating to 7.00% Series C Fixed-to-Floating Rate Cumulative Redeemable Preferred Stock, dated August 22, 2017, among</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auto"/>
          </w:rPr>
          <w:t>reference to Exhibit 4.2 of Form 8-K (File No. 001-34057) filed August 22, 2017.</w:t>
        </w:r>
      </w:hyperlink>
    </w:p>
    <w:p>
      <w:pPr>
        <w:spacing w:after="0" w:line="122" w:lineRule="exact"/>
        <w:rPr>
          <w:rFonts w:ascii="Times New Roman" w:cs="Times New Roman" w:eastAsia="Times New Roman" w:hAnsi="Times New Roman"/>
          <w:sz w:val="18"/>
          <w:szCs w:val="18"/>
          <w:color w:val="auto"/>
        </w:rPr>
      </w:pPr>
    </w:p>
    <w:p>
      <w:pPr>
        <w:jc w:val="both"/>
        <w:ind w:left="620" w:hanging="1295"/>
        <w:spacing w:after="0" w:line="266" w:lineRule="auto"/>
        <w:tabs>
          <w:tab w:leader="none" w:pos="600" w:val="left"/>
        </w:tabs>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*4.10</w:t>
        </w:r>
      </w:hyperlink>
      <w:r>
        <w:rPr>
          <w:rFonts w:ascii="Times New Roman" w:cs="Times New Roman" w:eastAsia="Times New Roman" w:hAnsi="Times New Roman"/>
          <w:sz w:val="18"/>
          <w:szCs w:val="18"/>
          <w:color w:val="auto"/>
        </w:rPr>
        <w:tab/>
      </w:r>
      <w:hyperlink r:id="rId100">
        <w:r>
          <w:rPr>
            <w:rFonts w:ascii="Times New Roman" w:cs="Times New Roman" w:eastAsia="Times New Roman" w:hAnsi="Times New Roman"/>
            <w:sz w:val="18"/>
            <w:szCs w:val="18"/>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auto"/>
          </w:rPr>
          <w:t>(included as part of Exhibit 4.9),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auto"/>
          </w:rPr>
          <w:t>August 22, 2017.</w:t>
        </w:r>
      </w:hyperlink>
    </w:p>
    <w:p>
      <w:pPr>
        <w:spacing w:after="0" w:line="122" w:lineRule="exact"/>
        <w:rPr>
          <w:rFonts w:ascii="Times New Roman" w:cs="Times New Roman" w:eastAsia="Times New Roman" w:hAnsi="Times New Roman"/>
          <w:sz w:val="18"/>
          <w:szCs w:val="18"/>
          <w:color w:val="auto"/>
        </w:rPr>
      </w:pPr>
    </w:p>
    <w:p>
      <w:pPr>
        <w:jc w:val="both"/>
        <w:ind w:left="660" w:hanging="1295"/>
        <w:spacing w:after="0" w:line="266" w:lineRule="auto"/>
        <w:tabs>
          <w:tab w:leader="none" w:pos="640" w:val="left"/>
        </w:tabs>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*4.11</w:t>
        </w:r>
      </w:hyperlink>
      <w:r>
        <w:rPr>
          <w:rFonts w:ascii="Times New Roman" w:cs="Times New Roman" w:eastAsia="Times New Roman" w:hAnsi="Times New Roman"/>
          <w:sz w:val="18"/>
          <w:szCs w:val="18"/>
          <w:color w:val="auto"/>
        </w:rPr>
        <w:tab/>
      </w:r>
      <w:hyperlink r:id="rId101">
        <w:r>
          <w:rPr>
            <w:rFonts w:ascii="Times New Roman" w:cs="Times New Roman" w:eastAsia="Times New Roman" w:hAnsi="Times New Roman"/>
            <w:sz w:val="18"/>
            <w:szCs w:val="18"/>
            <w:color w:val="auto"/>
          </w:rPr>
          <w:t>Deposit Agreement relating to 6.875% Series D Fixed-to-Floating Rate Cumulative Redeemable Preferred Stock, dated March 6, 2019, among</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auto"/>
          </w:rPr>
          <w:t>reference to Exhibit 4.2 of Form 8-K (File No. 001-34057) filed March 6, 2019.</w:t>
        </w:r>
      </w:hyperlink>
    </w:p>
    <w:p>
      <w:pPr>
        <w:spacing w:after="0" w:line="122" w:lineRule="exact"/>
        <w:rPr>
          <w:rFonts w:ascii="Times New Roman" w:cs="Times New Roman" w:eastAsia="Times New Roman" w:hAnsi="Times New Roman"/>
          <w:sz w:val="18"/>
          <w:szCs w:val="18"/>
          <w:color w:val="auto"/>
        </w:rPr>
      </w:pPr>
    </w:p>
    <w:p>
      <w:pPr>
        <w:jc w:val="both"/>
        <w:ind w:left="600" w:hanging="1295"/>
        <w:spacing w:after="0" w:line="266" w:lineRule="auto"/>
        <w:tabs>
          <w:tab w:leader="none" w:pos="580" w:val="left"/>
        </w:tabs>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*4.12</w:t>
        </w:r>
      </w:hyperlink>
      <w:r>
        <w:rPr>
          <w:rFonts w:ascii="Times New Roman" w:cs="Times New Roman" w:eastAsia="Times New Roman" w:hAnsi="Times New Roman"/>
          <w:sz w:val="18"/>
          <w:szCs w:val="18"/>
          <w:color w:val="auto"/>
        </w:rPr>
        <w:tab/>
      </w:r>
      <w:hyperlink r:id="rId101">
        <w:r>
          <w:rPr>
            <w:rFonts w:ascii="Times New Roman" w:cs="Times New Roman" w:eastAsia="Times New Roman" w:hAnsi="Times New Roman"/>
            <w:sz w:val="18"/>
            <w:szCs w:val="18"/>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auto"/>
          </w:rPr>
          <w:t>(included as part of Exhibit 4.11),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auto"/>
          </w:rPr>
          <w:t>March 6, 2019.</w:t>
        </w:r>
      </w:hyperlink>
    </w:p>
    <w:p>
      <w:pPr>
        <w:spacing w:after="0" w:line="122" w:lineRule="exact"/>
        <w:rPr>
          <w:rFonts w:ascii="Times New Roman" w:cs="Times New Roman" w:eastAsia="Times New Roman" w:hAnsi="Times New Roman"/>
          <w:sz w:val="18"/>
          <w:szCs w:val="18"/>
          <w:color w:val="auto"/>
        </w:rPr>
      </w:pPr>
    </w:p>
    <w:p>
      <w:pPr>
        <w:jc w:val="both"/>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*4.13</w:t>
        </w:r>
      </w:hyperlink>
      <w:r>
        <w:rPr>
          <w:rFonts w:ascii="Times New Roman" w:cs="Times New Roman" w:eastAsia="Times New Roman" w:hAnsi="Times New Roman"/>
          <w:sz w:val="18"/>
          <w:szCs w:val="18"/>
          <w:color w:val="auto"/>
        </w:rPr>
        <w:tab/>
      </w:r>
      <w:hyperlink r:id="rId102">
        <w:r>
          <w:rPr>
            <w:rFonts w:ascii="Times New Roman" w:cs="Times New Roman" w:eastAsia="Times New Roman" w:hAnsi="Times New Roman"/>
            <w:sz w:val="18"/>
            <w:szCs w:val="18"/>
            <w:color w:val="auto"/>
          </w:rPr>
          <w:t>Deposit Agreement relating to 6.50% Series E Fixed-to-Floating Rate Cumulative Redeemable Preferred Stock, dated October 3, 2019, among</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auto"/>
          </w:rPr>
          <w:t>reference to Exhibit 4.2 of Form 8-K (File No. 001-34057) filed October 3, 2019.</w:t>
        </w:r>
      </w:hyperlink>
    </w:p>
    <w:p>
      <w:pPr>
        <w:spacing w:after="0" w:line="122" w:lineRule="exact"/>
        <w:rPr>
          <w:rFonts w:ascii="Times New Roman" w:cs="Times New Roman" w:eastAsia="Times New Roman" w:hAnsi="Times New Roman"/>
          <w:sz w:val="18"/>
          <w:szCs w:val="18"/>
          <w:color w:val="auto"/>
        </w:rPr>
      </w:pPr>
    </w:p>
    <w:p>
      <w:pPr>
        <w:jc w:val="both"/>
        <w:ind w:left="600" w:right="200" w:hanging="1295"/>
        <w:spacing w:after="0" w:line="266" w:lineRule="auto"/>
        <w:tabs>
          <w:tab w:leader="none" w:pos="580" w:val="left"/>
        </w:tabs>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*4.14</w:t>
        </w:r>
      </w:hyperlink>
      <w:r>
        <w:rPr>
          <w:rFonts w:ascii="Times New Roman" w:cs="Times New Roman" w:eastAsia="Times New Roman" w:hAnsi="Times New Roman"/>
          <w:sz w:val="18"/>
          <w:szCs w:val="18"/>
          <w:color w:val="auto"/>
        </w:rPr>
        <w:tab/>
      </w:r>
      <w:hyperlink r:id="rId102">
        <w:r>
          <w:rPr>
            <w:rFonts w:ascii="Times New Roman" w:cs="Times New Roman" w:eastAsia="Times New Roman" w:hAnsi="Times New Roman"/>
            <w:sz w:val="18"/>
            <w:szCs w:val="18"/>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auto"/>
          </w:rPr>
          <w:t>(included as part of Exhibit 4.13),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auto"/>
          </w:rPr>
          <w:t>October 3, 2019.</w:t>
        </w:r>
      </w:hyperlink>
    </w:p>
    <w:p>
      <w:pPr>
        <w:spacing w:after="0" w:line="122" w:lineRule="exact"/>
        <w:rPr>
          <w:rFonts w:ascii="Times New Roman" w:cs="Times New Roman" w:eastAsia="Times New Roman" w:hAnsi="Times New Roman"/>
          <w:sz w:val="18"/>
          <w:szCs w:val="18"/>
          <w:color w:val="auto"/>
        </w:rPr>
      </w:pPr>
    </w:p>
    <w:p>
      <w:pPr>
        <w:ind w:left="600" w:right="140" w:hanging="1295"/>
        <w:spacing w:after="0" w:line="266" w:lineRule="auto"/>
        <w:tabs>
          <w:tab w:leader="none" w:pos="580" w:val="left"/>
        </w:tabs>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*4.15</w:t>
        </w:r>
      </w:hyperlink>
      <w:r>
        <w:rPr>
          <w:rFonts w:ascii="Times New Roman" w:cs="Times New Roman" w:eastAsia="Times New Roman" w:hAnsi="Times New Roman"/>
          <w:sz w:val="18"/>
          <w:szCs w:val="18"/>
          <w:color w:val="auto"/>
        </w:rPr>
        <w:tab/>
      </w:r>
      <w:hyperlink r:id="rId103">
        <w:r>
          <w:rPr>
            <w:rFonts w:ascii="Times New Roman" w:cs="Times New Roman" w:eastAsia="Times New Roman" w:hAnsi="Times New Roman"/>
            <w:sz w:val="18"/>
            <w:szCs w:val="18"/>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auto"/>
          </w:rPr>
          <w:t>reference to Exhibit 4.1 of Form 8-K (File No. 001-34057) filed February 11, 2020.</w:t>
        </w:r>
      </w:hyperlink>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0" w:name="page51"/>
    <w:bookmarkEnd w:id="50"/>
    <w:p>
      <w:pPr>
        <w:ind w:left="600" w:right="120" w:hanging="1295"/>
        <w:spacing w:after="0" w:line="266" w:lineRule="auto"/>
        <w:tabs>
          <w:tab w:leader="none" w:pos="580" w:val="left"/>
        </w:tabs>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*4.16</w:t>
        </w:r>
      </w:hyperlink>
      <w:r>
        <w:rPr>
          <w:rFonts w:ascii="Times New Roman" w:cs="Times New Roman" w:eastAsia="Times New Roman" w:hAnsi="Times New Roman"/>
          <w:sz w:val="18"/>
          <w:szCs w:val="18"/>
          <w:color w:val="auto"/>
        </w:rPr>
        <w:tab/>
      </w:r>
      <w:hyperlink r:id="rId103">
        <w:r>
          <w:rPr>
            <w:rFonts w:ascii="Times New Roman" w:cs="Times New Roman" w:eastAsia="Times New Roman" w:hAnsi="Times New Roman"/>
            <w:sz w:val="18"/>
            <w:szCs w:val="18"/>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auto"/>
          </w:rPr>
          <w:t>(included as part of Exhibit 4.15), incorporated herein by reference to Exhibit A of Exhibit 4.1 of Form 8-K (File No. 001-34057) filed</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auto"/>
          </w:rPr>
          <w:t>February 11, 2020.</w:t>
        </w:r>
      </w:hyperlink>
    </w:p>
    <w:p>
      <w:pPr>
        <w:spacing w:after="0" w:line="122" w:lineRule="exact"/>
        <w:rPr>
          <w:rFonts w:ascii="Times New Roman" w:cs="Times New Roman" w:eastAsia="Times New Roman" w:hAnsi="Times New Roman"/>
          <w:sz w:val="18"/>
          <w:szCs w:val="18"/>
          <w:color w:val="auto"/>
        </w:rPr>
      </w:pPr>
    </w:p>
    <w:p>
      <w:pPr>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*4.17</w:t>
        </w:r>
      </w:hyperlink>
      <w:r>
        <w:rPr>
          <w:rFonts w:ascii="Times New Roman" w:cs="Times New Roman" w:eastAsia="Times New Roman" w:hAnsi="Times New Roman"/>
          <w:sz w:val="18"/>
          <w:szCs w:val="18"/>
          <w:color w:val="auto"/>
        </w:rPr>
        <w:tab/>
      </w:r>
      <w:hyperlink r:id="rId105">
        <w:r>
          <w:rPr>
            <w:rFonts w:ascii="Times New Roman" w:cs="Times New Roman" w:eastAsia="Times New Roman" w:hAnsi="Times New Roman"/>
            <w:sz w:val="18"/>
            <w:szCs w:val="18"/>
            <w:color w:val="auto"/>
          </w:rPr>
          <w:t>Deposit Agreement relating to 7.75% Series G Fixed-Rate Reset Cumulative Redeemable Preferred Stock, dated September 14, 2022, among</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auto"/>
          </w:rPr>
          <w:t>reference to Exhibit 4.2 of Form 8-K (File No. 001-34057) filed September 14, 2022.</w:t>
        </w:r>
      </w:hyperlink>
    </w:p>
    <w:p>
      <w:pPr>
        <w:spacing w:after="0" w:line="122" w:lineRule="exact"/>
        <w:rPr>
          <w:rFonts w:ascii="Times New Roman" w:cs="Times New Roman" w:eastAsia="Times New Roman" w:hAnsi="Times New Roman"/>
          <w:sz w:val="18"/>
          <w:szCs w:val="18"/>
          <w:color w:val="auto"/>
        </w:rPr>
      </w:pPr>
    </w:p>
    <w:p>
      <w:pPr>
        <w:ind w:left="600" w:right="240" w:hanging="1295"/>
        <w:spacing w:after="0" w:line="266" w:lineRule="auto"/>
        <w:tabs>
          <w:tab w:leader="none" w:pos="580" w:val="left"/>
        </w:tabs>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*4.18</w:t>
        </w:r>
      </w:hyperlink>
      <w:r>
        <w:rPr>
          <w:rFonts w:ascii="Times New Roman" w:cs="Times New Roman" w:eastAsia="Times New Roman" w:hAnsi="Times New Roman"/>
          <w:sz w:val="18"/>
          <w:szCs w:val="18"/>
          <w:color w:val="auto"/>
        </w:rPr>
        <w:tab/>
      </w:r>
      <w:hyperlink r:id="rId105">
        <w:r>
          <w:rPr>
            <w:rFonts w:ascii="Times New Roman" w:cs="Times New Roman" w:eastAsia="Times New Roman" w:hAnsi="Times New Roman"/>
            <w:sz w:val="18"/>
            <w:szCs w:val="18"/>
            <w:color w:val="auto"/>
          </w:rPr>
          <w:t>Form of Depositary Receipt representing 1/1,000th of a share of 7.75% Series G Fixed-Rate Reset Cumulative Redeemable Preferred Stock</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auto"/>
          </w:rPr>
          <w:t>(included as part of Exhibit 4.17),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auto"/>
          </w:rPr>
          <w:t>September 14, 2022.</w:t>
        </w:r>
      </w:hyperlink>
    </w:p>
    <w:p>
      <w:pPr>
        <w:spacing w:after="0" w:line="122" w:lineRule="exact"/>
        <w:rPr>
          <w:rFonts w:ascii="Times New Roman" w:cs="Times New Roman" w:eastAsia="Times New Roman" w:hAnsi="Times New Roman"/>
          <w:sz w:val="18"/>
          <w:szCs w:val="18"/>
          <w:color w:val="auto"/>
        </w:rPr>
      </w:pPr>
    </w:p>
    <w:p>
      <w:pPr>
        <w:ind w:left="600" w:hanging="1295"/>
        <w:spacing w:after="0" w:line="282" w:lineRule="auto"/>
        <w:tabs>
          <w:tab w:leader="none" w:pos="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tab/>
      </w:r>
      <w:hyperlink r:id="rId106">
        <w:r>
          <w:rPr>
            <w:rFonts w:ascii="Times New Roman" w:cs="Times New Roman" w:eastAsia="Times New Roman" w:hAnsi="Times New Roman"/>
            <w:sz w:val="18"/>
            <w:szCs w:val="18"/>
            <w:color w:val="auto"/>
          </w:rPr>
          <w:t>Amended and Restated Employment Agreement dated July 18, 2024 between AGNC Mortgage Management, LLC and Gary Kain, incorporated</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auto"/>
          </w:rPr>
          <w:t>herein by reference to Exhibit 10.1 of Form 8-K (File No. 001-34057) filed July 19, 2024.</w:t>
        </w:r>
      </w:hyperlink>
    </w:p>
    <w:p>
      <w:pPr>
        <w:spacing w:after="0" w:line="108" w:lineRule="exact"/>
        <w:rPr>
          <w:sz w:val="20"/>
          <w:szCs w:val="20"/>
          <w:color w:val="auto"/>
        </w:rPr>
      </w:pPr>
    </w:p>
    <w:p>
      <w:pPr>
        <w:spacing w:after="0"/>
        <w:tabs>
          <w:tab w:leader="none" w:pos="44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tab/>
      </w:r>
      <w:hyperlink r:id="rId107">
        <w:r>
          <w:rPr>
            <w:rFonts w:ascii="Times New Roman" w:cs="Times New Roman" w:eastAsia="Times New Roman" w:hAnsi="Times New Roman"/>
            <w:sz w:val="18"/>
            <w:szCs w:val="18"/>
            <w:color w:val="auto"/>
          </w:rPr>
          <w:t>AGNC Investment Corp. Code of Ethics and Conduct, adopted July 18, 2024, incorporated herein by reference to Exhibit 14 of Form 10-Q (File No.</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001-34057) filed August 5, 2024.</w:t>
        </w:r>
      </w:hyperlink>
    </w:p>
    <w:p>
      <w:pPr>
        <w:spacing w:after="0" w:line="15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31.1</w:t>
        <w:tab/>
        <w:t>Certification of CEO Pursuant to Section 302(a) of the Sarbanes-Oxley Act of 2002.</w:t>
      </w:r>
    </w:p>
    <w:p>
      <w:pPr>
        <w:spacing w:after="0" w:line="1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CFO Pursuant to Section 302(a) of the Sarbanes-Oxley Act of 2002.</w:t>
      </w:r>
    </w:p>
    <w:p>
      <w:pPr>
        <w:spacing w:after="0" w:line="17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32</w:t>
        <w:tab/>
        <w:t>Certification of CEO and CFO Pursuant to Section 906 of the Sarbanes-Oxley Act of 2002.</w:t>
      </w:r>
    </w:p>
    <w:p>
      <w:pPr>
        <w:sectPr>
          <w:pgSz w:w="11900" w:h="16838" w:orient="portrait"/>
          <w:cols w:equalWidth="0" w:num="1">
            <w:col w:w="11240"/>
          </w:cols>
          <w:pgMar w:left="320" w:top="1053"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171" w:lineRule="exact"/>
        <w:rPr>
          <w:sz w:val="20"/>
          <w:szCs w:val="20"/>
          <w:color w:val="auto"/>
        </w:rPr>
      </w:pPr>
    </w:p>
    <w:p>
      <w:pPr>
        <w:sectPr>
          <w:pgSz w:w="11900" w:h="16838" w:orient="portrait"/>
          <w:cols w:equalWidth="0" w:num="2">
            <w:col w:w="800" w:space="160"/>
            <w:col w:w="1028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182" w:lineRule="exact"/>
        <w:rPr>
          <w:sz w:val="20"/>
          <w:szCs w:val="20"/>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182" w:lineRule="exact"/>
        <w:rPr>
          <w:sz w:val="20"/>
          <w:szCs w:val="20"/>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p>
      <w:pPr>
        <w:spacing w:after="0" w:line="182" w:lineRule="exact"/>
        <w:rPr>
          <w:sz w:val="20"/>
          <w:szCs w:val="20"/>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182" w:lineRule="exact"/>
        <w:rPr>
          <w:sz w:val="20"/>
          <w:szCs w:val="20"/>
          <w:color w:val="auto"/>
        </w:rPr>
      </w:pPr>
    </w:p>
    <w:p>
      <w:pPr>
        <w:sectPr>
          <w:pgSz w:w="11900" w:h="16838" w:orient="portrait"/>
          <w:cols w:equalWidth="0" w:num="2">
            <w:col w:w="840" w:space="180"/>
            <w:col w:w="1022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38" w:lineRule="exact"/>
        <w:rPr>
          <w:sz w:val="20"/>
          <w:szCs w:val="20"/>
          <w:color w:val="auto"/>
        </w:rPr>
      </w:pPr>
    </w:p>
    <w:p>
      <w:pPr>
        <w:sectPr>
          <w:pgSz w:w="11900" w:h="16838" w:orient="portrait"/>
          <w:cols w:equalWidth="0" w:num="2">
            <w:col w:w="840" w:space="180"/>
            <w:col w:w="1022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18" w:lineRule="exact"/>
        <w:rPr>
          <w:sz w:val="20"/>
          <w:szCs w:val="20"/>
          <w:color w:val="auto"/>
        </w:rPr>
      </w:pPr>
    </w:p>
    <w:p>
      <w:pPr>
        <w:ind w:left="360" w:right="360" w:hanging="647"/>
        <w:spacing w:after="0" w:line="250" w:lineRule="auto"/>
        <w:tabs>
          <w:tab w:leader="none" w:pos="340" w:val="left"/>
        </w:tabs>
        <w:rPr>
          <w:sz w:val="20"/>
          <w:szCs w:val="20"/>
          <w:color w:val="auto"/>
        </w:rPr>
      </w:pPr>
      <w:r>
        <w:rPr>
          <w:rFonts w:ascii="Times New Roman" w:cs="Times New Roman" w:eastAsia="Times New Roman" w:hAnsi="Times New Roman"/>
          <w:sz w:val="18"/>
          <w:szCs w:val="18"/>
          <w:color w:val="auto"/>
        </w:rPr>
        <w:t>**</w:t>
        <w:tab/>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3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the exhibits filed herewith.</w:t>
      </w:r>
    </w:p>
    <w:p>
      <w:pPr>
        <w:spacing w:after="0" w:line="207" w:lineRule="exact"/>
        <w:rPr>
          <w:sz w:val="20"/>
          <w:szCs w:val="20"/>
          <w:color w:val="auto"/>
        </w:rPr>
      </w:pPr>
    </w:p>
    <w:p>
      <w:pPr>
        <w:ind w:left="680" w:right="7500" w:hanging="227"/>
        <w:spacing w:after="0" w:line="282" w:lineRule="auto"/>
        <w:tabs>
          <w:tab w:leader="none" w:pos="8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540"/>
        <w:spacing w:after="0"/>
        <w:tabs>
          <w:tab w:leader="none" w:pos="7760" w:val="left"/>
          <w:tab w:leader="none" w:pos="8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2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w:t>
      </w: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16"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1, 2024</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Bernice E. Bell</w:t>
      </w:r>
    </w:p>
    <w:p>
      <w:pPr>
        <w:ind w:left="77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6260"/>
        <w:spacing w:after="0" w:line="201" w:lineRule="auto"/>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80"/>
          </w:cols>
          <w:pgMar w:left="320" w:top="887" w:right="3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1, 2024</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Federico</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p>
      <w:pPr>
        <w:ind w:left="620"/>
        <w:spacing w:after="0"/>
        <w:rPr>
          <w:sz w:val="20"/>
          <w:szCs w:val="20"/>
          <w:color w:val="auto"/>
        </w:rPr>
      </w:pPr>
      <w:r>
        <w:rPr>
          <w:rFonts w:ascii="Times New Roman" w:cs="Times New Roman" w:eastAsia="Times New Roman" w:hAnsi="Times New Roman"/>
          <w:sz w:val="18"/>
          <w:szCs w:val="18"/>
          <w:color w:val="auto"/>
        </w:rPr>
        <w:t>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1, 2024</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Bernice E. Bell</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108" w:lineRule="exact"/>
        <w:rPr>
          <w:sz w:val="20"/>
          <w:szCs w:val="20"/>
          <w:color w:val="auto"/>
        </w:rPr>
      </w:pPr>
    </w:p>
    <w:p>
      <w:pPr>
        <w:ind w:left="660" w:right="94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r>
      <w:tr>
        <w:trPr>
          <w:trHeight w:val="493"/>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w:t>
            </w:r>
          </w:p>
        </w:tc>
      </w:tr>
      <w:tr>
        <w:trPr>
          <w:trHeight w:val="230"/>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2"/>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4"/>
    </w:lvl>
  </w:abstractNum>
  <w:abstractNum w:abstractNumId="19">
    <w:nsid w:val="4516DDE9"/>
    <w:multiLevelType w:val="hybridMultilevel"/>
    <w:lvl w:ilvl="0">
      <w:lvlJc w:val="left"/>
      <w:lvlText w:val="%1."/>
      <w:numFmt w:val="decimal"/>
      <w:start w:val="9"/>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7"/>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4"/>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3"/>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1" Type="http://schemas.openxmlformats.org/officeDocument/2006/relationships/image" Target="media/image76.png"/><Relationship Id="rId104"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83" Type="http://schemas.openxmlformats.org/officeDocument/2006/relationships/hyperlink" Target="https://www.sec.gov/Archives/edgar/data/1423689/000142368922000014/agncexhibit3112312110-k.htm" TargetMode="External"/><Relationship Id="rId84" Type="http://schemas.openxmlformats.org/officeDocument/2006/relationships/hyperlink" Target="https://www.sec.gov/Archives/edgar/data/1423689/000142368921000017/arbylaws-march2021vrevised.htm" TargetMode="External"/><Relationship Id="rId85" Type="http://schemas.openxmlformats.org/officeDocument/2006/relationships/hyperlink" Target="https://www.sec.gov/Archives/edgar/data/1423689/000142368923000046/bylaws72023-ex.htm" TargetMode="External"/><Relationship Id="rId86" Type="http://schemas.openxmlformats.org/officeDocument/2006/relationships/hyperlink" Target="https://www.sec.gov/Archives/edgar/data/1423689/000142368917000044/ex35certificateofdesignati.htm" TargetMode="External"/><Relationship Id="rId87" Type="http://schemas.openxmlformats.org/officeDocument/2006/relationships/hyperlink" Target="https://www.sec.gov/Archives/edgar/data/1423689/000142368917000065/certificateofelimination.htm" TargetMode="External"/><Relationship Id="rId88" Type="http://schemas.openxmlformats.org/officeDocument/2006/relationships/hyperlink" Target="https://www.sec.gov/Archives/edgar/data/1423689/000142368919000019/certificateofdesignations.htm" TargetMode="External"/><Relationship Id="rId89" Type="http://schemas.openxmlformats.org/officeDocument/2006/relationships/hyperlink" Target="https://www.sec.gov/Archives/edgar/data/1423689/000142368919000064/certofdesignations.htm" TargetMode="External"/><Relationship Id="rId90" Type="http://schemas.openxmlformats.org/officeDocument/2006/relationships/hyperlink" Target="https://www.sec.gov/Archives/edgar/data/1423689/000142368919000078/certificateofeliminati.htm" TargetMode="External"/><Relationship Id="rId92" Type="http://schemas.openxmlformats.org/officeDocument/2006/relationships/hyperlink" Target="https://www.sec.gov/Archives/edgar/data/1423689/000142368920000012/certificateofdesignations-.htm" TargetMode="External"/><Relationship Id="rId93" Type="http://schemas.openxmlformats.org/officeDocument/2006/relationships/hyperlink" Target="https://www.sec.gov/Archives/edgar/data/1423689/000142368922000061/seriesgcertificateofdesign.htm" TargetMode="External"/><Relationship Id="rId94" Type="http://schemas.openxmlformats.org/officeDocument/2006/relationships/hyperlink" Target="https://www.sec.gov/Archives/edgar/data/1423689/000142368922000076/exhibit43.htm" TargetMode="External"/><Relationship Id="rId95" Type="http://schemas.openxmlformats.org/officeDocument/2006/relationships/hyperlink" Target="https://www.sec.gov/Archives/edgar/data/1423689/000142368917000044/exhibit41.htm" TargetMode="External"/><Relationship Id="rId96" Type="http://schemas.openxmlformats.org/officeDocument/2006/relationships/hyperlink" Target="https://www.sec.gov/Archives/edgar/data/1423689/000142368919000019/stockcertificateb98.htm" TargetMode="External"/><Relationship Id="rId97" Type="http://schemas.openxmlformats.org/officeDocument/2006/relationships/hyperlink" Target="https://www.sec.gov/Archives/edgar/data/1423689/000142368919000064/stockcertificate.htm" TargetMode="External"/><Relationship Id="rId98" Type="http://schemas.openxmlformats.org/officeDocument/2006/relationships/hyperlink" Target="https://www.sec.gov/Archives/edgar/data/1423689/000142368920000012/stockcertificate.htm" TargetMode="External"/><Relationship Id="rId99" Type="http://schemas.openxmlformats.org/officeDocument/2006/relationships/hyperlink" Target="https://www.sec.gov/Archives/edgar/data/1423689/000142368922000061/stockcertificate1.htm" TargetMode="External"/><Relationship Id="rId100" Type="http://schemas.openxmlformats.org/officeDocument/2006/relationships/hyperlink" Target="https://www.sec.gov/Archives/edgar/data/1423689/000142368917000049/depositagreement.htm" TargetMode="External"/><Relationship Id="rId101" Type="http://schemas.openxmlformats.org/officeDocument/2006/relationships/hyperlink" Target="https://www.sec.gov/Archives/edgar/data/1423689/000142368919000021/prefddepositagmt.htm" TargetMode="External"/><Relationship Id="rId102" Type="http://schemas.openxmlformats.org/officeDocument/2006/relationships/hyperlink" Target="https://www.sec.gov/Archives/edgar/data/1423689/000142368919000068/depositagmt-prefe.htm" TargetMode="External"/><Relationship Id="rId103" Type="http://schemas.openxmlformats.org/officeDocument/2006/relationships/hyperlink" Target="https://www.sec.gov/Archives/edgar/data/1423689/000142368920000014/depositaryagmt-seriesf.htm" TargetMode="External"/><Relationship Id="rId105" Type="http://schemas.openxmlformats.org/officeDocument/2006/relationships/hyperlink" Target="https://www.sec.gov/Archives/edgar/data/1423689/000142368922000069/depositaryagmt.htm" TargetMode="External"/><Relationship Id="rId106" Type="http://schemas.openxmlformats.org/officeDocument/2006/relationships/hyperlink" Target="https://www.sec.gov/Archives/edgar/data/1423689/000142368924000053/gkagmt7-18x24.htm" TargetMode="External"/><Relationship Id="rId107" Type="http://schemas.openxmlformats.org/officeDocument/2006/relationships/hyperlink" Target="https://www.sec.gov/Archives/edgar/data/1423689/000142368924000058/agncexhibit1463024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2024-11-01T15:49:53Z</dcterms:created>
  <dcterms:modified xsi:type="dcterms:W3CDTF">2024-11-01T15:49:53Z</dcterms:modified>
</cp:coreProperties>
</file>