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quarterly period ended September 30, 2017</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165"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111125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AGNC INVESTMENT CORP.</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ectPr>
          <w:pgSz w:w="11900" w:h="16838" w:orient="portrait"/>
          <w:cols w:equalWidth="0" w:num="1">
            <w:col w:w="11400"/>
          </w:cols>
          <w:pgMar w:left="240" w:top="503" w:right="259" w:bottom="1440" w:gutter="0" w:footer="0" w:header="0"/>
        </w:sectPr>
      </w:pPr>
    </w:p>
    <w:p>
      <w:pPr>
        <w:spacing w:after="0" w:line="157"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2">
            <w:col w:w="7640" w:space="720"/>
            <w:col w:w="3040"/>
          </w:cols>
          <w:pgMar w:left="240" w:top="503" w:right="25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520" w:space="720"/>
            <w:col w:w="3160"/>
          </w:cols>
          <w:pgMar w:left="240" w:top="503"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 Bethesda Metro Center, 12th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Bethesda, Maryland 20814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(301) 968-9315</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__________________________________________________</w:t>
      </w:r>
    </w:p>
    <w:p>
      <w:pPr>
        <w:sectPr>
          <w:pgSz w:w="11900" w:h="16838" w:orient="portrait"/>
          <w:cols w:equalWidth="0" w:num="1">
            <w:col w:w="11400"/>
          </w:cols>
          <w:pgMar w:left="240" w:top="503" w:right="259" w:bottom="1440" w:gutter="0" w:footer="0" w:header="0"/>
          <w:type w:val="continuous"/>
        </w:sectPr>
      </w:pP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(1) has filed all reports to be filed by Section 13 or 15(d) of the Securities Exchange Act of 1934 during the</w:t>
      </w:r>
    </w:p>
    <w:p>
      <w:pPr>
        <w:spacing w:after="0" w:line="32" w:lineRule="exact"/>
        <w:rPr>
          <w:sz w:val="24"/>
          <w:szCs w:val="24"/>
          <w:color w:val="auto"/>
        </w:rPr>
      </w:pPr>
    </w:p>
    <w:p>
      <w:pPr>
        <w:spacing w:after="0" w:line="213" w:lineRule="exact"/>
        <w:rPr>
          <w:sz w:val="20"/>
          <w:szCs w:val="20"/>
          <w:color w:val="auto"/>
        </w:rPr>
      </w:pPr>
      <w:r>
        <w:rPr>
          <w:rFonts w:ascii="Arial" w:cs="Arial" w:eastAsia="Arial" w:hAnsi="Arial"/>
          <w:sz w:val="17"/>
          <w:szCs w:val="17"/>
          <w:color w:val="auto"/>
        </w:rPr>
        <w:t xml:space="preserve">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ind w:right="180" w:firstLine="43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540" w:firstLine="432"/>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2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320" w:type="dxa"/>
            <w:vAlign w:val="bottom"/>
          </w:tcPr>
          <w:p>
            <w:pPr>
              <w:ind w:left="72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47" w:lineRule="exact"/>
        <w:rPr>
          <w:sz w:val="24"/>
          <w:szCs w:val="24"/>
          <w:color w:val="auto"/>
        </w:rPr>
      </w:pPr>
    </w:p>
    <w:p>
      <w:pPr>
        <w:ind w:right="520" w:firstLine="43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right="1920" w:firstLine="108"/>
        <w:spacing w:after="0" w:line="2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issuer's common stock, $0.01 par value, outstanding as of October 31, 2017 was 391,295,870.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174625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88900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6"/>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61"/>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4"/>
          </w:tcPr>
          <w:p>
            <w:pPr>
              <w:spacing w:after="0"/>
              <w:rPr>
                <w:sz w:val="24"/>
                <w:szCs w:val="24"/>
                <w:color w:val="auto"/>
              </w:rPr>
            </w:pPr>
          </w:p>
        </w:tc>
        <w:tc>
          <w:tcPr>
            <w:tcW w:w="2020" w:type="dxa"/>
            <w:vAlign w:val="bottom"/>
            <w:gridSpan w:val="3"/>
          </w:tcPr>
          <w:p>
            <w:pPr>
              <w:jc w:val="center"/>
              <w:ind w:left="1777"/>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5"/>
              </w:rPr>
            </w:pPr>
            <w:hyperlink w:anchor="page30">
              <w:r>
                <w:rPr>
                  <w:rFonts w:ascii="Arial" w:cs="Arial" w:eastAsia="Arial" w:hAnsi="Arial"/>
                  <w:sz w:val="16"/>
                  <w:szCs w:val="16"/>
                  <w:color w:val="0000EE"/>
                  <w:w w:val="85"/>
                </w:rPr>
                <w:t>Item 2.</w:t>
              </w:r>
            </w:hyperlink>
          </w:p>
        </w:tc>
        <w:tc>
          <w:tcPr>
            <w:tcW w:w="580" w:type="dxa"/>
            <w:vAlign w:val="bottom"/>
            <w:gridSpan w:val="5"/>
          </w:tcPr>
          <w:p>
            <w:pPr>
              <w:spacing w:after="0"/>
              <w:rPr>
                <w:sz w:val="20"/>
                <w:szCs w:val="20"/>
                <w:color w:val="auto"/>
              </w:rPr>
            </w:pPr>
          </w:p>
        </w:tc>
        <w:tc>
          <w:tcPr>
            <w:tcW w:w="5800" w:type="dxa"/>
            <w:vAlign w:val="bottom"/>
            <w:tcBorders>
              <w:bottom w:val="single" w:sz="8" w:color="0000EE"/>
            </w:tcBorders>
            <w:gridSpan w:val="12"/>
          </w:tcPr>
          <w:p>
            <w:pPr>
              <w:spacing w:after="0"/>
              <w:rPr>
                <w:rFonts w:ascii="Arial" w:cs="Arial" w:eastAsia="Arial" w:hAnsi="Arial"/>
                <w:sz w:val="16"/>
                <w:szCs w:val="16"/>
                <w:color w:val="0000EE"/>
                <w:w w:val="91"/>
              </w:rPr>
            </w:pPr>
            <w:hyperlink w:anchor="page30">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29</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3.</w:t>
              </w:r>
            </w:hyperlink>
          </w:p>
        </w:tc>
        <w:tc>
          <w:tcPr>
            <w:tcW w:w="580" w:type="dxa"/>
            <w:vAlign w:val="bottom"/>
            <w:gridSpan w:val="5"/>
          </w:tcPr>
          <w:p>
            <w:pPr>
              <w:spacing w:after="0"/>
              <w:rPr>
                <w:sz w:val="20"/>
                <w:szCs w:val="20"/>
                <w:color w:val="auto"/>
              </w:rPr>
            </w:pPr>
          </w:p>
        </w:tc>
        <w:tc>
          <w:tcPr>
            <w:tcW w:w="3940" w:type="dxa"/>
            <w:vAlign w:val="bottom"/>
            <w:tcBorders>
              <w:bottom w:val="single" w:sz="8" w:color="0000EE"/>
            </w:tcBorders>
            <w:gridSpan w:val="11"/>
          </w:tcPr>
          <w:p>
            <w:pPr>
              <w:spacing w:after="0"/>
              <w:rPr>
                <w:rFonts w:ascii="Arial" w:cs="Arial" w:eastAsia="Arial" w:hAnsi="Arial"/>
                <w:sz w:val="16"/>
                <w:szCs w:val="16"/>
                <w:color w:val="0000EE"/>
                <w:w w:val="93"/>
              </w:rPr>
            </w:pPr>
            <w:hyperlink w:anchor="page51">
              <w:r>
                <w:rPr>
                  <w:rFonts w:ascii="Arial" w:cs="Arial" w:eastAsia="Arial" w:hAnsi="Arial"/>
                  <w:sz w:val="16"/>
                  <w:szCs w:val="16"/>
                  <w:color w:val="0000EE"/>
                  <w:w w:val="93"/>
                </w:rPr>
                <w:t>Quantitative and Qualitative Disclosures About Market Risk</w:t>
              </w:r>
            </w:hyperlink>
          </w:p>
        </w:tc>
        <w:tc>
          <w:tcPr>
            <w:tcW w:w="372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37"/>
        </w:trPr>
        <w:tc>
          <w:tcPr>
            <w:tcW w:w="460" w:type="dxa"/>
            <w:vAlign w:val="bottom"/>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4.</w:t>
              </w:r>
            </w:hyperlink>
          </w:p>
        </w:tc>
        <w:tc>
          <w:tcPr>
            <w:tcW w:w="580" w:type="dxa"/>
            <w:vAlign w:val="bottom"/>
            <w:gridSpan w:val="5"/>
          </w:tcPr>
          <w:p>
            <w:pPr>
              <w:spacing w:after="0"/>
              <w:rPr>
                <w:sz w:val="20"/>
                <w:szCs w:val="20"/>
                <w:color w:val="auto"/>
              </w:rPr>
            </w:pPr>
          </w:p>
        </w:tc>
        <w:tc>
          <w:tcPr>
            <w:tcW w:w="7660" w:type="dxa"/>
            <w:vAlign w:val="bottom"/>
            <w:gridSpan w:val="1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Controls and Procedures</w:t>
              </w:r>
            </w:hyperlink>
          </w:p>
        </w:tc>
        <w:tc>
          <w:tcPr>
            <w:tcW w:w="2020" w:type="dxa"/>
            <w:vAlign w:val="bottom"/>
            <w:gridSpan w:val="3"/>
          </w:tcPr>
          <w:p>
            <w:pPr>
              <w:jc w:val="center"/>
              <w:ind w:left="1777"/>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47"/>
        </w:trPr>
        <w:tc>
          <w:tcPr>
            <w:tcW w:w="1040" w:type="dxa"/>
            <w:vAlign w:val="bottom"/>
            <w:gridSpan w:val="6"/>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PART II.</w:t>
              </w:r>
            </w:hyperlink>
          </w:p>
        </w:tc>
        <w:tc>
          <w:tcPr>
            <w:tcW w:w="7660" w:type="dxa"/>
            <w:vAlign w:val="bottom"/>
            <w:gridSpan w:val="13"/>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6"/>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1.</w:t>
              </w:r>
            </w:hyperlink>
          </w:p>
        </w:tc>
        <w:tc>
          <w:tcPr>
            <w:tcW w:w="160" w:type="dxa"/>
            <w:vAlign w:val="bottom"/>
            <w:tcBorders>
              <w:top w:val="single" w:sz="8" w:color="0000EE"/>
            </w:tcBorders>
            <w:gridSpan w:val="3"/>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Legal Proceedings</w:t>
              </w:r>
            </w:hyperlink>
          </w:p>
        </w:tc>
        <w:tc>
          <w:tcPr>
            <w:tcW w:w="620" w:type="dxa"/>
            <w:vAlign w:val="bottom"/>
            <w:tcBorders>
              <w:top w:val="single" w:sz="8" w:color="0000EE"/>
            </w:tcBorders>
            <w:gridSpan w:val="3"/>
          </w:tcPr>
          <w:p>
            <w:pPr>
              <w:spacing w:after="0"/>
              <w:rPr>
                <w:sz w:val="24"/>
                <w:szCs w:val="24"/>
                <w:color w:val="auto"/>
              </w:rPr>
            </w:pPr>
          </w:p>
        </w:tc>
        <w:tc>
          <w:tcPr>
            <w:tcW w:w="5840" w:type="dxa"/>
            <w:vAlign w:val="bottom"/>
            <w:gridSpan w:val="6"/>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54</w:t>
              </w:r>
            </w:hyperlink>
          </w:p>
        </w:tc>
      </w:tr>
      <w:tr>
        <w:trPr>
          <w:trHeight w:val="237"/>
        </w:trPr>
        <w:tc>
          <w:tcPr>
            <w:tcW w:w="580" w:type="dxa"/>
            <w:vAlign w:val="bottom"/>
            <w:gridSpan w:val="3"/>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Item 1A.</w:t>
              </w:r>
            </w:hyperlink>
          </w:p>
        </w:tc>
        <w:tc>
          <w:tcPr>
            <w:tcW w:w="460" w:type="dxa"/>
            <w:vAlign w:val="bottom"/>
            <w:gridSpan w:val="3"/>
          </w:tcPr>
          <w:p>
            <w:pPr>
              <w:spacing w:after="0"/>
              <w:rPr>
                <w:sz w:val="20"/>
                <w:szCs w:val="20"/>
                <w:color w:val="auto"/>
              </w:rPr>
            </w:pPr>
          </w:p>
        </w:tc>
        <w:tc>
          <w:tcPr>
            <w:tcW w:w="7660" w:type="dxa"/>
            <w:vAlign w:val="bottom"/>
            <w:gridSpan w:val="1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Risk Factors</w:t>
              </w:r>
            </w:hyperlink>
          </w:p>
        </w:tc>
        <w:tc>
          <w:tcPr>
            <w:tcW w:w="2020" w:type="dxa"/>
            <w:vAlign w:val="bottom"/>
            <w:gridSpan w:val="3"/>
          </w:tcPr>
          <w:p>
            <w:pPr>
              <w:jc w:val="center"/>
              <w:ind w:left="1777"/>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54</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2.</w:t>
              </w:r>
            </w:hyperlink>
          </w:p>
        </w:tc>
        <w:tc>
          <w:tcPr>
            <w:tcW w:w="120" w:type="dxa"/>
            <w:vAlign w:val="bottom"/>
            <w:gridSpan w:val="2"/>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55">
              <w:r>
                <w:rPr>
                  <w:rFonts w:ascii="Arial" w:cs="Arial" w:eastAsia="Arial" w:hAnsi="Arial"/>
                  <w:sz w:val="16"/>
                  <w:szCs w:val="16"/>
                  <w:color w:val="0000EE"/>
                  <w:w w:val="90"/>
                </w:rPr>
                <w:t>Unregistered Sales of Equity Securities and Use of Proceeds</w:t>
              </w:r>
            </w:hyperlink>
          </w:p>
        </w:tc>
        <w:tc>
          <w:tcPr>
            <w:tcW w:w="3740" w:type="dxa"/>
            <w:vAlign w:val="bottom"/>
            <w:gridSpan w:val="3"/>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3.</w:t>
              </w:r>
            </w:hyperlink>
          </w:p>
        </w:tc>
        <w:tc>
          <w:tcPr>
            <w:tcW w:w="580" w:type="dxa"/>
            <w:vAlign w:val="bottom"/>
            <w:gridSpan w:val="5"/>
          </w:tcPr>
          <w:p>
            <w:pPr>
              <w:spacing w:after="0"/>
              <w:rPr>
                <w:sz w:val="20"/>
                <w:szCs w:val="20"/>
                <w:color w:val="auto"/>
              </w:rPr>
            </w:pPr>
          </w:p>
        </w:tc>
        <w:tc>
          <w:tcPr>
            <w:tcW w:w="206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55">
              <w:r>
                <w:rPr>
                  <w:rFonts w:ascii="Arial" w:cs="Arial" w:eastAsia="Arial" w:hAnsi="Arial"/>
                  <w:sz w:val="16"/>
                  <w:szCs w:val="16"/>
                  <w:color w:val="0000EE"/>
                  <w:w w:val="91"/>
                </w:rPr>
                <w:t>Defaults upon Senior Securities</w:t>
              </w:r>
            </w:hyperlink>
          </w:p>
        </w:tc>
        <w:tc>
          <w:tcPr>
            <w:tcW w:w="5600" w:type="dxa"/>
            <w:vAlign w:val="bottom"/>
            <w:gridSpan w:val="5"/>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54</w:t>
              </w:r>
            </w:hyperlink>
          </w:p>
        </w:tc>
      </w:tr>
      <w:tr>
        <w:trPr>
          <w:trHeight w:val="237"/>
        </w:trPr>
        <w:tc>
          <w:tcPr>
            <w:tcW w:w="460" w:type="dxa"/>
            <w:vAlign w:val="bottom"/>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4.</w:t>
              </w:r>
            </w:hyperlink>
          </w:p>
        </w:tc>
        <w:tc>
          <w:tcPr>
            <w:tcW w:w="580" w:type="dxa"/>
            <w:vAlign w:val="bottom"/>
            <w:gridSpan w:val="5"/>
          </w:tcPr>
          <w:p>
            <w:pPr>
              <w:spacing w:after="0"/>
              <w:rPr>
                <w:sz w:val="20"/>
                <w:szCs w:val="20"/>
                <w:color w:val="auto"/>
              </w:rPr>
            </w:pPr>
          </w:p>
        </w:tc>
        <w:tc>
          <w:tcPr>
            <w:tcW w:w="7660" w:type="dxa"/>
            <w:vAlign w:val="bottom"/>
            <w:gridSpan w:val="1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Mine Safety Disclosures</w:t>
              </w:r>
            </w:hyperlink>
          </w:p>
        </w:tc>
        <w:tc>
          <w:tcPr>
            <w:tcW w:w="2020" w:type="dxa"/>
            <w:vAlign w:val="bottom"/>
            <w:gridSpan w:val="3"/>
          </w:tcPr>
          <w:p>
            <w:pPr>
              <w:jc w:val="center"/>
              <w:ind w:left="1777"/>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54</w:t>
              </w:r>
            </w:hyperlink>
          </w:p>
        </w:tc>
      </w:tr>
      <w:tr>
        <w:trPr>
          <w:trHeight w:val="237"/>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5.</w:t>
              </w:r>
            </w:hyperlink>
          </w:p>
        </w:tc>
        <w:tc>
          <w:tcPr>
            <w:tcW w:w="580" w:type="dxa"/>
            <w:vAlign w:val="bottom"/>
            <w:gridSpan w:val="5"/>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3"/>
              </w:rPr>
              <w:t>Other Information</w:t>
            </w:r>
          </w:p>
        </w:tc>
        <w:tc>
          <w:tcPr>
            <w:tcW w:w="400" w:type="dxa"/>
            <w:vAlign w:val="bottom"/>
            <w:tcBorders>
              <w:top w:val="single" w:sz="8" w:color="0000EE"/>
            </w:tcBorders>
            <w:gridSpan w:val="3"/>
          </w:tcPr>
          <w:p>
            <w:pPr>
              <w:spacing w:after="0"/>
              <w:rPr>
                <w:sz w:val="20"/>
                <w:szCs w:val="20"/>
                <w:color w:val="auto"/>
              </w:rPr>
            </w:pPr>
          </w:p>
        </w:tc>
        <w:tc>
          <w:tcPr>
            <w:tcW w:w="6080" w:type="dxa"/>
            <w:vAlign w:val="bottom"/>
            <w:gridSpan w:val="7"/>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5"/>
              </w:rPr>
            </w:pPr>
            <w:hyperlink w:anchor="page55">
              <w:r>
                <w:rPr>
                  <w:rFonts w:ascii="Arial" w:cs="Arial" w:eastAsia="Arial" w:hAnsi="Arial"/>
                  <w:sz w:val="16"/>
                  <w:szCs w:val="16"/>
                  <w:color w:val="0000EE"/>
                  <w:w w:val="85"/>
                </w:rPr>
                <w:t>Item 6.</w:t>
              </w:r>
            </w:hyperlink>
          </w:p>
        </w:tc>
        <w:tc>
          <w:tcPr>
            <w:tcW w:w="580" w:type="dxa"/>
            <w:vAlign w:val="bottom"/>
            <w:gridSpan w:val="5"/>
          </w:tcPr>
          <w:p>
            <w:pPr>
              <w:spacing w:after="0"/>
              <w:rPr>
                <w:sz w:val="20"/>
                <w:szCs w:val="20"/>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55">
              <w:r>
                <w:rPr>
                  <w:rFonts w:ascii="Arial" w:cs="Arial" w:eastAsia="Arial" w:hAnsi="Arial"/>
                  <w:sz w:val="16"/>
                  <w:szCs w:val="16"/>
                  <w:color w:val="0000EE"/>
                  <w:w w:val="92"/>
                </w:rPr>
                <w:t>Exhibits</w:t>
              </w:r>
            </w:hyperlink>
          </w:p>
        </w:tc>
        <w:tc>
          <w:tcPr>
            <w:tcW w:w="7120" w:type="dxa"/>
            <w:vAlign w:val="bottom"/>
            <w:gridSpan w:val="1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54</w:t>
              </w:r>
            </w:hyperlink>
          </w:p>
        </w:tc>
      </w:tr>
      <w:tr>
        <w:trPr>
          <w:trHeight w:val="534"/>
        </w:trPr>
        <w:tc>
          <w:tcPr>
            <w:tcW w:w="6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86"/>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8">
              <w:r>
                <w:rPr>
                  <w:rFonts w:ascii="Arial" w:cs="Arial" w:eastAsia="Arial" w:hAnsi="Arial"/>
                  <w:sz w:val="15"/>
                  <w:szCs w:val="15"/>
                  <w:color w:val="0000EE"/>
                  <w:w w:val="71"/>
                </w:rPr>
                <w:t>57</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$47,997 and $43,943, respectively)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51,638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45,393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$0 and $90,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$0 and $173, respectively)</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REIT equity securities,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for securities sold (including pledged securities of $149 and $21,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9,226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7,716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and 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56,880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agreements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Federal Home Loan Bank advances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Payable for securities purchased</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49,524</w:t>
            </w:r>
          </w:p>
        </w:tc>
        <w:tc>
          <w:tcPr>
            <w:tcW w:w="0" w:type="dxa"/>
            <w:vAlign w:val="bottom"/>
          </w:tcPr>
          <w:p>
            <w:pPr>
              <w:spacing w:after="0"/>
              <w:rPr>
                <w:sz w:val="1"/>
                <w:szCs w:val="1"/>
                <w:color w:val="auto"/>
              </w:rPr>
            </w:pP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3"/>
              </w:rPr>
              <w:t>8.000% Series A Cumulative Redeemable Preferred Stock (aggregate liquidation preference of $0 and $173,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7.750% Series B Cumulative Redeemable Preferred Stock (aggregate liquidation preference of $175)</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7.000% Series C Fixed-to-Floating Rate Cumulative Redeemable Preferred Stock (aggregate liquidation preference of $325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and $0,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w w:val="95"/>
              </w:rPr>
              <w:t>Common stock - $0.01 par value; 600 shares authorized; 391.3 and 331.0 shares issued and outstanding, respectively</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7"/>
        </w:trPr>
        <w:tc>
          <w:tcPr>
            <w:tcW w:w="834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56,880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9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2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2016</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Unrealized gain (loss) on investment securities measured at fair value through net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Management fee expense</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available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332.1</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332.1</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7.000% Series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8.000% Series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7.750% Series</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 Fixed-to-</w:t>
            </w: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30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 Cumulative</w:t>
            </w:r>
          </w:p>
        </w:tc>
        <w:tc>
          <w:tcPr>
            <w:tcW w:w="11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B Cumulative</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Cumulative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Redeemable</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Preferred Stock</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264"/>
        </w:trPr>
        <w:tc>
          <w:tcPr>
            <w:tcW w:w="21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 comprehensive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380"/>
              <w:spacing w:after="0" w:line="157" w:lineRule="exact"/>
              <w:rPr>
                <w:sz w:val="20"/>
                <w:szCs w:val="20"/>
                <w:color w:val="auto"/>
              </w:rPr>
            </w:pPr>
            <w:r>
              <w:rPr>
                <w:rFonts w:ascii="Arial" w:cs="Arial" w:eastAsia="Arial" w:hAnsi="Arial"/>
                <w:sz w:val="14"/>
                <w:szCs w:val="14"/>
                <w:color w:val="auto"/>
                <w:w w:val="97"/>
              </w:rPr>
              <w:t>Unrealized gain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7"/>
              </w:rPr>
              <w:t>Unrealized gain on derivative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instruments, net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7"/>
        </w:trPr>
        <w:tc>
          <w:tcPr>
            <w:tcW w:w="2160" w:type="dxa"/>
            <w:vAlign w:val="bottom"/>
          </w:tcPr>
          <w:p>
            <w:pPr>
              <w:ind w:left="540"/>
              <w:spacing w:after="0" w:line="157" w:lineRule="exact"/>
              <w:rPr>
                <w:sz w:val="20"/>
                <w:szCs w:val="20"/>
                <w:color w:val="auto"/>
              </w:rPr>
            </w:pPr>
            <w:r>
              <w:rPr>
                <w:rFonts w:ascii="Arial" w:cs="Arial" w:eastAsia="Arial" w:hAnsi="Arial"/>
                <w:sz w:val="14"/>
                <w:szCs w:val="14"/>
                <w:color w:val="auto"/>
              </w:rPr>
              <w:t>Repurchase of common</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54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declared</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7"/>
        </w:trPr>
        <w:tc>
          <w:tcPr>
            <w:tcW w:w="2160" w:type="dxa"/>
            <w:vAlign w:val="bottom"/>
          </w:tcPr>
          <w:p>
            <w:pPr>
              <w:ind w:left="540"/>
              <w:spacing w:after="0" w:line="157" w:lineRule="exact"/>
              <w:rPr>
                <w:sz w:val="20"/>
                <w:szCs w:val="20"/>
                <w:color w:val="auto"/>
              </w:rPr>
            </w:pPr>
            <w:r>
              <w:rPr>
                <w:rFonts w:ascii="Arial" w:cs="Arial" w:eastAsia="Arial" w:hAnsi="Arial"/>
                <w:sz w:val="14"/>
                <w:szCs w:val="14"/>
                <w:color w:val="auto"/>
              </w:rPr>
              <w:t>Common dividends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declared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264"/>
        </w:trPr>
        <w:tc>
          <w:tcPr>
            <w:tcW w:w="21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380"/>
              <w:spacing w:after="0" w:line="157" w:lineRule="exact"/>
              <w:rPr>
                <w:sz w:val="20"/>
                <w:szCs w:val="20"/>
                <w:color w:val="auto"/>
              </w:rPr>
            </w:pPr>
            <w:r>
              <w:rPr>
                <w:rFonts w:ascii="Arial" w:cs="Arial" w:eastAsia="Arial" w:hAnsi="Arial"/>
                <w:sz w:val="14"/>
                <w:szCs w:val="14"/>
                <w:color w:val="auto"/>
                <w:w w:val="97"/>
              </w:rPr>
              <w:t>Unrealized gain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4"/>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160" w:type="dxa"/>
            <w:vAlign w:val="bottom"/>
          </w:tcPr>
          <w:p>
            <w:pPr>
              <w:ind w:left="540"/>
              <w:spacing w:after="0"/>
              <w:rPr>
                <w:sz w:val="20"/>
                <w:szCs w:val="20"/>
                <w:color w:val="auto"/>
              </w:rPr>
            </w:pPr>
            <w:r>
              <w:rPr>
                <w:rFonts w:ascii="Arial" w:cs="Arial" w:eastAsia="Arial" w:hAnsi="Arial"/>
                <w:sz w:val="14"/>
                <w:szCs w:val="14"/>
                <w:color w:val="auto"/>
                <w:w w:val="94"/>
              </w:rPr>
              <w:t>Issuance of preferred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Redemption of preferred</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2160" w:type="dxa"/>
            <w:vAlign w:val="bottom"/>
          </w:tcPr>
          <w:p>
            <w:pPr>
              <w:ind w:left="540"/>
              <w:spacing w:after="0"/>
              <w:rPr>
                <w:sz w:val="20"/>
                <w:szCs w:val="20"/>
                <w:color w:val="auto"/>
              </w:rPr>
            </w:pPr>
            <w:r>
              <w:rPr>
                <w:rFonts w:ascii="Arial" w:cs="Arial" w:eastAsia="Arial" w:hAnsi="Arial"/>
                <w:sz w:val="14"/>
                <w:szCs w:val="14"/>
                <w:color w:val="auto"/>
                <w:w w:val="96"/>
              </w:rPr>
              <w:t>Issuance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declared</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2160" w:type="dxa"/>
            <w:vAlign w:val="bottom"/>
          </w:tcPr>
          <w:p>
            <w:pPr>
              <w:ind w:left="540"/>
              <w:spacing w:after="0" w:line="157" w:lineRule="exact"/>
              <w:rPr>
                <w:sz w:val="20"/>
                <w:szCs w:val="20"/>
                <w:color w:val="auto"/>
              </w:rPr>
            </w:pPr>
            <w:r>
              <w:rPr>
                <w:rFonts w:ascii="Arial" w:cs="Arial" w:eastAsia="Arial" w:hAnsi="Arial"/>
                <w:sz w:val="14"/>
                <w:szCs w:val="14"/>
                <w:color w:val="auto"/>
              </w:rPr>
              <w:t>Common dividends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declared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364"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millions)</w:t>
      </w:r>
    </w:p>
    <w:p>
      <w:pPr>
        <w:spacing w:after="0" w:line="15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Nine Months Ended September</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5"/>
          <w:szCs w:val="15"/>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5321300</wp:posOffset>
            </wp:positionH>
            <wp:positionV relativeFrom="paragraph">
              <wp:posOffset>11430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r>
      <w:tr>
        <w:trPr>
          <w:trHeight w:val="268"/>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6"/>
        </w:trPr>
        <w:tc>
          <w:tcPr>
            <w:tcW w:w="83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386</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(396)</w:t>
            </w:r>
          </w:p>
        </w:tc>
      </w:tr>
      <w:tr>
        <w:trPr>
          <w:trHeight w:val="274"/>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Amortization of premiums and discounts on mortgage-backed securities, net</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394</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of accumulated other comprehensive loss on interest rate swaps de-designated as qualifying hedges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Amortization of intangible assets</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Stock-based compensation</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(Gain) loss on sale of investment securities, net</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Unrealized gain (loss) on investment securities measured at fair value through net income, net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Loss on derivative instruments and other securities, net</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1,063</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Decrease in other assets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r>
      <w:tr>
        <w:trPr>
          <w:trHeight w:val="266"/>
        </w:trPr>
        <w:tc>
          <w:tcPr>
            <w:tcW w:w="83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Increase in accounts payable and other accrued liabilities</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w:t>
            </w:r>
          </w:p>
        </w:tc>
      </w:tr>
      <w:tr>
        <w:trPr>
          <w:trHeight w:val="254"/>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1,029</w:t>
            </w:r>
          </w:p>
        </w:tc>
      </w:tr>
      <w:tr>
        <w:trPr>
          <w:trHeight w:val="260"/>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Agency mortgage-backed securities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(17,275)</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Purchases of credit risk transfer and non-Agency securities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sale of Agency mortgage-backed securities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17,032</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Proceeds from sale of credit risk transfer and non-Agency securities</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Principal collections on Agency mortgage-backed securities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5,984</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Principal collections on credit risk transfer and non-Agency securities</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13</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Payments on U.S. Treasury securities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(2,178)</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Proceeds from U.S. Treasury securities</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11,682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5,741</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payments on reverse repurchase agreements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Net proceeds from (payments on) derivative instruments</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(892)</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REIT equity securities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Proceeds from sale of REIT equity securities</w:t>
            </w:r>
          </w:p>
        </w:tc>
        <w:tc>
          <w:tcPr>
            <w:tcW w:w="2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39</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AGNC Mortgage Management, LLC, net of cash acquired</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r>
      <w:tr>
        <w:trPr>
          <w:trHeight w:val="266"/>
        </w:trPr>
        <w:tc>
          <w:tcPr>
            <w:tcW w:w="83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(Increase) decrease in restricted cash pledged for derivative instruments</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577</w:t>
            </w:r>
          </w:p>
        </w:tc>
      </w:tr>
      <w:tr>
        <w:trPr>
          <w:trHeight w:val="254"/>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(6,394)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4,722</w:t>
            </w:r>
          </w:p>
        </w:tc>
      </w:tr>
      <w:tr>
        <w:trPr>
          <w:trHeight w:val="260"/>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repurchase arrangements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294,885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195,992</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Payments on repurchase agreements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(287,238)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(200,078)</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Federal Home Loan Bank advances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2,098</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Payments on Federal Home Loan Bank advances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(2,814)</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Payments on debt of consolidated variable interest entities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Net proceeds from preferred stock issuance</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Payment for preferred stock redemption</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Net proceeds from common stock issuances</w:t>
            </w:r>
          </w:p>
        </w:tc>
        <w:tc>
          <w:tcPr>
            <w:tcW w:w="2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1,238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Payments for common stock repurchases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266"/>
        </w:trPr>
        <w:tc>
          <w:tcPr>
            <w:tcW w:w="8380" w:type="dxa"/>
            <w:vAlign w:val="bottom"/>
          </w:tcPr>
          <w:p>
            <w:pPr>
              <w:ind w:left="380"/>
              <w:spacing w:after="0"/>
              <w:rPr>
                <w:sz w:val="20"/>
                <w:szCs w:val="20"/>
                <w:color w:val="auto"/>
              </w:rPr>
            </w:pPr>
            <w:r>
              <w:rPr>
                <w:rFonts w:ascii="Arial" w:cs="Arial" w:eastAsia="Arial" w:hAnsi="Arial"/>
                <w:sz w:val="15"/>
                <w:szCs w:val="15"/>
                <w:color w:val="auto"/>
              </w:rPr>
              <w:t>Cash dividends paid</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(612)</w:t>
            </w:r>
          </w:p>
        </w:tc>
      </w:tr>
      <w:tr>
        <w:trPr>
          <w:trHeight w:val="270"/>
        </w:trPr>
        <w:tc>
          <w:tcPr>
            <w:tcW w:w="8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Decrease in restricted cash pledged for repurchase agreements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(5,607)</w:t>
            </w:r>
          </w:p>
        </w:tc>
      </w:tr>
      <w:tr>
        <w:trPr>
          <w:trHeight w:val="254"/>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w:t>
            </w:r>
          </w:p>
        </w:tc>
      </w:tr>
      <w:tr>
        <w:trPr>
          <w:trHeight w:val="26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1,208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1,110</w:t>
            </w:r>
          </w:p>
        </w:tc>
      </w:tr>
      <w:tr>
        <w:trPr>
          <w:trHeight w:val="241"/>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1,254</w:t>
            </w: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600"/>
          </w:cols>
          <w:pgMar w:left="660" w:top="580" w:right="639" w:bottom="1151" w:gutter="0" w:footer="0" w:header="0"/>
        </w:sect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0"/>
          </w:cols>
          <w:pgMar w:left="660" w:top="580" w:right="639" w:bottom="1151"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a REIT, we are required to distribute annually 90% of our taxable income. As long as we continue to qualify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earn income primarily from investing in residential mortgage-backed securities for which the principal and interest payments are guaranteed by a U.S. Government-sponsored enterprise or a U.S. Government agency ("Agency RMBS") on a leveraged basis.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U.S. Government-sponsored enterprise or U.S. Government agency.</w:t>
      </w:r>
    </w:p>
    <w:p>
      <w:pPr>
        <w:spacing w:after="0" w:line="13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net book value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July 1, 2016, we were externally managed by AGNC Management, LLC (our "Manager"). On July 1, 2016, we completed the acquisition of all of the outstanding membership interests of AGNC Mortgage Management, LLC ("AMM"), the parent company of our Manager, from American Capital Asset Management, LLC ("ACAM"), a wholly owned portfolio company of American Capital, Ltd. ("ACAS"). AMM is also the parent company of MTGE Management, LLC, the external manager of MTGE Investment Corp. ("MTGE") (NASDAQ: MTGE). Following the closing of the acquisition of AMM, we became internally managed and are no longer affiliated with ACAS.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Agency RMBS in which we invest consist of residential mortgage pass-through securities and collateralized mortgage obligations ("CMOs") guaranteed by the Federal National Mortgage Association ("Fannie Mae"), Federal Home Loan Mortgage Corporation ("Freddie Mac") or the Government National Mortgage Association ("Ginnie Mae") (collectively referred to as "GSEs").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 party market participants, that transfer a portion of the risk associated with credit losses within pools of conventional residential mortgage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loans from the GSEs and/or third parties to private investors. Unlike Agency RMBS, full repayment of the original principal balance of CRT securities is not guaranteed by a GSE or other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are able to offset credit losses on the related loans.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Mortgage-related securities may also include investments in the common stock of other publicly traded mortgage REITs, including MTGE, which invest in Agency and non-Agency securities and/or other real estate related assets. As of September 30, 2017, our investments in REIT equity securities consisted solely of MTGE common stock.</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Accounting Standards Codification ("ASC")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such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All of our securities are reported at fair value as they have either been designated as available-for-sale or trading or we have elected the fair value option of accounting. Unrealized gains and losses on securities classified as available-for-sale are reported in accumulated other comprehensive income (loss) ("OCI"). Unrealized gains and losses on securities classified as trading or for which we elected the fair value option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Prior to fiscal year 2017, we primarily designated our investment securities as available-for-sale. On January 1, 2017, we began electing the fair value option of accounting for all investment securities acquired after fiscal year 2016. In our view, this election simplifies the accounting for investment securities and more appropriately reflects the results of our operations for a particular reporting period, as the fair value changes for these assets are presented in a manner consistent with the presentation and timing of the fair value changes of our hedging instruments. We are not permitted to change the designation of securities acquired prior to January 1, 2017; accordingly, such securities will continue to be classified as available-for-sale securities until such time as we receive full repayment of principal or we dispose of the security.</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investment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Refer to Note 8 for further discussion of fair value measurements.</w:t>
      </w:r>
    </w:p>
    <w:p>
      <w:pPr>
        <w:spacing w:after="0" w:line="11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estimate long-term prepayment speeds of our mortgage securities using a third-party service and market data. Actual and anticipated prepayment experience is reviewed quarterly and effective yields are recalculated when differences arise between (i) our previous estimate of future prepayments and (ii) the actual prepayments to date plus our current estimate of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as adjusted for credit impairment,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three or six month LIBOR plus or minus a fixed spread. The fair value of our repurchase agreements is assumed to equal cost as the interest rates are considered to be at market.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generally reset daily.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("TBA") to invest in and finance Agency securities as well as to periodically reduce our exposure to Agency RMBS.</w:t>
      </w:r>
    </w:p>
    <w:p>
      <w:pPr>
        <w:spacing w:after="0" w:line="13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major financial institutions with acceptable credit ratings, monitoring positions with individual counterparties and adjusting posted collateral as required.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was reclassified from accumulated OCI into interest expense on a straight-line basis over the remaining term of each interest rate swap through December 2016.</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interest rate swaps to hedge the variable cash flows associated with our borrowings made under repurchase agreements. Under our interest rate swap agreements, we typically pay a fixed rate and receive a floating rate based on one, three or six-month LIBOR ("payer swaps") with terms up to 20 years. Our swap agreements are privately negotiated in the over−the−counter ("OTC") market.</w:t>
      </w:r>
    </w:p>
    <w:p>
      <w:pPr>
        <w:spacing w:after="0" w:line="12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Swap agreements entered into after May 2013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"variation margin" based upon daily changes in fair value, as measured by the exchange. As a result of amendments to rules governing certain central clearing activities, which took effect January 3, 2017, the exchange of variation margin is a settlement of the interest rate swap, as opposed to pledged collateral. Accordingly, beginning in the first quarter of 2017 and in subsequent periods, we account for the receipt or payment of variation margin as a direct reduction to the carrying value of the interest rate swap asset or liability. Variation margin pledged / (received) was previously reported in restricted cash and cash equivalents / (other liabilities) in our consolidated balance sheet.</w:t>
      </w:r>
    </w:p>
    <w:p>
      <w:pPr>
        <w:spacing w:after="0" w:line="11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pay-fixed rate interest rate swap ("payer swaptions"). We may also enter into swaption agreements that provide us the option to enter into a receive-fixed interest rate swap ("receiver swaptions").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to interest income on the underlying Agency securities, less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an implied funding cost, over the forward settlement period (referred to as "dollar roll income"). Consequently, forward purchases of Agency securities and dollar roll transactions represent a form of off-balance sheet financing.</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TBA contract on the settlement date. We account for TBA dollar roll transactions as a series of derivative transactions. Gains, losses and dollar roll income associated with our TBA contracts are recognized in gain (loss) on derivative instruments and other securities, net in our consolidated statements of comprehensive income. We estimate the fair value of TBA securities based on similar methods used to value our Agency RMBS securities.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and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evaluate the existence of any pending or threatened litigation or other potential claims against the Company in accordance with ASC Topic 450,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requires that we assess the likelihood and range of potential outcomes of any such matters. We are the defendant in two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lawsuits alleging that certain of our current and former directors and officers breached fiduciary duties and wasted corporate assets in connection with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September 30, 2017, we did not accrue a loss contingency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ASU 2014-09, Revenue from Contracts with Customers (Topic 606): </w:t>
      </w:r>
      <w:r>
        <w:rPr>
          <w:rFonts w:ascii="Arial" w:cs="Arial" w:eastAsia="Arial" w:hAnsi="Arial"/>
          <w:sz w:val="16"/>
          <w:szCs w:val="16"/>
          <w:color w:val="auto"/>
        </w:rPr>
        <w:t>ASU 2014-09 is a comprehensive revenue recognition standard that supersedes</w:t>
      </w:r>
      <w:r>
        <w:rPr>
          <w:rFonts w:ascii="Arial" w:cs="Arial" w:eastAsia="Arial" w:hAnsi="Arial"/>
          <w:sz w:val="16"/>
          <w:szCs w:val="16"/>
          <w:i w:val="1"/>
          <w:iCs w:val="1"/>
          <w:color w:val="auto"/>
        </w:rPr>
        <w:t xml:space="preserve"> </w:t>
      </w:r>
      <w:r>
        <w:rPr>
          <w:rFonts w:ascii="Arial" w:cs="Arial" w:eastAsia="Arial" w:hAnsi="Arial"/>
          <w:sz w:val="16"/>
          <w:szCs w:val="16"/>
          <w:color w:val="auto"/>
        </w:rPr>
        <w:t>virtually all existing revenue guidance under U.S. GAAP. The standard’s core principle is that an entity will recognize revenue when it transfers promised goods or services to customers in an amount that reflects the consideration to which the entity expects to be entitled in exchange for those goods and services. Revenue recognition with respect to financial instruments is not within the scope of ASU 2014-09 and our review of each of our revenue streams indicates that it will not have a significant impact on our consolidated financial statements. ASU 2014-09 is effective on January 1, 2018.</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ASU 2016-18, Statement of Cash Flows (Topic 230) - Restricted Cash: </w:t>
      </w:r>
      <w:r>
        <w:rPr>
          <w:rFonts w:ascii="Arial" w:cs="Arial" w:eastAsia="Arial" w:hAnsi="Arial"/>
          <w:sz w:val="18"/>
          <w:szCs w:val="18"/>
          <w:color w:val="auto"/>
        </w:rPr>
        <w:t>ASU 2016-18 requires that a statement of cash flows explain the change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will be effective on January 1, 2018 and is not expected to have a significant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September 30, 2017 and December 31, 2016, our investment portfolio consisted of $53.1 billion and $46.5 billion of investment securities, at fair value, respectively, and $19.4 billion and $11.2 billion of TBA securities, at fair value, respectively. Our TBA position is reported at its net carrying value of $(24) million and $(147) million as of September 30, 2017 and December 31, 2016,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2017 and December 31, 2016, our investment securities had a net unamortized premium balance of $2.4 billion and $2.1 billion, respectively, including interest and principal-only securities.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September 30, 2017 and December 31, 2016, excluding TBA securities, (dollars in millions). Note 6 contains details of our TBA securities as of each of these respective dates.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December 31, 2016</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4"/>
          </w:tcPr>
          <w:p>
            <w:pPr>
              <w:jc w:val="right"/>
              <w:ind w:right="188"/>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51,275</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51,104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45,145</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44,736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52,473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52,338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46,580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53,206</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53,091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46,866</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46,499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September 30, 2017</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Agency RMBS</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Non-Agency</w:t>
            </w:r>
          </w:p>
        </w:tc>
        <w:tc>
          <w:tcPr>
            <w:tcW w:w="12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3"/>
            <w:vMerge w:val="restart"/>
          </w:tcPr>
          <w:p>
            <w:pPr>
              <w:jc w:val="right"/>
              <w:ind w:right="15"/>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240"/>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900" w:type="dxa"/>
            <w:vAlign w:val="bottom"/>
            <w:gridSpan w:val="3"/>
            <w:vMerge w:val="restart"/>
          </w:tcPr>
          <w:p>
            <w:pPr>
              <w:jc w:val="right"/>
              <w:ind w:right="257"/>
              <w:spacing w:after="0"/>
              <w:rPr>
                <w:sz w:val="20"/>
                <w:szCs w:val="20"/>
                <w:color w:val="auto"/>
              </w:rPr>
            </w:pPr>
            <w:r>
              <w:rPr>
                <w:rFonts w:ascii="Arial" w:cs="Arial" w:eastAsia="Arial" w:hAnsi="Arial"/>
                <w:sz w:val="14"/>
                <w:szCs w:val="14"/>
                <w:b w:val="1"/>
                <w:bCs w:val="1"/>
                <w:color w:val="auto"/>
              </w:rPr>
              <w:t>CRT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25,724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8,244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34,011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26,881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8,688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35,612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26,811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8,617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35,472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11,260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4,826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669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16,784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11,804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5,065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17,594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11,815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5,058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717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17,619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38,626</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13,675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37</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369"/>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717</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53,091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September 30, 2017</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86"/>
              </w:rPr>
              <w:t>2.78%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6"/>
              </w:rPr>
              <w:t>5.10%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September 30, 2017 </w:t>
            </w:r>
            <w:r>
              <w:rPr>
                <w:rFonts w:ascii="Arial" w:cs="Arial" w:eastAsia="Arial" w:hAnsi="Arial"/>
                <w:sz w:val="8"/>
                <w:szCs w:val="8"/>
                <w:color w:val="auto"/>
              </w:rPr>
              <w:t>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w w:val="86"/>
              </w:rPr>
              <w:t>2.01%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6"/>
              </w:rPr>
              <w:t>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180" w:type="dxa"/>
            <w:vAlign w:val="bottom"/>
          </w:tcPr>
          <w:p>
            <w:pPr>
              <w:ind w:left="40"/>
              <w:spacing w:after="0"/>
              <w:rPr>
                <w:sz w:val="20"/>
                <w:szCs w:val="20"/>
                <w:color w:val="auto"/>
              </w:rPr>
            </w:pPr>
            <w:r>
              <w:rPr>
                <w:rFonts w:ascii="Arial" w:cs="Arial" w:eastAsia="Arial" w:hAnsi="Arial"/>
                <w:sz w:val="14"/>
                <w:szCs w:val="14"/>
                <w:color w:val="auto"/>
              </w:rPr>
              <w:t>________________________</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spacing w:after="0"/>
        <w:tabs>
          <w:tab w:leader="none" w:pos="640" w:val="left"/>
        </w:tabs>
        <w:rPr>
          <w:sz w:val="20"/>
          <w:szCs w:val="20"/>
          <w:color w:val="auto"/>
        </w:rPr>
      </w:pPr>
      <w:r>
        <w:rPr>
          <w:rFonts w:ascii="Arial" w:cs="Arial" w:eastAsia="Arial" w:hAnsi="Arial"/>
          <w:sz w:val="14"/>
          <w:szCs w:val="14"/>
          <w:color w:val="auto"/>
        </w:rPr>
        <w:t>1.</w:t>
        <w:tab/>
        <w:t>Incorporates a weighted average future constant prepayment rate assumption of 9% based on forward rates as of September 30, 2017.</w:t>
      </w:r>
    </w:p>
    <w:p>
      <w:pPr>
        <w:sectPr>
          <w:pgSz w:w="11900" w:h="16838" w:orient="portrait"/>
          <w:cols w:equalWidth="0" w:num="1">
            <w:col w:w="11420"/>
          </w:cols>
          <w:pgMar w:left="240" w:top="580"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2" w:name="page13"/>
    <w:bookmarkEnd w:id="12"/>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34,244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44,397</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35,719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46,414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35,453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10,418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46,017</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35,732</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10,434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46,499</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2016</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51"/>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2016 </w:t>
            </w:r>
            <w:r>
              <w:rPr>
                <w:rFonts w:ascii="Arial" w:cs="Arial" w:eastAsia="Arial" w:hAnsi="Arial"/>
                <w:sz w:val="8"/>
                <w:szCs w:val="8"/>
                <w:color w:val="auto"/>
              </w:rPr>
              <w:t>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2016.</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and December 31, 2016,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September 30,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4"/>
                <w:szCs w:val="14"/>
                <w:color w:val="auto"/>
              </w:rPr>
              <w:t>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September 30, 2017, our CRT securities had floating rate coupons ranging from 3.7% to 7.6%, referenced to loans originated between 2012 and 2017 with weighted average coupons ranging from 3.6% to 4.3%. As of December 31, 2016, our CRT securities had floating rate coupons ranging from 4.6% to 7.1%, referenced to loans originated between 2015 and 2016 with weighted average coupons ranging from 4.0% to 4.2%.</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September 30, 2017 and December 31, 2016, the weighted average expected constant prepayment rate ("CPR") over the remaining life of our aggregate investment portfolio was 9% and 8%, respectively. Our estimates differ materially for different types of securities and thus individual holdings have a wide range of projected CPRs. The following table summarizes our investments as of September 30, 2017 and December 31, 2016 according to their estimated weighted average life classification (dollars in millions):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8,704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3.35%</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13,509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2.44%</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40,453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30,979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3.36%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3.27%</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53,206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September 30, 2017 and December 31, 2016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21,635</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28,397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30,116</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did not recognize any OTTI charges on our investment securities for the nine months ended September 30, 2017 and 2016.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and nine months ended September 30, 2017 and 2016 by investment classification of accounting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0"/>
              <w:spacing w:after="0" w:line="144" w:lineRule="exact"/>
              <w:rPr>
                <w:sz w:val="20"/>
                <w:szCs w:val="20"/>
                <w:color w:val="auto"/>
              </w:rPr>
            </w:pPr>
            <w:r>
              <w:rPr>
                <w:rFonts w:ascii="Arial" w:cs="Arial" w:eastAsia="Arial" w:hAnsi="Arial"/>
                <w:sz w:val="13"/>
                <w:szCs w:val="13"/>
                <w:b w:val="1"/>
                <w:bCs w:val="1"/>
                <w:color w:val="auto"/>
                <w:w w:val="87"/>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7"/>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(6,016)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(6,019)</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(6,123)</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(6,123)</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6,039</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6,041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6,184</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6,184</w:t>
            </w: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62</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w w:val="97"/>
              </w:rPr>
              <w:t>Nine Months Ended September 30,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0"/>
              <w:spacing w:after="0" w:line="144" w:lineRule="exact"/>
              <w:rPr>
                <w:sz w:val="20"/>
                <w:szCs w:val="20"/>
                <w:color w:val="auto"/>
              </w:rPr>
            </w:pPr>
            <w:r>
              <w:rPr>
                <w:rFonts w:ascii="Arial" w:cs="Arial" w:eastAsia="Arial" w:hAnsi="Arial"/>
                <w:sz w:val="13"/>
                <w:szCs w:val="13"/>
                <w:b w:val="1"/>
                <w:bCs w:val="1"/>
                <w:color w:val="auto"/>
                <w:w w:val="87"/>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7"/>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(5,738)</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(8,636)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(14,374)</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(17,146)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(17,146)</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5,649</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8,678</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14,327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17,260</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17,260</w:t>
            </w: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48</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122</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September 30, 2017 and December 31, 2016,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1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connection with our consolidated CMO trusts, we recognized Agency securities with a total fair value and approximate unpaid principal balance of $0.7 billion as of September 30, 2017 and $0.8 billion as of December 31, 2016 and debt with a total fair value and approximate unpaid principal balance of $0.4 billion as of September 30, 2017 and $0.5 billion as of December 31, 2016 in our accompanying consolidated balance sheets. We re-measure our consolidated debt at fair value through earnings in gain (loss) on derivative instruments and other securities, net in our consolidated statements of comprehensive income.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3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September 30, 2017 and December 31, 2016, the fair value of our CMO securities and interest and principal-only securities was $0.9 billion and $1.1 billion, respectively, excluding the consolidated CMO trusts discussed above, or $1.2 billion and $1.5 billion, respectively, including the net asset value of our consolidated CMO trusts. Our maximum exposure to loss related to our CMO securities and interest and principal-only securities, including our consolidated CMO trusts, was $149 million and $182 million as of September 30, 2017 and December 31, 2016,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2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pledge certain of our securities as collateral under our borrowing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2017, we had met all margin call requirements. For additional information regarding our pledged assets, please refer to Note 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2017 and December 31, 2016, we had $45.5 billion and $37.9 billion, respectively, of repurchase agreements outstanding. The terms and conditions of our repurchase agreements are typically negotiated on a transaction-by-transaction basis. Our repurchase agreements with original maturities greater than 90 days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 Treasury repo").</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borrowings under repurchase agreements by their remaining maturities as of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(dollars in millions):</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2017</w:t>
            </w:r>
          </w:p>
        </w:tc>
        <w:tc>
          <w:tcPr>
            <w:tcW w:w="12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21,943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17,481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0.90 %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851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45,505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45,505</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129</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37,858</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2017 and December 31, 2016, $1.6 billion and $150 million, respectively, of our Agency repurchase agreements matured overnight and none of our repurchase agreements were due on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2016, we had $3.0 billion of outstanding secured Federal Home Loan Bank ("FHLB") advances, with a weighted average borrowing rate of 0.73%. Our FHLB advances matured in February 2017, coinciding with the termination of our wholly-owned captive insurance subsidiary's FHLB membership in February 2017 pursuant to the Federal Housing Finance Agency's ("FHFA") final rule on FHLB membership released in January 2016. As a result, we had no outstanding secured FHLB advances as of September 30,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2017 and December 31, 2016, debt of consolidated VIEs, at fair value, was $380 million and $460 million, respectively, and had a weighted average interest rate of LIBOR plus 41 and 36 basis points, respectively, and a principal balance of $372 million and $452 million, respectively. The actual maturities of our debt of consolidated VIEs are generally shorter than the stated contractual maturities. The actual maturities are affected by the contractual lives of the underlying Agency RMBS securitizing the debt of our consolidated VIEs and periodic principal prepayments of such underlying securities. The estimated weighted average life of the debt of our consolidated VIEs as of September 30, 2017 and December 31, 2016 was 5.5 years and 5.8 years,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2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w:t>
            </w:r>
          </w:p>
        </w:tc>
        <w:tc>
          <w:tcPr>
            <w:tcW w:w="0" w:type="dxa"/>
            <w:vAlign w:val="bottom"/>
          </w:tcPr>
          <w:p>
            <w:pPr>
              <w:spacing w:after="0"/>
              <w:rPr>
                <w:sz w:val="1"/>
                <w:szCs w:val="1"/>
                <w:color w:val="auto"/>
              </w:rPr>
            </w:pPr>
          </w:p>
        </w:tc>
      </w:tr>
      <w:tr>
        <w:trPr>
          <w:trHeight w:val="244"/>
        </w:trPr>
        <w:tc>
          <w:tcPr>
            <w:tcW w:w="44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(9,119)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September 30, 2017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2016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September 30, 2017</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19,975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7,975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1.62%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7,225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2.08%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1.90%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3,475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13.8</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42,150</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1.66%</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1.31%</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37,175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1.48%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0.92%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80"/>
              <w:spacing w:after="0"/>
              <w:rPr>
                <w:sz w:val="20"/>
                <w:szCs w:val="20"/>
                <w:color w:val="auto"/>
              </w:rPr>
            </w:pPr>
            <w:r>
              <w:rPr>
                <w:rFonts w:ascii="Arial" w:cs="Arial" w:eastAsia="Arial" w:hAnsi="Arial"/>
                <w:sz w:val="18"/>
                <w:szCs w:val="18"/>
                <w:color w:val="auto"/>
                <w:w w:val="90"/>
              </w:rPr>
              <w:t>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2017 and December 31, 2016, notional amount includes forward starting swaps of $3.4 billion and $0.6 billion, respectively, with an average forward start date of 0.4 and 1.2 years, respectively, and an average maturity of 7.1 and 10.7 years, respectively.</w:t>
      </w:r>
    </w:p>
    <w:p>
      <w:pPr>
        <w:ind w:left="660" w:right="2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1.61% and 1.46% as of September 30, 2017 and December 31, 2016, respectively.</w:t>
      </w:r>
    </w:p>
    <w:p>
      <w:pPr>
        <w:sectPr>
          <w:pgSz w:w="11900" w:h="16838" w:orient="portrait"/>
          <w:cols w:equalWidth="0" w:num="1">
            <w:col w:w="11420"/>
          </w:cols>
          <w:pgMar w:left="240" w:top="746"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6"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w w:val="97"/>
              </w:rPr>
              <w:t>Underlying Payer Swap</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vMerge w:val="restart"/>
          </w:tcPr>
          <w:p>
            <w:pPr>
              <w:jc w:val="center"/>
              <w:ind w:right="53"/>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Fixed</w:t>
            </w:r>
          </w:p>
        </w:tc>
        <w:tc>
          <w:tcPr>
            <w:tcW w:w="620" w:type="dxa"/>
            <w:vAlign w:val="bottom"/>
            <w:gridSpan w:val="3"/>
          </w:tcPr>
          <w:p>
            <w:pPr>
              <w:jc w:val="center"/>
              <w:ind w:left="4"/>
              <w:spacing w:after="0" w:line="153"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6"/>
            <w:vMerge w:val="restart"/>
          </w:tcPr>
          <w:p>
            <w:pPr>
              <w:jc w:val="right"/>
              <w:ind w:right="70"/>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Receive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Months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Pay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8"/>
              </w:rPr>
              <w:t>Rate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(LIBOR)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84"/>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8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20" w:type="dxa"/>
            <w:vAlign w:val="bottom"/>
          </w:tcPr>
          <w:p>
            <w:pPr>
              <w:spacing w:after="0"/>
              <w:rPr>
                <w:sz w:val="20"/>
                <w:szCs w:val="20"/>
                <w:color w:val="auto"/>
              </w:rPr>
            </w:pPr>
          </w:p>
        </w:tc>
        <w:tc>
          <w:tcPr>
            <w:tcW w:w="1040" w:type="dxa"/>
            <w:vAlign w:val="bottom"/>
            <w:gridSpan w:val="5"/>
          </w:tcPr>
          <w:p>
            <w:pPr>
              <w:jc w:val="right"/>
              <w:ind w:right="30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460" w:type="dxa"/>
            <w:vAlign w:val="bottom"/>
            <w:gridSpan w:val="3"/>
          </w:tcPr>
          <w:p>
            <w:pPr>
              <w:jc w:val="center"/>
              <w:spacing w:after="0"/>
              <w:rPr>
                <w:sz w:val="20"/>
                <w:szCs w:val="20"/>
                <w:color w:val="auto"/>
              </w:rPr>
            </w:pPr>
            <w:r>
              <w:rPr>
                <w:rFonts w:ascii="Arial" w:cs="Arial" w:eastAsia="Arial" w:hAnsi="Arial"/>
                <w:sz w:val="16"/>
                <w:szCs w:val="16"/>
                <w:color w:val="auto"/>
                <w:w w:val="8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ind w:right="23"/>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4"/>
          </w:tcPr>
          <w:p>
            <w:pPr>
              <w:jc w:val="center"/>
              <w:ind w:right="13"/>
              <w:spacing w:after="0"/>
              <w:rPr>
                <w:sz w:val="20"/>
                <w:szCs w:val="20"/>
                <w:color w:val="auto"/>
              </w:rPr>
            </w:pPr>
            <w:r>
              <w:rPr>
                <w:rFonts w:ascii="Arial" w:cs="Arial" w:eastAsia="Arial" w:hAnsi="Arial"/>
                <w:sz w:val="16"/>
                <w:szCs w:val="16"/>
                <w:color w:val="auto"/>
                <w:w w:val="89"/>
              </w:rPr>
              <w:t>5</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2.80%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3M</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184"/>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jc w:val="center"/>
              <w:ind w:right="13"/>
              <w:spacing w:after="0"/>
              <w:rPr>
                <w:sz w:val="20"/>
                <w:szCs w:val="20"/>
                <w:color w:val="auto"/>
              </w:rPr>
            </w:pPr>
            <w:r>
              <w:rPr>
                <w:rFonts w:ascii="Arial" w:cs="Arial" w:eastAsia="Arial" w:hAnsi="Arial"/>
                <w:sz w:val="16"/>
                <w:szCs w:val="16"/>
                <w:color w:val="auto"/>
                <w:w w:val="8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4"/>
            <w:shd w:val="clear" w:color="auto" w:fill="CCEEFF"/>
          </w:tcPr>
          <w:p>
            <w:pPr>
              <w:jc w:val="center"/>
              <w:ind w:right="20"/>
              <w:spacing w:after="0"/>
              <w:rPr>
                <w:sz w:val="20"/>
                <w:szCs w:val="20"/>
                <w:color w:val="auto"/>
              </w:rPr>
            </w:pPr>
            <w:r>
              <w:rPr>
                <w:rFonts w:ascii="Arial" w:cs="Arial" w:eastAsia="Arial" w:hAnsi="Arial"/>
                <w:sz w:val="16"/>
                <w:szCs w:val="16"/>
                <w:color w:val="auto"/>
                <w:w w:val="92"/>
              </w:rPr>
              <w:t>2.72%</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3M</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84"/>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&gt; 2 year ≤ 3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4"/>
          </w:tcPr>
          <w:p>
            <w:pPr>
              <w:jc w:val="center"/>
              <w:ind w:right="13"/>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2.80%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3M</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184"/>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center"/>
              <w:ind w:right="13"/>
              <w:spacing w:after="0"/>
              <w:rPr>
                <w:sz w:val="20"/>
                <w:szCs w:val="20"/>
                <w:color w:val="auto"/>
              </w:rPr>
            </w:pPr>
            <w:r>
              <w:rPr>
                <w:rFonts w:ascii="Arial" w:cs="Arial" w:eastAsia="Arial" w:hAnsi="Arial"/>
                <w:sz w:val="16"/>
                <w:szCs w:val="16"/>
                <w:color w:val="auto"/>
                <w:w w:val="89"/>
              </w:rPr>
              <w:t>10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gridSpan w:val="4"/>
            <w:shd w:val="clear" w:color="auto" w:fill="CCEEFF"/>
          </w:tcPr>
          <w:p>
            <w:pPr>
              <w:jc w:val="center"/>
              <w:ind w:right="20"/>
              <w:spacing w:after="0"/>
              <w:rPr>
                <w:sz w:val="20"/>
                <w:szCs w:val="20"/>
                <w:color w:val="auto"/>
              </w:rPr>
            </w:pPr>
            <w:r>
              <w:rPr>
                <w:rFonts w:ascii="Arial" w:cs="Arial" w:eastAsia="Arial" w:hAnsi="Arial"/>
                <w:sz w:val="16"/>
                <w:szCs w:val="16"/>
                <w:color w:val="auto"/>
                <w:w w:val="92"/>
              </w:rPr>
              <w:t>2.79%</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3M</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84"/>
              <w:spacing w:after="0"/>
              <w:rPr>
                <w:sz w:val="20"/>
                <w:szCs w:val="20"/>
                <w:color w:val="auto"/>
              </w:rPr>
            </w:pPr>
            <w:r>
              <w:rPr>
                <w:rFonts w:ascii="Arial" w:cs="Arial" w:eastAsia="Arial" w:hAnsi="Arial"/>
                <w:sz w:val="16"/>
                <w:szCs w:val="16"/>
                <w:color w:val="auto"/>
                <w:w w:val="89"/>
              </w:rPr>
              <w:t>9.4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 1 year</w:t>
            </w: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center"/>
              <w:ind w:right="13"/>
              <w:spacing w:after="0"/>
              <w:rPr>
                <w:sz w:val="20"/>
                <w:szCs w:val="20"/>
                <w:color w:val="auto"/>
              </w:rPr>
            </w:pPr>
            <w:r>
              <w:rPr>
                <w:rFonts w:ascii="Arial" w:cs="Arial" w:eastAsia="Arial" w:hAnsi="Arial"/>
                <w:sz w:val="16"/>
                <w:szCs w:val="16"/>
                <w:color w:val="auto"/>
                <w:w w:val="89"/>
              </w:rPr>
              <w:t>6</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gridSpan w:val="4"/>
            <w:shd w:val="clear" w:color="auto" w:fill="CCEEFF"/>
          </w:tcPr>
          <w:p>
            <w:pPr>
              <w:jc w:val="center"/>
              <w:ind w:right="20"/>
              <w:spacing w:after="0"/>
              <w:rPr>
                <w:sz w:val="20"/>
                <w:szCs w:val="20"/>
                <w:color w:val="auto"/>
              </w:rPr>
            </w:pPr>
            <w:r>
              <w:rPr>
                <w:rFonts w:ascii="Arial" w:cs="Arial" w:eastAsia="Arial" w:hAnsi="Arial"/>
                <w:sz w:val="16"/>
                <w:szCs w:val="16"/>
                <w:color w:val="auto"/>
                <w:w w:val="92"/>
              </w:rPr>
              <w:t>3.06%</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3M</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84"/>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ind w:right="28"/>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rPr>
              <w:t>Face Amount Net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1"/>
              </w:rPr>
              <w:t>Cost Basis</w:t>
            </w:r>
          </w:p>
        </w:tc>
        <w:tc>
          <w:tcPr>
            <w:tcW w:w="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6"/>
          </w:tcPr>
          <w:p>
            <w:pPr>
              <w:jc w:val="center"/>
              <w:ind w:right="80"/>
              <w:spacing w:after="0" w:line="153" w:lineRule="exact"/>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8"/>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11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44"/>
              <w:spacing w:after="0" w:line="153"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Long / (Short)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6"/>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Long / (Short)</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(229)</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(404)</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4"/>
              </w:rPr>
              <w:t>(5,344)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(5,320)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5"/>
          </w:tcPr>
          <w:p>
            <w:pPr>
              <w:jc w:val="right"/>
              <w:spacing w:after="0"/>
              <w:rPr>
                <w:sz w:val="20"/>
                <w:szCs w:val="20"/>
                <w:color w:val="auto"/>
              </w:rPr>
            </w:pPr>
            <w:r>
              <w:rPr>
                <w:rFonts w:ascii="Arial" w:cs="Arial" w:eastAsia="Arial" w:hAnsi="Arial"/>
                <w:sz w:val="16"/>
                <w:szCs w:val="16"/>
                <w:color w:val="auto"/>
              </w:rPr>
              <w:t>(5,302)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6"/>
                <w:szCs w:val="16"/>
                <w:color w:val="auto"/>
              </w:rPr>
              <w:t>(3,056)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center"/>
              <w:ind w:left="24"/>
              <w:spacing w:after="0"/>
              <w:rPr>
                <w:sz w:val="20"/>
                <w:szCs w:val="20"/>
                <w:color w:val="auto"/>
              </w:rPr>
            </w:pPr>
            <w:r>
              <w:rPr>
                <w:rFonts w:ascii="Arial" w:cs="Arial" w:eastAsia="Arial" w:hAnsi="Arial"/>
                <w:sz w:val="16"/>
                <w:szCs w:val="16"/>
                <w:color w:val="auto"/>
                <w:w w:val="94"/>
              </w:rPr>
              <w:t>(3,041)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(3,680)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4"/>
              </w:rPr>
              <w:t>(3,638)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(4,416)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center"/>
              <w:ind w:left="24"/>
              <w:spacing w:after="0"/>
              <w:rPr>
                <w:sz w:val="20"/>
                <w:szCs w:val="20"/>
                <w:color w:val="auto"/>
              </w:rPr>
            </w:pPr>
            <w:r>
              <w:rPr>
                <w:rFonts w:ascii="Arial" w:cs="Arial" w:eastAsia="Arial" w:hAnsi="Arial"/>
                <w:sz w:val="16"/>
                <w:szCs w:val="16"/>
                <w:color w:val="auto"/>
                <w:w w:val="94"/>
              </w:rPr>
              <w:t>(4,236)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(9,254)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center"/>
              <w:ind w:right="83"/>
              <w:spacing w:after="0"/>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w w:val="94"/>
              </w:rPr>
              <w:t>(9,187)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color w:val="auto"/>
              </w:rPr>
              <w:t>(9,119)</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5"/>
          </w:tcPr>
          <w:p>
            <w:pPr>
              <w:jc w:val="right"/>
              <w:ind w:right="60"/>
              <w:spacing w:after="0"/>
              <w:rPr>
                <w:sz w:val="20"/>
                <w:szCs w:val="20"/>
                <w:color w:val="auto"/>
              </w:rPr>
            </w:pPr>
            <w:r>
              <w:rPr>
                <w:rFonts w:ascii="Arial" w:cs="Arial" w:eastAsia="Arial" w:hAnsi="Arial"/>
                <w:sz w:val="16"/>
                <w:szCs w:val="16"/>
                <w:color w:val="auto"/>
              </w:rPr>
              <w:t>(7,872)</w:t>
            </w: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gridSpan w:val="3"/>
          </w:tcPr>
          <w:p>
            <w:pPr>
              <w:jc w:val="center"/>
              <w:ind w:left="24"/>
              <w:spacing w:after="0"/>
              <w:rPr>
                <w:sz w:val="20"/>
                <w:szCs w:val="20"/>
                <w:color w:val="auto"/>
              </w:rPr>
            </w:pPr>
            <w:r>
              <w:rPr>
                <w:rFonts w:ascii="Arial" w:cs="Arial" w:eastAsia="Arial" w:hAnsi="Arial"/>
                <w:sz w:val="16"/>
                <w:szCs w:val="16"/>
                <w:color w:val="auto"/>
                <w:w w:val="94"/>
              </w:rPr>
              <w:t>(7,681)</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11"/>
          </w:tcPr>
          <w:p>
            <w:pPr>
              <w:jc w:val="right"/>
              <w:ind w:right="348"/>
              <w:spacing w:after="0"/>
              <w:rPr>
                <w:sz w:val="20"/>
                <w:szCs w:val="20"/>
                <w:color w:val="auto"/>
              </w:rPr>
            </w:pPr>
            <w:r>
              <w:rPr>
                <w:rFonts w:ascii="Arial" w:cs="Arial" w:eastAsia="Arial" w:hAnsi="Arial"/>
                <w:sz w:val="14"/>
                <w:szCs w:val="14"/>
                <w:b w:val="1"/>
                <w:bCs w:val="1"/>
                <w:color w:val="auto"/>
              </w:rPr>
              <w:t>September 30, 2017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8"/>
          </w:tcPr>
          <w:p>
            <w:pPr>
              <w:ind w:left="80"/>
              <w:spacing w:after="0"/>
              <w:rPr>
                <w:sz w:val="20"/>
                <w:szCs w:val="20"/>
                <w:color w:val="auto"/>
              </w:rPr>
            </w:pPr>
            <w:r>
              <w:rPr>
                <w:rFonts w:ascii="Arial" w:cs="Arial" w:eastAsia="Arial" w:hAnsi="Arial"/>
                <w:sz w:val="14"/>
                <w:szCs w:val="14"/>
                <w:b w:val="1"/>
                <w:bCs w:val="1"/>
                <w:color w:val="auto"/>
                <w:w w:val="96"/>
              </w:rPr>
              <w:t>December 31,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308"/>
              <w:spacing w:after="0" w:line="144" w:lineRule="exact"/>
              <w:rPr>
                <w:sz w:val="20"/>
                <w:szCs w:val="20"/>
                <w:color w:val="auto"/>
              </w:rPr>
            </w:pPr>
            <w:r>
              <w:rPr>
                <w:rFonts w:ascii="Arial" w:cs="Arial" w:eastAsia="Arial" w:hAnsi="Arial"/>
                <w:sz w:val="13"/>
                <w:szCs w:val="13"/>
                <w:b w:val="1"/>
                <w:bCs w:val="1"/>
                <w:color w:val="auto"/>
              </w:rPr>
              <w:t>Notional</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center"/>
              <w:ind w:right="128"/>
              <w:spacing w:after="0" w:line="144" w:lineRule="exact"/>
              <w:rPr>
                <w:sz w:val="20"/>
                <w:szCs w:val="20"/>
                <w:color w:val="auto"/>
              </w:rPr>
            </w:pPr>
            <w:r>
              <w:rPr>
                <w:rFonts w:ascii="Arial" w:cs="Arial" w:eastAsia="Arial" w:hAnsi="Arial"/>
                <w:sz w:val="13"/>
                <w:szCs w:val="13"/>
                <w:b w:val="1"/>
                <w:bCs w:val="1"/>
                <w:color w:val="auto"/>
                <w:w w:val="88"/>
              </w:rPr>
              <w:t>Notional</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tcPr>
          <w:p>
            <w:pPr>
              <w:jc w:val="right"/>
              <w:ind w:right="108"/>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12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2"/>
              </w:rPr>
              <w:t>Cost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4"/>
          </w:tcPr>
          <w:p>
            <w:pPr>
              <w:jc w:val="right"/>
              <w:ind w:right="108"/>
              <w:spacing w:after="0" w:line="135"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6"/>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jc w:val="center"/>
              <w:ind w:right="48"/>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5"/>
          </w:tcPr>
          <w:p>
            <w:pPr>
              <w:ind w:left="160"/>
              <w:spacing w:after="0" w:line="135" w:lineRule="exact"/>
              <w:rPr>
                <w:sz w:val="20"/>
                <w:szCs w:val="20"/>
                <w:color w:val="auto"/>
              </w:rPr>
            </w:pPr>
            <w:r>
              <w:rPr>
                <w:rFonts w:ascii="Arial" w:cs="Arial" w:eastAsia="Arial" w:hAnsi="Arial"/>
                <w:sz w:val="13"/>
                <w:szCs w:val="13"/>
                <w:b w:val="1"/>
                <w:bCs w:val="1"/>
                <w:color w:val="auto"/>
              </w:rPr>
              <w:t>Market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4"/>
              </w:rPr>
              <w:t xml:space="preserve">Basis </w:t>
            </w:r>
            <w:r>
              <w:rPr>
                <w:rFonts w:ascii="Arial" w:cs="Arial" w:eastAsia="Arial" w:hAnsi="Arial"/>
                <w:sz w:val="8"/>
                <w:szCs w:val="8"/>
                <w:b w:val="1"/>
                <w:bCs w:val="1"/>
                <w:color w:val="auto"/>
                <w:w w:val="84"/>
              </w:rPr>
              <w:t>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3</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5"/>
            <w:shd w:val="clear" w:color="auto" w:fill="CCEEFF"/>
          </w:tcPr>
          <w:p>
            <w:pPr>
              <w:jc w:val="right"/>
              <w:ind w:right="8"/>
              <w:spacing w:after="0"/>
              <w:rPr>
                <w:sz w:val="20"/>
                <w:szCs w:val="20"/>
                <w:color w:val="auto"/>
              </w:rPr>
            </w:pPr>
            <w:r>
              <w:rPr>
                <w:rFonts w:ascii="Arial" w:cs="Arial" w:eastAsia="Arial" w:hAnsi="Arial"/>
                <w:sz w:val="14"/>
                <w:szCs w:val="14"/>
                <w:color w:val="auto"/>
              </w:rPr>
              <w:t>(730)</w:t>
            </w:r>
          </w:p>
        </w:tc>
        <w:tc>
          <w:tcPr>
            <w:tcW w:w="52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720" w:type="dxa"/>
            <w:vAlign w:val="bottom"/>
            <w:gridSpan w:val="4"/>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3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1"/>
              </w:rPr>
              <w:t>(859)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color w:val="auto"/>
              </w:rPr>
              <w:t>(2,180)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(2,755)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(2,731)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(1,080)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(1,347)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color w:val="auto"/>
              </w:rPr>
              <w:t>(1,342)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5"/>
            <w:shd w:val="clear" w:color="auto" w:fill="CCEEFF"/>
          </w:tcPr>
          <w:p>
            <w:pPr>
              <w:jc w:val="right"/>
              <w:ind w:right="8"/>
              <w:spacing w:after="0"/>
              <w:rPr>
                <w:sz w:val="20"/>
                <w:szCs w:val="20"/>
                <w:color w:val="auto"/>
              </w:rPr>
            </w:pPr>
            <w:r>
              <w:rPr>
                <w:rFonts w:ascii="Arial" w:cs="Arial" w:eastAsia="Arial" w:hAnsi="Arial"/>
                <w:sz w:val="14"/>
                <w:szCs w:val="14"/>
                <w:color w:val="auto"/>
              </w:rPr>
              <w:t>(2,910)</w:t>
            </w:r>
          </w:p>
        </w:tc>
        <w:tc>
          <w:tcPr>
            <w:tcW w:w="52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4"/>
              </w:rPr>
              <w:t>(3,618)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720" w:type="dxa"/>
            <w:vAlign w:val="bottom"/>
            <w:gridSpan w:val="4"/>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(1,810)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(2,201)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paid/(received) for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U.S. Treasury futures as of period-end.</w:t>
      </w:r>
    </w:p>
    <w:p>
      <w:pPr>
        <w:spacing w:after="0" w:line="1" w:lineRule="exact"/>
        <w:rPr>
          <w:rFonts w:ascii="Arial" w:cs="Arial" w:eastAsia="Arial" w:hAnsi="Arial"/>
          <w:sz w:val="14"/>
          <w:szCs w:val="14"/>
          <w:color w:val="auto"/>
        </w:rPr>
      </w:pPr>
    </w:p>
    <w:p>
      <w:pPr>
        <w:ind w:left="660" w:right="2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value and the cost basis of the U.S. Treasury futures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2300" w:type="dxa"/>
            <w:vAlign w:val="bottom"/>
            <w:tcBorders>
              <w:bottom w:val="single" w:sz="8" w:color="CCEEFF"/>
            </w:tcBorders>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4,458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4,556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4,546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2,160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2,172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4,511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4,630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4,646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2300" w:type="dxa"/>
            <w:vAlign w:val="bottom"/>
            <w:tcBorders>
              <w:bottom w:val="single" w:sz="8" w:color="CCEEFF"/>
            </w:tcBorders>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14,420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14,877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14,863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8,756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9,124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8,993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18,878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19,433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19,409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10,916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11,312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11,165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1"/>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Fannie Mae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17,170</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17,684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17,661</w:t>
            </w:r>
          </w:p>
        </w:tc>
        <w:tc>
          <w:tcPr>
            <w:tcW w:w="12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9,881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10,251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10,118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Freddie Mac</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Ginnie Mae</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nine months ended September 30, 2017 and 2016 (in millions):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Additions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440" w:type="dxa"/>
            <w:vAlign w:val="bottom"/>
            <w:gridSpan w:val="2"/>
            <w:vMerge w:val="continue"/>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Notional Amount</w:t>
            </w: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91"/>
        </w:trPr>
        <w:tc>
          <w:tcPr>
            <w:tcW w:w="4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September 30, 2017:</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16,867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(7,358)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(5,105)</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43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September 30, 2016: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37,881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35,125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(1,960)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1,960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10,916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185,205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(177,243)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18,878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43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Nine months ended September 30, 2016: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(12,325)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(5,329)</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(5,880)</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5,780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______________________</w:t>
      </w:r>
    </w:p>
    <w:p>
      <w:pPr>
        <w:spacing w:after="0" w:line="22" w:lineRule="exact"/>
        <w:rPr>
          <w:sz w:val="20"/>
          <w:szCs w:val="20"/>
          <w:color w:val="auto"/>
        </w:rPr>
      </w:pPr>
    </w:p>
    <w:p>
      <w:pPr>
        <w:ind w:left="660" w:right="20" w:hanging="328"/>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above exclude other miscellaneous gains and losses recognized in gain (loss) on derivative instruments and other securities, net in our consolidated statements of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0" w:right="239" w:bottom="1440" w:gutter="0" w:footer="0" w:header="0"/>
          <w:type w:val="continuous"/>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International Swaps and Derivatives Association ("ISDA") Master Agreements contain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September 30, 2017, the fair value of additional collateral that could be required to be posted as a result of the credit-risk-related contingent features being triggered was not material to our financial statements.</w:t>
      </w:r>
    </w:p>
    <w:p>
      <w:pPr>
        <w:spacing w:after="0" w:line="11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September 30, 2017, our amount at risk with any counterparty related to our repurchase agreements was less than 5% of our stockholders' equity. As of December 31, 2016, our maximum amount at risk with any counterparty related to our repurchase agreements was 5.5%, of our stockholders' equity and our maximum amount at risk with any counterparty related to our interest rate swap and swaption agreements, excluding centrally cleared swaps, was less than 1% of our stockholders' equity. The following table summarizes certain characteristics of our repurchase agreements outstanding with counterparties representing amounts at risk greater than or equal to 5% of our stockholders' equity as of December 31, 2016 (dollars in millions).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 of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Net Counterparty</w:t>
            </w:r>
          </w:p>
        </w:tc>
        <w:tc>
          <w:tcPr>
            <w:tcW w:w="13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 to</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Exposure </w:t>
            </w:r>
            <w:r>
              <w:rPr>
                <w:rFonts w:ascii="Arial" w:cs="Arial" w:eastAsia="Arial" w:hAnsi="Arial"/>
                <w:sz w:val="8"/>
                <w:szCs w:val="8"/>
                <w:b w:val="1"/>
                <w:bCs w:val="1"/>
                <w:color w:val="auto"/>
                <w:w w:val="88"/>
              </w:rPr>
              <w: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4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J.P. Morgan Securities, LLC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-93980</wp:posOffset>
            </wp:positionV>
            <wp:extent cx="307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September 30, 2017 and December 31, 2016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September 30, 2017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47,462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49,036</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47,741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49,644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43,005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44,963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Non-Agency RMBS - fair value</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43,450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$190 million and $181 million of retained interests in our consolidated VIEs pledged as collateral under repurchase agreements as of September 30, 2017 and December 31, 2016, respectively.</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 and other clearing deposits.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securities received as collateral from counterparties that were repledged as collateral to counterparties.</w:t>
      </w:r>
    </w:p>
    <w:p>
      <w:pPr>
        <w:spacing w:after="0" w:line="15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2016, we held $126 million of membership and activity-based stock in the FHLB of Des Moines, which was redeemed in February 2017 with the termination of our captive insurance subsidiary's FHLB membership such that we held no such stock as of September 30, 2017. FHLB stock is reported at cost, which equals par value, in other assets on our accompanying consolidated balance sheets.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and FHLB advances by the remaining maturity of our borrowings, including securities pledged related to sold but not yet settled securities, as of September 30, 2017 and December 31, 2016 (in millions). For the corresponding borrowings associated with the following amounts and the interest rates thereon, refer to Note 5</w:t>
      </w:r>
      <w:r>
        <w:rPr>
          <w:rFonts w:ascii="Arial" w:cs="Arial" w:eastAsia="Arial" w:hAnsi="Arial"/>
          <w:sz w:val="17"/>
          <w:szCs w:val="17"/>
          <w:i w:val="1"/>
          <w:iCs w:val="1"/>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0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RMBS:</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22,638</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22,674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19,681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19,863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7,038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7,047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47,462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47,577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43,096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43,471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1 day ≤ 30 days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47,577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43,644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right="320" w:hanging="328"/>
        <w:spacing w:after="0" w:line="250"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$190 million and $181 million of retained interests in our consolidated VIEs pledged as collateral under repurchase agreements as of September 30, 2017 and December 31, 2016, respectively.</w:t>
      </w:r>
    </w:p>
    <w:p>
      <w:pPr>
        <w:ind w:left="660" w:right="58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September 30, 2017 amounts exclude $102 million of U.S. Treasury securities received as collateral from counterparties that were repledged as collateral to counterparties under repurchase agreements.</w:t>
      </w:r>
    </w:p>
    <w:p>
      <w:pPr>
        <w:spacing w:after="0" w:line="1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2017 and December 31, 2016, we had assets pledged to us from counterparties as collateral under our reverse repurchase,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9,128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31"/>
        </w:trPr>
        <w:tc>
          <w:tcPr>
            <w:tcW w:w="242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9,128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9,167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7,757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2017 and December 31, 2016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8,062</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45,567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41,151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8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information regarding valuation of our derivative instruments, please refer to the discussion of derivative and other hedging instruments in Note 3.</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review third party fair value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third party pricing sources, we will exclude third party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 party source as to the significant inputs used to determine the price.</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valuation hierarchy levels during the three and nine months ended September 30, 2017. The three levels of valuation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6"/>
          <w:szCs w:val="16"/>
          <w:color w:val="auto"/>
        </w:rPr>
        <w:t>The following table provides a summary of our assets and liabilities that are measured at fair value on a recurring basis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51,638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45,393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53,245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46,846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9,119</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7,636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difference between the fair value of the RMBS transferred to consolidated VIEs and the fair value of our retained interests, each of which is based on valuations obtained from third-party pricing services and non-binding dealer quotes derived from common market pricing methods using "Level 2" inputs, and are more observable than using inputs to estimate the fair value of the consolidated debt on a stand-alone basis.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Common Share</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net income (loss) per common share includes no dilution and is computed by dividing net income or (loss) applicable to common stock by the weighted-average number of common shares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income (loss) per common share for the periods indicated (shares and dollars in millions):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25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332.1</w:t>
            </w: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Unvested restricted stock units and performance share units</w:t>
            </w: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w:t>
            </w: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available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r>
      <w:tr>
        <w:trPr>
          <w:trHeight w:val="21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per common share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Pursuant to our amended and restated certificate of incorporation, we are authorized to designate and issue up to 10.0 million shares of preferred stock in one or more classes or series. As of September 30, 2017, 6.9 million shares were designated as 8.000% Series A Cumulative Redeemable Preferred Stock ("Series A Preferred Stock"), 8,050 shares were designated as 7.750% Series B Cumulative Redeemable Preferred Stock ("Series B Preferred Stock") and 13,800 shares were designated as 7.00% Series C Fixed-to-Floating Rate Cumulative Redeemable Preferred Stock ("Series C Preferred Stock"). The Series B Preferred Stock is represented by Series B depositary shares of 1/1000 interest in a share of Series B Preferred Stock, and the Series C Preferred Stock is represented by Series C depositary shares of 1/1000 interest in a share of Series C Preferred Stock. As of December 31, 2016, we had 6.9 million shares of Series A Preferred Stock and 7,000 shares of Series B Preferred Stock (representing 7.0 million depositary shares) outstanding. In August 2017, we issued 13,000 shares of Series C Preferred Stock in a public offering of 13.0 million Series C depositary shares at a price of $25 per depositary share for net proceeds of $315 million, after deducting underwriting discounts and estimated offering expenses. In September 2017, we redeemed all of our issued and outstanding shares of Series A Preferred Stock for $173 million (or $25 per share liquidation preference), plus accrued and unpaid dividends, and, in October of 2017, we filed a Certificate of Elimination of our Series A Preferred Stock with the Secretary of State of the State of Delaware, which eliminated the designation of Series A Preferred Stock from our amended and restated certificate of incorporation. As of September 30, 2017, we had 7,000 shares of Series B Preferred Stock (represented by 7.0 million Series B depositary shares) and 13,000 shares of Series C Preferred Stock (represented by 13.0 million Series C depositary shares) outstanding and 9,980,000 of authorized but unissued shares of preferred stock.</w:t>
      </w:r>
    </w:p>
    <w:p>
      <w:pPr>
        <w:spacing w:after="0" w:line="1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Prior to the September 2017 redemption, holders of Series A Preferred Stock were entitled to receive cumulative cash dividends at a rate of 8.000% per annum of their $25.00 per share liquidation preference. Holders of depository shares underlying our Series B Preferred Stock are entitled to receive cumulative cash dividends at a rate of 7.750% per annum of their $25.00 per depositary share liquidation preference.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$25.00 per depositary share liquidation preference. Dividends are payable quarterly in arrears on the 15th day of each January, April, July and October. As of September 30, 2017, we had declared all required quarterly dividends on our preferred stock.</w:t>
      </w:r>
    </w:p>
    <w:p>
      <w:pPr>
        <w:spacing w:after="0" w:line="1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May 8, 2019 and October 15, 2022, depository shares underlying our Series B and C Preferred Stock, respectively, will be redeemable at $25.00 per depositary share, plus accumulated and unpaid dividends (whether or not declared) exclusively at our option. We may redeem shares of our preferred stock prior to our optional redemption date under certain circumstances intended to preserve our qualification as a REIT for federal income tax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September 2017, we completed a public offering in which 28.2 million shares of our common stock were sold to the underwriters for proceeds of $577 million, or $20.47 per common share, net of estimated offering costs. In May 2017, we completed a public offering in which 24.5 million shares of our common stock were sold to the underwriters for proceeds of $503 million, or $20.51 per common share, net of offering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8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February 2017, we entered into agreements with sales agents to publicly offer and sell shares of our common stock in privately negotiated and/or at-the-market transactions from time-to-time up to an aggregate amount of $750 million of shares of our common stock. During the three and nine months ended September 30, 2017, we sold 7.6 million shares of our common stock under the sales agreements for proceeds of $159 million, or $20.96 per common share, net of estimated offering costs. As of September 30, 2017, $589 million of shares of our common stock remain available for issuance under this program.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October 2012, our Board of Directors adopted a program that provided for stock repurchases, which, as amended, authorized repurchases of our common stock up to $2 billion through December 31, 2016. In October 2016, our Board of Directors terminated the existing stock repurchase program and replaced it with a new stock repurchase authorization. Under the new stock repurchase program we are authorized to repurchase up to $1 billion of our outstanding shares of common stock through December 31, 2017.</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nine months ended September 30, 2016, we repurchased 6.5 million shares of our common stock at an average repurchase price of $17.89, including expenses, totaling $116 million. We did not repurchase shares of our common stock during the nine months ended September 30, 2017. As of September 30, 2017, the total remaining amount authorized for repurchases of our common stock was $1 billion.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2017 and 2016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June 30, 2016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December 31, 2015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ind w:right="600" w:firstLine="432"/>
        <w:spacing w:after="0" w:line="277" w:lineRule="auto"/>
        <w:rPr>
          <w:sz w:val="20"/>
          <w:szCs w:val="20"/>
          <w:color w:val="auto"/>
        </w:rPr>
      </w:pPr>
      <w:r>
        <w:rPr>
          <w:rFonts w:ascii="Arial" w:cs="Arial" w:eastAsia="Arial" w:hAnsi="Arial"/>
          <w:sz w:val="18"/>
          <w:szCs w:val="18"/>
          <w:color w:val="auto"/>
        </w:rPr>
        <w:t>The following table summarizes reclassifications out of accumulated OCI for the three and nine months ended September 30, 2017 and 2016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center"/>
              <w:ind w:right="121"/>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(Gain) loss amounts reclassified from accumulated OCI for available-for-sale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 upon realization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Realized gain (loss) on sale of investment securities, net</w:t>
            </w:r>
          </w:p>
        </w:tc>
        <w:tc>
          <w:tcPr>
            <w:tcW w:w="0" w:type="dxa"/>
            <w:vAlign w:val="bottom"/>
          </w:tcPr>
          <w:p>
            <w:pPr>
              <w:spacing w:after="0"/>
              <w:rPr>
                <w:sz w:val="1"/>
                <w:szCs w:val="1"/>
                <w:color w:val="auto"/>
              </w:rPr>
            </w:pPr>
          </w:p>
        </w:tc>
      </w:tr>
      <w:tr>
        <w:trPr>
          <w:trHeight w:val="220"/>
        </w:trPr>
        <w:tc>
          <w:tcPr>
            <w:tcW w:w="5380" w:type="dxa"/>
            <w:vAlign w:val="bottom"/>
            <w:gridSpan w:val="2"/>
          </w:tcPr>
          <w:p>
            <w:pPr>
              <w:ind w:left="40"/>
              <w:spacing w:after="0"/>
              <w:rPr>
                <w:sz w:val="20"/>
                <w:szCs w:val="20"/>
                <w:color w:val="auto"/>
              </w:rPr>
            </w:pPr>
            <w:r>
              <w:rPr>
                <w:rFonts w:ascii="Arial" w:cs="Arial" w:eastAsia="Arial" w:hAnsi="Arial"/>
                <w:sz w:val="16"/>
                <w:szCs w:val="16"/>
                <w:color w:val="auto"/>
                <w:w w:val="96"/>
              </w:rPr>
              <w:t>Periodic interest costs of interest rate swaps previously designated as hedges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under GAAP, net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4"/>
          </w:tcPr>
          <w:p>
            <w:pPr>
              <w:jc w:val="center"/>
              <w:ind w:right="101"/>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24"/>
                <w:szCs w:val="24"/>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center"/>
              <w:ind w:right="121"/>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(Gain) loss amounts reclassified from accumulated OCI for available-for-sale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 upon realization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Realized gain (loss) on sale of investment securities, net</w:t>
            </w:r>
          </w:p>
        </w:tc>
        <w:tc>
          <w:tcPr>
            <w:tcW w:w="0" w:type="dxa"/>
            <w:vAlign w:val="bottom"/>
          </w:tcPr>
          <w:p>
            <w:pPr>
              <w:spacing w:after="0"/>
              <w:rPr>
                <w:sz w:val="1"/>
                <w:szCs w:val="1"/>
                <w:color w:val="auto"/>
              </w:rPr>
            </w:pPr>
          </w:p>
        </w:tc>
      </w:tr>
      <w:tr>
        <w:trPr>
          <w:trHeight w:val="220"/>
        </w:trPr>
        <w:tc>
          <w:tcPr>
            <w:tcW w:w="5380" w:type="dxa"/>
            <w:vAlign w:val="bottom"/>
            <w:gridSpan w:val="2"/>
          </w:tcPr>
          <w:p>
            <w:pPr>
              <w:ind w:left="40"/>
              <w:spacing w:after="0"/>
              <w:rPr>
                <w:sz w:val="20"/>
                <w:szCs w:val="20"/>
                <w:color w:val="auto"/>
              </w:rPr>
            </w:pPr>
            <w:r>
              <w:rPr>
                <w:rFonts w:ascii="Arial" w:cs="Arial" w:eastAsia="Arial" w:hAnsi="Arial"/>
                <w:sz w:val="16"/>
                <w:szCs w:val="16"/>
                <w:color w:val="auto"/>
                <w:w w:val="96"/>
              </w:rPr>
              <w:t>Periodic interest costs of interest rate swaps previously designated as hedges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under GAAP, net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12, 2017, our Board of Directors declared a monthly dividend of $0.18 per common share, payable on November 9, 2017 to common stockholders of record as of October 31, 2017.</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2017.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AGNC Investment Corp. ("AGNC," the "Company," "we," "us" and "our") is an internally managed Real Estate Investment Trust ("REIT") that was organized on January 7, 2008 and commenced operations on May 20, 2008 following the completion of our initial public offering. Our common stock is traded on The NASDAQ Global Select Market ("NASDAQ") under the symbol "AGNC."</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REIT under the Internal Revenue Code of 1986, as amended (the "Internal Revenue Code"). As such, we are required to distribute annually 90% of our taxable income. As long as we qualify as a REIT, we will generally not be subject to U.S. federal or state corporate taxes on our taxable income to the extent that we distribute all of our taxable income to our stockholders in a timely manner.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earn income primarily from investing in Agency residential mortgage-backed securities ("Agency RMBS")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net book value (also referred to as "net asset value" or "NAV")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 ("repo").</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July 1, 2016, we were externally managed by AGNC Management, LLC (our "Manager"). On July 1, 2016, we completed the acquisition of all of the outstanding membership interests of AGNC Mortgage Management, LLC ("AMM"), the parent company of our Manager, from American Capital Asset Management, LLC, a wholly owned portfolio company of American Capital, Ltd. ("ACAS"). AMM is also the parent company of MTGE Management, LLC, the external manager of MTGE Investment Corp. ("MTGE") (NASDAQ: MTGE). Following the closing of the acquisition of AMM, we became internally managed and are no longer affiliated with ACAS.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designed to:</w:t>
      </w:r>
    </w:p>
    <w:p>
      <w:pPr>
        <w:spacing w:after="0" w:line="117" w:lineRule="exact"/>
        <w:rPr>
          <w:sz w:val="20"/>
          <w:szCs w:val="20"/>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generate attractive risk-adjusted returns for our stockholders comprised of monthly dividend distributions and NAV accretion;</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a subset of the portfolio in mortgage credit risk oriented assets;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non-Agency securities market;</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financing, interest rate, prepayment, extension and credit risks;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(the "Investment Company Act").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size and composition of our investment portfolio depends on investment strategies we implement, the availability of investment capital and overall market conditions, including the availability of attractively priced investments and suitable financing to appropriately leverage our investment portfolio. Market conditions are influenced by, among other things, current levels and expectations for future levels of interest rates, mortgage prepayments, market liquidity, housing prices, unemployment rates, general economic conditions, government participation in the mortgage market and evolving regulations that impact mortgage related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use a variety of strategies to reduce our exposure to market risks, including interest rate, prepayment, extension, liquidity and credit risks. Our investment strategies incorporate our assessment of these risks, the cost of the hedging transactions and our intention to qualify as a REIT. Our hedging strategies are generally not designed to protect our net asset value from "spread risk" (also referred to as "basis risk"), which is the risk that the yield differential between our investments and our hedges fluctuates. In addition, while we use interest rate swaps and other supplemental hedges to attempt to protect our net asset value against moves in interest rates, we may not hedge certain interest rate, prepayment, extension or other market risks if we believe that bearing such risks enhances our return profile, or if the hedging transaction would negatively impact our REIT status.</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also be no certainty that our projections of our exposures to interest rates, prepayment, extension or other risks will be accurate or that our hedging activities will be effective and, therefore, actual results could differ materially. Furthermore, since our hedging strategies are generally not designed to protect our net book value from spread risk, wider spreads between the market yield on our investment securities and benchmark interests underlying our interest rate hedges will typically cause our net book value to decline and can occur independent of changes in benchmark interest rates. For further discussion of our market risks and risk management strategy, please refer to "Quantitative and Qualitative Disclosures about Market Risk" under Item 3 of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fixed income markets were relatively stable throughout the first three quarters of 2017 as interest rate volatility remained extremely low. In this environment, investors continued to favor higher risk assets, as evidenced by the strong performance of U.S. equities and the tightening in spreads associated with a wide range of credit-sensitive fixed income assets. In contrast, the spread between Agency RMBS and other hedge instruments such as U.S. Treasuries and swaps widened throughout much of the period until the Federal Reserve (the "Fed") announced on September 20, 2017 that, commencing in October 2017, it will begin to taper its reinvestment of proceeds from its bond portfolio. Following the Fed's announcement, Agency RMBS spreads tightened meaningfully, outperforming interest rate hedges, benefiting our net asset value and confirming our thesis that the Agency RMBS market had already priced in much of the reduced Fed support.</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strong performance of Agency RMBS, combined with the accretive impact of common equity raises, increased our tangible net book value to $19.78 per common share as of September 30, 2017, from $19.25 per common share as of June 30, 2017, an increase of 2.8% for the quarter. Year-to-date, through September 30, 2017, our tangible net book value improved 1.4%, from $19.50 per common share as of December 31, 2016. Including $1.62 of dividends paid per common share, the economic return on our tangible common equity was 9.7% for the first three quarters of the year.</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yield curve flattened during the first three quarters of 2017, as the Fed continued to gradually increase short term interest rates by raising the federal funds rate by 50 basis points. Over the same period, the 10-year yield on the U.S. Treasury declined by 10 basis points, causing the yield curve to flatten and contributing to a modest compression of our net interest margin. Inclusive of our TBA position and excluding "catch-up" premium amortization cost due to changes in our constant prepayment rate forecasts, the net interest margin between our assets and our cost of funds decreased to 1.41% during the third quarter of 2017, from 1.45% during the fourth quarter of 2016.</w:t>
      </w:r>
    </w:p>
    <w:p>
      <w:pPr>
        <w:spacing w:after="0" w:line="134"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The funding landscape for Agency RMBS has remained favorable throughout the year in terms of relative interest rate levels and funding capacity. Our aggregate cost-of-funds, which includes the implied funding cost on our TBA position and the cost on our interest rate swaps, increased 31 basis points to 1.46% as of September 30, 2017, from 1.15% as of December 31, 2016. The average rate on our repurchase agreements increased 38 basis points to 1.36% as of September 30, 2017, from 0.98% as of December 31, 2016, while implied funding costs in the TBA dollar roll market remained favorable at 15 to 25 basis points below comparable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2" w:lineRule="auto"/>
        <w:rPr>
          <w:sz w:val="20"/>
          <w:szCs w:val="20"/>
          <w:color w:val="auto"/>
        </w:rPr>
      </w:pPr>
      <w:r>
        <w:rPr>
          <w:rFonts w:ascii="Arial" w:cs="Arial" w:eastAsia="Arial" w:hAnsi="Arial"/>
          <w:sz w:val="17"/>
          <w:szCs w:val="17"/>
          <w:color w:val="auto"/>
        </w:rPr>
        <w:t>repo rates. Favorable implied funding levels and stable prepayment expectations led us to maintain a sizable TBA position throughout much of the period. Our cost of funds also benefited from a 39 basis point increase in the average receive rate on our pay-fixed receive-variable interest rate swaps over the first three quarters of the year, which was partly offset by higher costs associated with an increase in our swap portfolio in conjunction with our larger asset balance and an increase in the average maturity of our swap portfolio to 4.5 years as of September 30, 2017, from 3.9 years as of December 31, 2016. In addition, we achieved a greater diversity of funding and benefited from more favorable terms than traditional levels by shifting a larger portion our repo funding and TBA clearing through our captive broker-dealer subsidiary, Bethesda Securities, LLC, or "BES”. As of September 30, 2017, our repo funding transacted through BES totaled 30%, up significantly from 12% as of December 31, 2016.</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our "at risk" leverage was 8.0x our tangible equity, up from 7.7x as of December 31, 2016. Additional Agency RMBS spread widening and ongoing favorable funding dynamics, could provide attractive investment opportunities and serve as a catalyst for us to further increase leverage.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September 30, 2017, our interest rate hedges equaled 92% of our funding liabilities and net TBA position, up slightly from 90% as of December 31, 2016. We believe operating at this level provides us a significant amount of protection against net asset value fluctuations due to interest rate changes. Our net "duration gap," which is a measure of the risk due to mismatches that can occur between the interest rate sensitivity of our assets and liabilities, inclusive of hedges, was 0.4 years as of September 30, 2017, down from 1.3 years as of December 31, 2016. The reduction in our net duration gap is a result of our larger hedge position and the overall decline in interest rates during the first three quarters of the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 30,</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 31,</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 30,</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Sept. 30, 2017</w:t>
            </w:r>
          </w:p>
        </w:tc>
        <w:tc>
          <w:tcPr>
            <w:tcW w:w="12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Sept. 30, 2017</w:t>
            </w:r>
          </w:p>
        </w:tc>
        <w:tc>
          <w:tcPr>
            <w:tcW w:w="0" w:type="dxa"/>
            <w:vAlign w:val="bottom"/>
          </w:tcPr>
          <w:p>
            <w:pPr>
              <w:spacing w:after="0"/>
              <w:rPr>
                <w:sz w:val="1"/>
                <w:szCs w:val="1"/>
                <w:color w:val="auto"/>
              </w:rPr>
            </w:pPr>
          </w:p>
        </w:tc>
      </w:tr>
      <w:tr>
        <w:trPr>
          <w:trHeight w:val="149"/>
        </w:trPr>
        <w:tc>
          <w:tcPr>
            <w:tcW w:w="25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3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76"/>
              </w:rPr>
              <w:t>vs</w:t>
            </w:r>
          </w:p>
        </w:tc>
        <w:tc>
          <w:tcPr>
            <w:tcW w:w="1200" w:type="dxa"/>
            <w:vAlign w:val="bottom"/>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 31, 2016</w:t>
            </w:r>
          </w:p>
        </w:tc>
        <w:tc>
          <w:tcPr>
            <w:tcW w:w="0" w:type="dxa"/>
            <w:vAlign w:val="bottom"/>
          </w:tcPr>
          <w:p>
            <w:pPr>
              <w:spacing w:after="0"/>
              <w:rPr>
                <w:sz w:val="1"/>
                <w:szCs w:val="1"/>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0.53%</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0.77%</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0.98%</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1.22%</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1.23%</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+0.46</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1.15%</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+0.33</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1.24%</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1.31%</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1.42%</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1.45%</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1.51%</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+0.06</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+0.20</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0.76%</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1.20%</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1.38%</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1.48%</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+0.10</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+0.28</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+0.15</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1.15%</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1.92%</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1.89%</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+0.04</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+0.01</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7"/>
              </w:rPr>
              <w:t>bps</w:t>
            </w:r>
          </w:p>
        </w:tc>
        <w:tc>
          <w:tcPr>
            <w:tcW w:w="12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-0.10 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3.05%</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3.02%</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2.84%</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2.86%</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+0.02</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1200" w:type="dxa"/>
            <w:vAlign w:val="bottom"/>
            <w:gridSpan w:val="2"/>
          </w:tcPr>
          <w:p>
            <w:pPr>
              <w:jc w:val="right"/>
              <w:ind w:right="308"/>
              <w:spacing w:after="0"/>
              <w:rPr>
                <w:sz w:val="20"/>
                <w:szCs w:val="20"/>
                <w:color w:val="auto"/>
              </w:rPr>
            </w:pPr>
            <w:r>
              <w:rPr>
                <w:rFonts w:ascii="Arial" w:cs="Arial" w:eastAsia="Arial" w:hAnsi="Arial"/>
                <w:sz w:val="14"/>
                <w:szCs w:val="14"/>
                <w:color w:val="auto"/>
              </w:rPr>
              <w:t>-0.19 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1.46%</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1.62%</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1.61%</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1.73%</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+0.12</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+0.27</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+0.16</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1.18%</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1.96%</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2.06%</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1.95%</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+0.05</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w w:val="97"/>
              </w:rPr>
              <w:t>bps</w:t>
            </w: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+0.04</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7"/>
              </w:rPr>
              <w:t>bps</w:t>
            </w:r>
          </w:p>
        </w:tc>
        <w:tc>
          <w:tcPr>
            <w:tcW w:w="12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-0.04 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1.78%</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2.57%</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2.65%</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2.52%</w:t>
            </w:r>
          </w:p>
        </w:tc>
        <w:tc>
          <w:tcPr>
            <w:tcW w:w="10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color w:val="auto"/>
              </w:rPr>
              <w:t>-0.01 bps</w:t>
            </w:r>
          </w:p>
        </w:tc>
        <w:tc>
          <w:tcPr>
            <w:tcW w:w="1200" w:type="dxa"/>
            <w:vAlign w:val="bottom"/>
            <w:gridSpan w:val="2"/>
          </w:tcPr>
          <w:p>
            <w:pPr>
              <w:jc w:val="right"/>
              <w:ind w:right="308"/>
              <w:spacing w:after="0"/>
              <w:rPr>
                <w:sz w:val="20"/>
                <w:szCs w:val="20"/>
                <w:color w:val="auto"/>
              </w:rPr>
            </w:pPr>
            <w:r>
              <w:rPr>
                <w:rFonts w:ascii="Arial" w:cs="Arial" w:eastAsia="Arial" w:hAnsi="Arial"/>
                <w:sz w:val="14"/>
                <w:szCs w:val="14"/>
                <w:color w:val="auto"/>
              </w:rPr>
              <w:t>-0.05 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$103.95</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$99.38</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$99.15</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$99.88</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$100.33</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+$0.45</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+$0.95</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$102.29</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$103.09</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+$0.39</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+$0.59</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$107.41</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0"/>
              </w:rPr>
              <w:t>$105.13</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$104.90</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0"/>
              </w:rPr>
              <w:t>$105.12</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$105.27</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+$0.15</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+$0.14</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$109.52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$107.51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$107.24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$107.27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$107.33</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+$0.06</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-$0.18</w:t>
            </w:r>
          </w:p>
        </w:tc>
        <w:tc>
          <w:tcPr>
            <w:tcW w:w="0" w:type="dxa"/>
            <w:vAlign w:val="bottom"/>
          </w:tcPr>
          <w:p>
            <w:pPr>
              <w:spacing w:after="0"/>
              <w:rPr>
                <w:sz w:val="1"/>
                <w:szCs w:val="1"/>
                <w:color w:val="auto"/>
              </w:rPr>
            </w:pPr>
          </w:p>
        </w:tc>
      </w:tr>
      <w:tr>
        <w:trPr>
          <w:trHeight w:val="264"/>
        </w:trPr>
        <w:tc>
          <w:tcPr>
            <w:tcW w:w="266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$100.03</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$100.53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$100.69</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+$0.16</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+$0.49</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$104.99</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0"/>
              </w:rPr>
              <w:t>$102.62</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$102.51</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0"/>
              </w:rPr>
              <w:t>$102.64</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$102.75</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+$0.11</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+$0.13</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$104.14</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+$0.08</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-$0.03</w:t>
            </w:r>
          </w:p>
        </w:tc>
        <w:tc>
          <w:tcPr>
            <w:tcW w:w="0" w:type="dxa"/>
            <w:vAlign w:val="bottom"/>
          </w:tcPr>
          <w:p>
            <w:pPr>
              <w:spacing w:after="0"/>
              <w:rPr>
                <w:sz w:val="1"/>
                <w:szCs w:val="1"/>
                <w:color w:val="auto"/>
              </w:rPr>
            </w:pPr>
          </w:p>
        </w:tc>
      </w:tr>
      <w:tr>
        <w:trPr>
          <w:trHeight w:val="258"/>
        </w:trPr>
        <w:tc>
          <w:tcPr>
            <w:tcW w:w="254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$103.73</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0"/>
              </w:rPr>
              <w:t>$102.69</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$103.29</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0"/>
              </w:rPr>
              <w:t>$103.44</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$103.13</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-$0.31</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+$0.44</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hanging="328"/>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ectPr>
          <w:pgSz w:w="11900" w:h="16838" w:orient="portrait"/>
          <w:cols w:equalWidth="0" w:num="1">
            <w:col w:w="11420"/>
          </w:cols>
          <w:pgMar w:left="240" w:top="746"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4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and December 31, 2016, our investment portfolio consisted of $53.1 billion and $46.5 billion of investment securities, at fair value, respectively, and $19.4 billion and $11.2 billion of TBA securities, at fair value, respectively. The following table is a summary of our investment portfolio as of September 30, 2017 and December 31, 2016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September 30, 2017</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2016</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14,533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40,655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40,397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31,553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31,052</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14,878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14,863</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55,533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55,260</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40,045</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70,513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55,901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923</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71,906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71,747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57,376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72,639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72,500</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58,181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57,664</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recognized as derivative instruments in our accompanying consolidated financial statements and our TBA dollar roll transactions represent a form of off-balance sheet financing. As of September 30, 2017 and December 31, 2016, our TBA positions had a net carrying value of $(24) million and $(147)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2017 and December 31, 2016, the weighted average yield on our investment securities (excluding TBA securities) was 2.85% and 2.77%,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3" w:name="page34"/>
    <w:bookmarkEnd w:id="33"/>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102.8%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14,533</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62%</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7,709</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25,431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19,322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20,466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106.8%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53,078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55,533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55,260</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70,513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$106,000 for 15-year and 30-year securities, respectively, as of September 30, 2017.</w:t>
      </w:r>
    </w:p>
    <w:p>
      <w:pPr>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114% and 136% for 15-year and 30-year securities, respectively, as of September 30, 2017.</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September 30, 2017.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22%</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7,482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7,357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13,464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14,368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14,224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40,045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$100,000 for 15-year and 30-year securities, respectively, as of December 31, 2016.</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113% and 135% for 15-year and 30-year securities, respectively, as of December 31, 2016.</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2016.</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and December 31, 2016,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September 30,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4"/>
                <w:szCs w:val="14"/>
                <w:color w:val="auto"/>
              </w:rPr>
              <w:t>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September 30, 2017, our CRT securities had floating rate coupons ranging from 3.7% to 7.6%, referenced to loans originated between 2012 and 2017 with weighted average coupons ranging from 3.6% to 4.3%. As of December 31, 2016, our CRT securities had floating rate coupons ranging from 4.6% to 7.1%, referenced to loans originated between 2015 and 2016 with weighted average coupons ranging from 4.0% to 4.2%.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"adjusted net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rate spread."</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"Adjusted net interest expense" is measured as interest expense (GAAP measure) adjusted to include interest rate swap periodic costs. "Net spread and dollar roll income" is measured as (i) net interest income (GAAP measure) adjusted to include interest rate swap periodic costs, TBA dollar roll income, management fee income and dividends on REIT equity securities (referred to as "adjusted net interest and dollar roll income") less (ii) total operating expenses (GAAP measure) adjusted to exclude non-recurring transaction costs (referred to as "adjusted operating expenses"). "Net spread and dollar roll income, excluding 'catch-up' premium amortization," further excludes retrospective "catch-up" adjustments to premium amortization cost or benefit due to changes in projected CPR estimates.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8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such measure and in "adjusted net interest expense" is meaningful as interest rate swaps are the primary instrument we use to economically hedge against fluctuations in our borrowing costs and it is more indicative of our total cost of funds than interest expense alone. In the case of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issuance costs of redeemed preferred stock reported as a reduction to net income available to common stockholders under GAAP and transactions costs associated with our acquisition of AMM reported in general, administrative and other expense under GAAP is meaningful as they represent non-recurring transaction costs and are not representative of our ongoing operating costs. In the case of estimated taxable income, we believe it is meaningful information because it directly relates to the amount of dividends we are required to distribute in order to maintain our REIT qualification status.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Item 6. 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2017 and December 31, 2016 and our condensed consolidated statements of comprehensive income and key statistics for the three and nine months ended September 30, 2017 and 2016 (in millions, except per share amounts):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2"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6"/>
        </w:trPr>
        <w:tc>
          <w:tcPr>
            <w:tcW w:w="83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Investment securities,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53,091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46,499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56,880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Repurchase agreements, Federal Home Loan Bank advances and other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45,885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41,355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49,524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8,791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Net asset value per common share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311"/>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 xml:space="preserve">Tangible net asset value per common share </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58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r>
      <w:tr>
        <w:trPr>
          <w:trHeight w:val="25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r>
      <w:tr>
        <w:trPr>
          <w:trHeight w:val="264"/>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r>
      <w:tr>
        <w:trPr>
          <w:trHeight w:val="25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r>
      <w:tr>
        <w:trPr>
          <w:trHeight w:val="25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180" w:type="dxa"/>
            <w:vAlign w:val="bottom"/>
          </w:tcPr>
          <w:p>
            <w:pPr>
              <w:spacing w:after="0"/>
              <w:rPr>
                <w:sz w:val="21"/>
                <w:szCs w:val="21"/>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(940)</w:t>
            </w:r>
          </w:p>
        </w:tc>
      </w:tr>
      <w:tr>
        <w:trPr>
          <w:trHeight w:val="27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5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21"/>
                <w:szCs w:val="21"/>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7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64"/>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Issuance costs of redeemed preferred stock</w:t>
            </w:r>
          </w:p>
        </w:tc>
        <w:tc>
          <w:tcPr>
            <w:tcW w:w="18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7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8"/>
        </w:trPr>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64"/>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r>
      <w:tr>
        <w:trPr>
          <w:trHeight w:val="25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r>
      <w:tr>
        <w:trPr>
          <w:trHeight w:val="264"/>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Dividend on preferred stock</w:t>
            </w:r>
          </w:p>
        </w:tc>
        <w:tc>
          <w:tcPr>
            <w:tcW w:w="18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costs of redeemed preferred stock</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96"/>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Comprehensive income available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659</w:t>
            </w:r>
          </w:p>
        </w:tc>
      </w:tr>
      <w:tr>
        <w:trPr>
          <w:trHeight w:val="278"/>
        </w:trPr>
        <w:tc>
          <w:tcPr>
            <w:tcW w:w="6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97"/>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364.7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347.5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332.1</w:t>
            </w: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332.1</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7"/>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income (loss) per common share - 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per common share -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40"/>
          </w:cols>
          <w:pgMar w:left="540" w:top="806" w:right="519" w:bottom="1440" w:gutter="0" w:footer="0" w:header="0"/>
        </w:sectPr>
      </w:pPr>
    </w:p>
    <w:bookmarkStart w:id="37" w:name="page38"/>
    <w:bookmarkEnd w:id="37"/>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Other Data (unaudited) *</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Average investment securities - at par</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Average investment securities - at cost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Average net TBA portfolio - at cost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Average total assets - at fair value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mortgage borrowings outstanding </w:t>
      </w:r>
      <w:r>
        <w:rPr>
          <w:rFonts w:ascii="Arial" w:cs="Arial" w:eastAsia="Arial" w:hAnsi="Arial"/>
          <w:sz w:val="8"/>
          <w:szCs w:val="8"/>
          <w:color w:val="auto"/>
        </w:rPr>
        <w:t>3</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coupon </w:t>
      </w:r>
      <w:r>
        <w:rPr>
          <w:rFonts w:ascii="Arial" w:cs="Arial" w:eastAsia="Arial" w:hAnsi="Arial"/>
          <w:sz w:val="8"/>
          <w:szCs w:val="8"/>
          <w:color w:val="auto"/>
        </w:rPr>
        <w:t>5</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asset yield </w:t>
      </w:r>
      <w:r>
        <w:rPr>
          <w:rFonts w:ascii="Arial" w:cs="Arial" w:eastAsia="Arial" w:hAnsi="Arial"/>
          <w:sz w:val="8"/>
          <w:szCs w:val="8"/>
          <w:color w:val="auto"/>
        </w:rPr>
        <w:t>6</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cost of funds </w:t>
      </w:r>
      <w:r>
        <w:rPr>
          <w:rFonts w:ascii="Arial" w:cs="Arial" w:eastAsia="Arial" w:hAnsi="Arial"/>
          <w:sz w:val="8"/>
          <w:szCs w:val="8"/>
          <w:color w:val="auto"/>
        </w:rPr>
        <w:t>7</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Average net interest rate spread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 xml:space="preserve">Average net interest rate spread, including TBA dollar roll income </w:t>
      </w:r>
      <w:r>
        <w:rPr>
          <w:rFonts w:ascii="Arial" w:cs="Arial" w:eastAsia="Arial" w:hAnsi="Arial"/>
          <w:sz w:val="8"/>
          <w:szCs w:val="8"/>
          <w:color w:val="auto"/>
        </w:rPr>
        <w:t>8</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coupon </w:t>
      </w:r>
      <w:r>
        <w:rPr>
          <w:rFonts w:ascii="Arial" w:cs="Arial" w:eastAsia="Arial" w:hAnsi="Arial"/>
          <w:sz w:val="14"/>
          <w:szCs w:val="14"/>
          <w:i w:val="1"/>
          <w:iCs w:val="1"/>
          <w:color w:val="auto"/>
        </w:rPr>
        <w:t>(as of period end)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asset yield </w:t>
      </w:r>
      <w:r>
        <w:rPr>
          <w:rFonts w:ascii="Arial" w:cs="Arial" w:eastAsia="Arial" w:hAnsi="Arial"/>
          <w:sz w:val="14"/>
          <w:szCs w:val="14"/>
          <w:i w:val="1"/>
          <w:iCs w:val="1"/>
          <w:color w:val="auto"/>
        </w:rPr>
        <w:t>(as of period end)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cost of funds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9</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net interest rate spread </w:t>
      </w:r>
      <w:r>
        <w:rPr>
          <w:rFonts w:ascii="Arial" w:cs="Arial" w:eastAsia="Arial" w:hAnsi="Arial"/>
          <w:sz w:val="14"/>
          <w:szCs w:val="14"/>
          <w:i w:val="1"/>
          <w:iCs w:val="1"/>
          <w:color w:val="auto"/>
        </w:rPr>
        <w:t>(as of period end)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Economic return on common equity - unannualized </w:t>
      </w:r>
      <w:r>
        <w:rPr>
          <w:rFonts w:ascii="Arial" w:cs="Arial" w:eastAsia="Arial" w:hAnsi="Arial"/>
          <w:sz w:val="8"/>
          <w:szCs w:val="8"/>
          <w:color w:val="auto"/>
        </w:rPr>
        <w:t>10</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Economic return on tangible common equity - unannualized </w:t>
      </w:r>
      <w:r>
        <w:rPr>
          <w:rFonts w:ascii="Arial" w:cs="Arial" w:eastAsia="Arial" w:hAnsi="Arial"/>
          <w:sz w:val="8"/>
          <w:szCs w:val="8"/>
          <w:color w:val="auto"/>
        </w:rPr>
        <w:t>11</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"at risk" leverage </w:t>
      </w:r>
      <w:r>
        <w:rPr>
          <w:rFonts w:ascii="Arial" w:cs="Arial" w:eastAsia="Arial" w:hAnsi="Arial"/>
          <w:sz w:val="8"/>
          <w:szCs w:val="8"/>
          <w:color w:val="auto"/>
        </w:rPr>
        <w:t>12</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14</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13</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14</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Expenses % of average total assets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Expenses % of average assets, including average net TBA position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Expenses % of average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92"/>
        </w:trPr>
        <w:tc>
          <w:tcPr>
            <w:tcW w:w="2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6"/>
                <w:szCs w:val="16"/>
                <w:color w:val="auto"/>
              </w:rPr>
            </w:pPr>
          </w:p>
        </w:tc>
        <w:tc>
          <w:tcPr>
            <w:tcW w:w="1080" w:type="dxa"/>
            <w:vAlign w:val="bottom"/>
            <w:gridSpan w:val="3"/>
          </w:tcPr>
          <w:p>
            <w:pPr>
              <w:jc w:val="right"/>
              <w:ind w:right="823"/>
              <w:spacing w:after="0"/>
              <w:rPr>
                <w:sz w:val="20"/>
                <w:szCs w:val="20"/>
                <w:color w:val="auto"/>
              </w:rPr>
            </w:pPr>
            <w:r>
              <w:rPr>
                <w:rFonts w:ascii="Arial" w:cs="Arial" w:eastAsia="Arial" w:hAnsi="Arial"/>
                <w:sz w:val="14"/>
                <w:szCs w:val="14"/>
                <w:b w:val="1"/>
                <w:bCs w:val="1"/>
                <w:color w:val="auto"/>
                <w:w w:val="81"/>
              </w:rPr>
              <w:t>30,</w:t>
            </w:r>
          </w:p>
        </w:tc>
      </w:tr>
      <w:tr>
        <w:trPr>
          <w:trHeight w:val="264"/>
        </w:trPr>
        <w:tc>
          <w:tcPr>
            <w:tcW w:w="9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40" w:type="dxa"/>
            <w:vAlign w:val="bottom"/>
          </w:tcPr>
          <w:p>
            <w:pPr>
              <w:jc w:val="right"/>
              <w:ind w:right="120"/>
              <w:spacing w:after="0"/>
              <w:rPr>
                <w:sz w:val="20"/>
                <w:szCs w:val="20"/>
                <w:color w:val="auto"/>
              </w:rPr>
            </w:pPr>
            <w:r>
              <w:rPr>
                <w:rFonts w:ascii="Arial" w:cs="Arial" w:eastAsia="Arial" w:hAnsi="Arial"/>
                <w:sz w:val="16"/>
                <w:szCs w:val="16"/>
                <w:color w:val="auto"/>
              </w:rPr>
              <w:t>$44,672</w:t>
            </w:r>
          </w:p>
        </w:tc>
        <w:tc>
          <w:tcPr>
            <w:tcW w:w="12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$46,372</w:t>
            </w:r>
          </w:p>
        </w:tc>
        <w:tc>
          <w:tcPr>
            <w:tcW w:w="12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$42,959</w:t>
            </w:r>
          </w:p>
        </w:tc>
        <w:tc>
          <w:tcPr>
            <w:tcW w:w="1080" w:type="dxa"/>
            <w:vAlign w:val="bottom"/>
            <w:gridSpan w:val="3"/>
          </w:tcPr>
          <w:p>
            <w:pPr>
              <w:jc w:val="right"/>
              <w:ind w:right="123"/>
              <w:spacing w:after="0"/>
              <w:rPr>
                <w:sz w:val="20"/>
                <w:szCs w:val="20"/>
                <w:color w:val="auto"/>
              </w:rPr>
            </w:pPr>
            <w:r>
              <w:rPr>
                <w:rFonts w:ascii="Arial" w:cs="Arial" w:eastAsia="Arial" w:hAnsi="Arial"/>
                <w:sz w:val="16"/>
                <w:szCs w:val="16"/>
                <w:color w:val="auto"/>
              </w:rPr>
              <w:t>$48,201</w:t>
            </w:r>
          </w:p>
        </w:tc>
      </w:tr>
      <w:tr>
        <w:trPr>
          <w:trHeight w:val="270"/>
        </w:trPr>
        <w:tc>
          <w:tcPr>
            <w:tcW w:w="940" w:type="dxa"/>
            <w:vAlign w:val="bottom"/>
          </w:tcPr>
          <w:p>
            <w:pPr>
              <w:jc w:val="right"/>
              <w:ind w:right="120"/>
              <w:spacing w:after="0"/>
              <w:rPr>
                <w:sz w:val="20"/>
                <w:szCs w:val="20"/>
                <w:color w:val="auto"/>
              </w:rPr>
            </w:pPr>
            <w:r>
              <w:rPr>
                <w:rFonts w:ascii="Arial" w:cs="Arial" w:eastAsia="Arial" w:hAnsi="Arial"/>
                <w:sz w:val="16"/>
                <w:szCs w:val="16"/>
                <w:color w:val="auto"/>
              </w:rPr>
              <w:t>$46,808</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$48,548</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$44,977</w:t>
            </w:r>
          </w:p>
        </w:tc>
        <w:tc>
          <w:tcPr>
            <w:tcW w:w="1080" w:type="dxa"/>
            <w:vAlign w:val="bottom"/>
            <w:gridSpan w:val="3"/>
          </w:tcPr>
          <w:p>
            <w:pPr>
              <w:jc w:val="right"/>
              <w:ind w:right="123"/>
              <w:spacing w:after="0"/>
              <w:rPr>
                <w:sz w:val="20"/>
                <w:szCs w:val="20"/>
                <w:color w:val="auto"/>
              </w:rPr>
            </w:pPr>
            <w:r>
              <w:rPr>
                <w:rFonts w:ascii="Arial" w:cs="Arial" w:eastAsia="Arial" w:hAnsi="Arial"/>
                <w:sz w:val="16"/>
                <w:szCs w:val="16"/>
                <w:color w:val="auto"/>
              </w:rPr>
              <w:t>$50,388</w:t>
            </w:r>
          </w:p>
        </w:tc>
      </w:tr>
      <w:tr>
        <w:trPr>
          <w:trHeight w:val="270"/>
        </w:trPr>
        <w:tc>
          <w:tcPr>
            <w:tcW w:w="940" w:type="dxa"/>
            <w:vAlign w:val="bottom"/>
          </w:tcPr>
          <w:p>
            <w:pPr>
              <w:jc w:val="right"/>
              <w:ind w:right="120"/>
              <w:spacing w:after="0"/>
              <w:rPr>
                <w:sz w:val="20"/>
                <w:szCs w:val="20"/>
                <w:color w:val="auto"/>
              </w:rPr>
            </w:pPr>
            <w:r>
              <w:rPr>
                <w:rFonts w:ascii="Arial" w:cs="Arial" w:eastAsia="Arial" w:hAnsi="Arial"/>
                <w:sz w:val="16"/>
                <w:szCs w:val="16"/>
                <w:color w:val="auto"/>
              </w:rPr>
              <w:t>$18,616</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$10,748</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$16,355</w:t>
            </w:r>
          </w:p>
        </w:tc>
        <w:tc>
          <w:tcPr>
            <w:tcW w:w="1080" w:type="dxa"/>
            <w:vAlign w:val="bottom"/>
            <w:gridSpan w:val="3"/>
          </w:tcPr>
          <w:p>
            <w:pPr>
              <w:jc w:val="center"/>
              <w:ind w:left="59"/>
              <w:spacing w:after="0"/>
              <w:rPr>
                <w:sz w:val="20"/>
                <w:szCs w:val="20"/>
                <w:color w:val="auto"/>
              </w:rPr>
            </w:pPr>
            <w:r>
              <w:rPr>
                <w:rFonts w:ascii="Arial" w:cs="Arial" w:eastAsia="Arial" w:hAnsi="Arial"/>
                <w:sz w:val="16"/>
                <w:szCs w:val="16"/>
                <w:color w:val="auto"/>
                <w:w w:val="93"/>
              </w:rPr>
              <w:t>$9,050</w:t>
            </w:r>
          </w:p>
        </w:tc>
      </w:tr>
      <w:tr>
        <w:trPr>
          <w:trHeight w:val="270"/>
        </w:trPr>
        <w:tc>
          <w:tcPr>
            <w:tcW w:w="940" w:type="dxa"/>
            <w:vAlign w:val="bottom"/>
          </w:tcPr>
          <w:p>
            <w:pPr>
              <w:jc w:val="right"/>
              <w:ind w:right="120"/>
              <w:spacing w:after="0"/>
              <w:rPr>
                <w:sz w:val="20"/>
                <w:szCs w:val="20"/>
                <w:color w:val="auto"/>
              </w:rPr>
            </w:pPr>
            <w:r>
              <w:rPr>
                <w:rFonts w:ascii="Arial" w:cs="Arial" w:eastAsia="Arial" w:hAnsi="Arial"/>
                <w:sz w:val="16"/>
                <w:szCs w:val="16"/>
                <w:color w:val="auto"/>
              </w:rPr>
              <w:t>$58,848</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$57,088</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$55,902</w:t>
            </w:r>
          </w:p>
        </w:tc>
        <w:tc>
          <w:tcPr>
            <w:tcW w:w="1080" w:type="dxa"/>
            <w:vAlign w:val="bottom"/>
            <w:gridSpan w:val="3"/>
          </w:tcPr>
          <w:p>
            <w:pPr>
              <w:jc w:val="right"/>
              <w:ind w:right="123"/>
              <w:spacing w:after="0"/>
              <w:rPr>
                <w:sz w:val="20"/>
                <w:szCs w:val="20"/>
                <w:color w:val="auto"/>
              </w:rPr>
            </w:pPr>
            <w:r>
              <w:rPr>
                <w:rFonts w:ascii="Arial" w:cs="Arial" w:eastAsia="Arial" w:hAnsi="Arial"/>
                <w:sz w:val="16"/>
                <w:szCs w:val="16"/>
                <w:color w:val="auto"/>
              </w:rPr>
              <w:t>$57,361</w:t>
            </w:r>
          </w:p>
        </w:tc>
      </w:tr>
      <w:tr>
        <w:trPr>
          <w:trHeight w:val="270"/>
        </w:trPr>
        <w:tc>
          <w:tcPr>
            <w:tcW w:w="940" w:type="dxa"/>
            <w:vAlign w:val="bottom"/>
          </w:tcPr>
          <w:p>
            <w:pPr>
              <w:jc w:val="right"/>
              <w:ind w:right="120"/>
              <w:spacing w:after="0"/>
              <w:rPr>
                <w:sz w:val="20"/>
                <w:szCs w:val="20"/>
                <w:color w:val="auto"/>
              </w:rPr>
            </w:pPr>
            <w:r>
              <w:rPr>
                <w:rFonts w:ascii="Arial" w:cs="Arial" w:eastAsia="Arial" w:hAnsi="Arial"/>
                <w:sz w:val="16"/>
                <w:szCs w:val="16"/>
                <w:color w:val="auto"/>
              </w:rPr>
              <w:t>$41,406</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$44,401</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$39,859</w:t>
            </w:r>
          </w:p>
        </w:tc>
        <w:tc>
          <w:tcPr>
            <w:tcW w:w="1080" w:type="dxa"/>
            <w:vAlign w:val="bottom"/>
            <w:gridSpan w:val="3"/>
          </w:tcPr>
          <w:p>
            <w:pPr>
              <w:jc w:val="right"/>
              <w:ind w:right="123"/>
              <w:spacing w:after="0"/>
              <w:rPr>
                <w:sz w:val="20"/>
                <w:szCs w:val="20"/>
                <w:color w:val="auto"/>
              </w:rPr>
            </w:pPr>
            <w:r>
              <w:rPr>
                <w:rFonts w:ascii="Arial" w:cs="Arial" w:eastAsia="Arial" w:hAnsi="Arial"/>
                <w:sz w:val="16"/>
                <w:szCs w:val="16"/>
                <w:color w:val="auto"/>
              </w:rPr>
              <w:t>$45,753</w:t>
            </w:r>
          </w:p>
        </w:tc>
      </w:tr>
      <w:tr>
        <w:trPr>
          <w:trHeight w:val="270"/>
        </w:trPr>
        <w:tc>
          <w:tcPr>
            <w:tcW w:w="940" w:type="dxa"/>
            <w:vAlign w:val="bottom"/>
          </w:tcPr>
          <w:p>
            <w:pPr>
              <w:jc w:val="right"/>
              <w:ind w:right="160"/>
              <w:spacing w:after="0"/>
              <w:rPr>
                <w:sz w:val="20"/>
                <w:szCs w:val="20"/>
                <w:color w:val="auto"/>
              </w:rPr>
            </w:pPr>
            <w:r>
              <w:rPr>
                <w:rFonts w:ascii="Arial" w:cs="Arial" w:eastAsia="Arial" w:hAnsi="Arial"/>
                <w:sz w:val="16"/>
                <w:szCs w:val="16"/>
                <w:color w:val="auto"/>
              </w:rPr>
              <w:t>$8,134</w:t>
            </w:r>
          </w:p>
        </w:tc>
        <w:tc>
          <w:tcPr>
            <w:tcW w:w="1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$7,803</w:t>
            </w:r>
          </w:p>
        </w:tc>
        <w:tc>
          <w:tcPr>
            <w:tcW w:w="1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$7,695</w:t>
            </w:r>
          </w:p>
        </w:tc>
        <w:tc>
          <w:tcPr>
            <w:tcW w:w="1080" w:type="dxa"/>
            <w:vAlign w:val="bottom"/>
            <w:gridSpan w:val="3"/>
          </w:tcPr>
          <w:p>
            <w:pPr>
              <w:jc w:val="center"/>
              <w:ind w:left="59"/>
              <w:spacing w:after="0"/>
              <w:rPr>
                <w:sz w:val="20"/>
                <w:szCs w:val="20"/>
                <w:color w:val="auto"/>
              </w:rPr>
            </w:pPr>
            <w:r>
              <w:rPr>
                <w:rFonts w:ascii="Arial" w:cs="Arial" w:eastAsia="Arial" w:hAnsi="Arial"/>
                <w:sz w:val="16"/>
                <w:szCs w:val="16"/>
                <w:color w:val="auto"/>
                <w:w w:val="93"/>
              </w:rPr>
              <w:t>$7,785</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3.72 %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3.64 %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2.46 %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(1.47)%</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0.99 %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1.18 %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3.64 %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2.85 %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2.68 %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(1.30)%</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1.38 %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9.2 %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3"/>
                <w:szCs w:val="23"/>
                <w:color w:val="auto"/>
              </w:rPr>
            </w:pPr>
          </w:p>
        </w:tc>
        <w:tc>
          <w:tcPr>
            <w:tcW w:w="1060" w:type="dxa"/>
            <w:vAlign w:val="bottom"/>
            <w:gridSpan w:val="2"/>
          </w:tcPr>
          <w:p>
            <w:pPr>
              <w:ind w:left="4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9.7 %</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N/A</w:t>
            </w:r>
          </w:p>
        </w:tc>
      </w:tr>
      <w:tr>
        <w:trPr>
          <w:trHeight w:val="270"/>
        </w:trPr>
        <w:tc>
          <w:tcPr>
            <w:tcW w:w="940" w:type="dxa"/>
            <w:vAlign w:val="bottom"/>
          </w:tcPr>
          <w:p>
            <w:pPr>
              <w:jc w:val="right"/>
              <w:ind w:right="140"/>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7.3:1</w:t>
            </w:r>
          </w:p>
        </w:tc>
        <w:tc>
          <w:tcPr>
            <w:tcW w:w="1080" w:type="dxa"/>
            <w:vAlign w:val="bottom"/>
            <w:gridSpan w:val="3"/>
          </w:tcPr>
          <w:p>
            <w:pPr>
              <w:jc w:val="right"/>
              <w:ind w:right="143"/>
              <w:spacing w:after="0"/>
              <w:rPr>
                <w:sz w:val="20"/>
                <w:szCs w:val="20"/>
                <w:color w:val="auto"/>
              </w:rPr>
            </w:pPr>
            <w:r>
              <w:rPr>
                <w:rFonts w:ascii="Arial" w:cs="Arial" w:eastAsia="Arial" w:hAnsi="Arial"/>
                <w:sz w:val="16"/>
                <w:szCs w:val="16"/>
                <w:color w:val="auto"/>
              </w:rPr>
              <w:t>7.1:1</w:t>
            </w:r>
          </w:p>
        </w:tc>
      </w:tr>
      <w:tr>
        <w:trPr>
          <w:trHeight w:val="270"/>
        </w:trPr>
        <w:tc>
          <w:tcPr>
            <w:tcW w:w="940" w:type="dxa"/>
            <w:vAlign w:val="bottom"/>
          </w:tcPr>
          <w:p>
            <w:pPr>
              <w:jc w:val="right"/>
              <w:ind w:right="140"/>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7.9:1</w:t>
            </w:r>
          </w:p>
        </w:tc>
        <w:tc>
          <w:tcPr>
            <w:tcW w:w="1080" w:type="dxa"/>
            <w:vAlign w:val="bottom"/>
            <w:gridSpan w:val="3"/>
          </w:tcPr>
          <w:p>
            <w:pPr>
              <w:jc w:val="right"/>
              <w:ind w:right="143"/>
              <w:spacing w:after="0"/>
              <w:rPr>
                <w:sz w:val="20"/>
                <w:szCs w:val="20"/>
                <w:color w:val="auto"/>
              </w:rPr>
            </w:pPr>
            <w:r>
              <w:rPr>
                <w:rFonts w:ascii="Arial" w:cs="Arial" w:eastAsia="Arial" w:hAnsi="Arial"/>
                <w:sz w:val="16"/>
                <w:szCs w:val="16"/>
                <w:color w:val="auto"/>
              </w:rPr>
              <w:t>7.3:1</w:t>
            </w:r>
          </w:p>
        </w:tc>
      </w:tr>
      <w:tr>
        <w:trPr>
          <w:trHeight w:val="270"/>
        </w:trPr>
        <w:tc>
          <w:tcPr>
            <w:tcW w:w="940" w:type="dxa"/>
            <w:vAlign w:val="bottom"/>
          </w:tcPr>
          <w:p>
            <w:pPr>
              <w:jc w:val="right"/>
              <w:ind w:right="140"/>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7.6:1</w:t>
            </w:r>
          </w:p>
        </w:tc>
        <w:tc>
          <w:tcPr>
            <w:tcW w:w="1080" w:type="dxa"/>
            <w:vAlign w:val="bottom"/>
            <w:gridSpan w:val="3"/>
          </w:tcPr>
          <w:p>
            <w:pPr>
              <w:jc w:val="right"/>
              <w:ind w:right="143"/>
              <w:spacing w:after="0"/>
              <w:rPr>
                <w:sz w:val="20"/>
                <w:szCs w:val="20"/>
                <w:color w:val="auto"/>
              </w:rPr>
            </w:pPr>
            <w:r>
              <w:rPr>
                <w:rFonts w:ascii="Arial" w:cs="Arial" w:eastAsia="Arial" w:hAnsi="Arial"/>
                <w:sz w:val="16"/>
                <w:szCs w:val="16"/>
                <w:color w:val="auto"/>
              </w:rPr>
              <w:t>7.2:1</w:t>
            </w:r>
          </w:p>
        </w:tc>
      </w:tr>
      <w:tr>
        <w:trPr>
          <w:trHeight w:val="270"/>
        </w:trPr>
        <w:tc>
          <w:tcPr>
            <w:tcW w:w="940" w:type="dxa"/>
            <w:vAlign w:val="bottom"/>
          </w:tcPr>
          <w:p>
            <w:pPr>
              <w:jc w:val="right"/>
              <w:ind w:right="140"/>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8.0:1</w:t>
            </w:r>
          </w:p>
        </w:tc>
        <w:tc>
          <w:tcPr>
            <w:tcW w:w="1080" w:type="dxa"/>
            <w:vAlign w:val="bottom"/>
            <w:gridSpan w:val="3"/>
          </w:tcPr>
          <w:p>
            <w:pPr>
              <w:jc w:val="right"/>
              <w:ind w:right="143"/>
              <w:spacing w:after="0"/>
              <w:rPr>
                <w:sz w:val="20"/>
                <w:szCs w:val="20"/>
                <w:color w:val="auto"/>
              </w:rPr>
            </w:pPr>
            <w:r>
              <w:rPr>
                <w:rFonts w:ascii="Arial" w:cs="Arial" w:eastAsia="Arial" w:hAnsi="Arial"/>
                <w:sz w:val="16"/>
                <w:szCs w:val="16"/>
                <w:color w:val="auto"/>
              </w:rPr>
              <w:t>7.7:1</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0.12 %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0.10 %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0.12 %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0.20 %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0.09 %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0.09 %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0.09 %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0.18 %</w:t>
            </w: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0.84 %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0.76 %</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0.87 %</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-3751580</wp:posOffset>
            </wp:positionV>
            <wp:extent cx="684339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-3408680</wp:posOffset>
            </wp:positionV>
            <wp:extent cx="68433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-3065780</wp:posOffset>
            </wp:positionV>
            <wp:extent cx="68433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-2722880</wp:posOffset>
            </wp:positionV>
            <wp:extent cx="68433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-2379345</wp:posOffset>
            </wp:positionV>
            <wp:extent cx="68433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-2036445</wp:posOffset>
            </wp:positionV>
            <wp:extent cx="68433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-1693545</wp:posOffset>
            </wp:positionV>
            <wp:extent cx="68433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-1350645</wp:posOffset>
            </wp:positionV>
            <wp:extent cx="68433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-1007745</wp:posOffset>
            </wp:positionV>
            <wp:extent cx="68433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-664210</wp:posOffset>
            </wp:positionV>
            <wp:extent cx="68433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-321310</wp:posOffset>
            </wp:positionV>
            <wp:extent cx="68433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-4094480</wp:posOffset>
            </wp:positionV>
            <wp:extent cx="68433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3395" cy="17145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6280" w:space="720"/>
            <w:col w:w="4420"/>
          </w:cols>
          <w:pgMar w:left="240" w:top="726" w:right="239" w:bottom="1440" w:gutter="0" w:footer="0" w:header="0"/>
        </w:sectPr>
      </w:pPr>
    </w:p>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340" w:right="1360" w:hanging="8"/>
        <w:spacing w:after="0" w:line="255" w:lineRule="auto"/>
        <w:tabs>
          <w:tab w:leader="none" w:pos="448"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Except as noted below, average numbers for each period are weighted based on days on our books and records. All percentages are annualized, unless otherwise noted. N/A - Not applicable</w:t>
      </w:r>
    </w:p>
    <w:p>
      <w:pPr>
        <w:spacing w:after="0" w:line="132" w:lineRule="exact"/>
        <w:rPr>
          <w:sz w:val="20"/>
          <w:szCs w:val="20"/>
          <w:color w:val="auto"/>
        </w:rPr>
      </w:pPr>
    </w:p>
    <w:p>
      <w:pPr>
        <w:ind w:left="980" w:hanging="648"/>
        <w:spacing w:after="0" w:line="250"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preferred stock liquidation preference, divided by our number of common shares outstanding as of period end.</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Tangible net asset value per common share excludes goodwill and other intangible assets, net.</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mortgage borrowings include repurchase agreements used to fund Agency securities ("Agency repo"), FHLB advances and debt of consolidated VIEs. Amount excludes U.S. Treasury repo agreements and TBA contracts.</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month-ended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Average coupon for the period was calculated by dividing our total coupon (or cash) interest income on investment securities by our average investment securities held at par.</w:t>
      </w:r>
    </w:p>
    <w:p>
      <w:pPr>
        <w:spacing w:after="0" w:line="12" w:lineRule="exact"/>
        <w:rPr>
          <w:rFonts w:ascii="Arial" w:cs="Arial" w:eastAsia="Arial" w:hAnsi="Arial"/>
          <w:sz w:val="13"/>
          <w:szCs w:val="13"/>
          <w:color w:val="auto"/>
        </w:rPr>
      </w:pP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TBA dollar roll income/(loss) is net of short TBAs used for hedging purposes and is recognized in gain (loss) on derivative instruments and other securities, net.</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cost of funds as of period end includes mortgage borrowings outstanding and interest rate swap hedges. Amount excludes costs associated with other supplemental hedges such as swaptions, U.S. Treasuries and TBA positions.</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our tangible net asset value per common share and our dividends declared on common stock during the period over our beginning tangible net asset value per common share.</w:t>
      </w:r>
    </w:p>
    <w:p>
      <w:pPr>
        <w:ind w:left="980" w:hanging="648"/>
        <w:spacing w:after="0" w:line="260" w:lineRule="auto"/>
        <w:tabs>
          <w:tab w:leader="none" w:pos="656" w:val="left"/>
        </w:tabs>
        <w:numPr>
          <w:ilvl w:val="0"/>
          <w:numId w:val="25"/>
        </w:numPr>
        <w:rPr>
          <w:rFonts w:ascii="Arial" w:cs="Arial" w:eastAsia="Arial" w:hAnsi="Arial"/>
          <w:sz w:val="13"/>
          <w:szCs w:val="13"/>
          <w:color w:val="auto"/>
        </w:rPr>
      </w:pPr>
      <w:r>
        <w:rPr>
          <w:rFonts w:ascii="Arial" w:cs="Arial" w:eastAsia="Arial" w:hAnsi="Arial"/>
          <w:sz w:val="13"/>
          <w:szCs w:val="13"/>
          <w:color w:val="auto"/>
        </w:rPr>
        <w:t>Average "at risk" leverage is calculated by dividing the sum of our daily weighted average mortgage borrowings and net TBA position (at cost) outstanding for the period by the sum of our average stockholders' equity less our average investment in REIT equity securities for the period. Leverage excludes U.S. Treasury repurchase agreements.</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our mortgage borrowings outstanding, our receivable/payable for unsettled investment securities and our net TBA position outstanding as of period end (at cost)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26"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interest income for the three and nine months ended September 30, 2017 and 2016 (dollars in millions):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ind w:left="660"/>
              <w:spacing w:after="0"/>
              <w:rPr>
                <w:sz w:val="20"/>
                <w:szCs w:val="20"/>
                <w:color w:val="auto"/>
              </w:rPr>
            </w:pPr>
            <w:r>
              <w:rPr>
                <w:rFonts w:ascii="Arial" w:cs="Arial" w:eastAsia="Arial" w:hAnsi="Arial"/>
                <w:sz w:val="14"/>
                <w:szCs w:val="14"/>
                <w:b w:val="1"/>
                <w:bCs w:val="1"/>
                <w:color w:val="auto"/>
                <w:w w:val="95"/>
              </w:rPr>
              <w:t>Nine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5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3.65 %</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3.69 %</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2.46 %</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line="151" w:lineRule="exact"/>
              <w:rPr>
                <w:sz w:val="20"/>
                <w:szCs w:val="20"/>
                <w:color w:val="auto"/>
              </w:rPr>
            </w:pPr>
            <w:r>
              <w:rPr>
                <w:rFonts w:ascii="Arial" w:cs="Arial" w:eastAsia="Arial" w:hAnsi="Arial"/>
                <w:sz w:val="14"/>
                <w:szCs w:val="14"/>
                <w:color w:val="auto"/>
                <w:w w:val="97"/>
              </w:rPr>
              <w:t>Weighted average actual portfolio CPR for securities held during</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color w:val="auto"/>
              </w:rPr>
              <w:t>the period</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held as of period end</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920" w:type="dxa"/>
            <w:vAlign w:val="bottom"/>
          </w:tcPr>
          <w:p>
            <w:pPr>
              <w:ind w:left="20"/>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the size of our average investment portfolio and the yield on our investments. The following is a summary of the estimated impact of each of these elements on the increase / (decrease) in interest income for the three and nine months ended September 30, 2017 compared to the prior year period (in millions):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2017 vs.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jc w:val="right"/>
              <w:ind w:right="688"/>
              <w:spacing w:after="0" w:line="153" w:lineRule="exact"/>
              <w:rPr>
                <w:sz w:val="20"/>
                <w:szCs w:val="20"/>
                <w:color w:val="auto"/>
              </w:rPr>
            </w:pPr>
            <w:r>
              <w:rPr>
                <w:rFonts w:ascii="Arial" w:cs="Arial" w:eastAsia="Arial" w:hAnsi="Arial"/>
                <w:sz w:val="14"/>
                <w:szCs w:val="14"/>
                <w:b w:val="1"/>
                <w:bCs w:val="1"/>
                <w:color w:val="auto"/>
                <w:w w:val="78"/>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jc w:val="right"/>
              <w:ind w:right="688"/>
              <w:spacing w:after="0"/>
              <w:rPr>
                <w:sz w:val="20"/>
                <w:szCs w:val="20"/>
                <w:color w:val="auto"/>
              </w:rPr>
            </w:pPr>
            <w:r>
              <w:rPr>
                <w:rFonts w:ascii="Arial" w:cs="Arial" w:eastAsia="Arial" w:hAnsi="Arial"/>
                <w:sz w:val="14"/>
                <w:szCs w:val="14"/>
                <w:b w:val="1"/>
                <w:bCs w:val="1"/>
                <w:color w:val="auto"/>
                <w:w w:val="89"/>
              </w:rPr>
              <w:t>Yield</w:t>
            </w:r>
          </w:p>
        </w:tc>
      </w:tr>
      <w:tr>
        <w:trPr>
          <w:trHeight w:val="256"/>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58"/>
        </w:trPr>
        <w:tc>
          <w:tcPr>
            <w:tcW w:w="5140" w:type="dxa"/>
            <w:vAlign w:val="bottom"/>
          </w:tcPr>
          <w:p>
            <w:pPr>
              <w:ind w:left="40"/>
              <w:spacing w:after="0"/>
              <w:rPr>
                <w:sz w:val="20"/>
                <w:szCs w:val="20"/>
                <w:color w:val="auto"/>
              </w:rPr>
            </w:pPr>
            <w:r>
              <w:rPr>
                <w:rFonts w:ascii="Arial" w:cs="Arial" w:eastAsia="Arial" w:hAnsi="Arial"/>
                <w:sz w:val="14"/>
                <w:szCs w:val="14"/>
                <w:color w:val="auto"/>
              </w:rPr>
              <w:t>Nine months ended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r>
    </w:tbl>
    <w:p>
      <w:pPr>
        <w:spacing w:after="0" w:line="2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size of our average investment portfolio decreased in par value relative to the prior year period by 4% and 11% for the three and nine months ended September 30, 2017, respectively, due to a relative shift of our investment portfolio to TBA contracts recognized as derivative assets / (liabilities) on our consolidated financial statements, which was partly offset by an overall increase in our investment portfolio as a function of new equity issuances during 2017.</w:t>
      </w:r>
    </w:p>
    <w:p>
      <w:pPr>
        <w:spacing w:after="0" w:line="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average asset yield increased to 2.72% and 2.69% for the three and nine months ended September 30, 2017, respectively, compared to 2.60% and 2.46%, respectively, for the prior year period. Our average asset yield includes "catch-up" premium amortization cost due to changes in CPR forecasts of $12 million and $34 million for the three and nine months ended September 30, 2017, respectively, compared to $8 million and $95 million, respectively, for the prior year period. Excluding "catch-up" premium amortization cost, our average asset yield increased to 2.82% and 2.79% for the three and nine months ended September 30, 2017, respectively, compared to 2.66% and 2.70%, respectively, for the prior year period, largely due to the combination of changes in asset composition and higher yields on new asset purchases.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primary measure of leverage is our tangible net book value "at risk" leverage ratio. Tangible net book value "at risk" leverage is measured as the sum of our mortgage borrowings (consisting of repurchase agreements used to fund our investment securities ("Agency repo"), debt of consolidated VIEs and FHLB advances), net TBA position (at cost) and our net receivable /payable for unsettled investment securities divided by the sum of our total stockholders' equity adjusted to exclude goodwill and other intangible assets related to our acquisition of AMM on July 1, 2016.</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Treasury securities ("U.S. Treasury repo") are excluded from our measure of leverage due to the temporary and highly liquid nature of these investments.</w:t>
      </w:r>
    </w:p>
    <w:p>
      <w:pPr>
        <w:spacing w:after="0" w:line="1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tangible net book value "at risk" leverage was 8.0x and 7.7x as of September 30, 2017 and December 31, 2016, respectively. The table below presents our average and quarter-end mortgage borrowings, net TBA position and leverage ratios for the periods listed below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vMerge w:val="restart"/>
          </w:tcPr>
          <w:p>
            <w:pPr>
              <w:jc w:val="right"/>
              <w:ind w:right="27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Tangible Net</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6"/>
            <w:vMerge w:val="restart"/>
          </w:tcPr>
          <w:p>
            <w:pPr>
              <w:jc w:val="center"/>
              <w:ind w:left="490"/>
              <w:spacing w:after="0"/>
              <w:rPr>
                <w:sz w:val="20"/>
                <w:szCs w:val="20"/>
                <w:color w:val="auto"/>
              </w:rPr>
            </w:pPr>
            <w:r>
              <w:rPr>
                <w:rFonts w:ascii="Arial" w:cs="Arial" w:eastAsia="Arial" w:hAnsi="Arial"/>
                <w:sz w:val="13"/>
                <w:szCs w:val="13"/>
                <w:b w:val="1"/>
                <w:bCs w:val="1"/>
                <w:color w:val="auto"/>
                <w:w w:val="88"/>
              </w:rPr>
              <w:t xml:space="preserve">Mortgage Borrowings </w:t>
            </w:r>
            <w:r>
              <w:rPr>
                <w:rFonts w:ascii="Arial" w:cs="Arial" w:eastAsia="Arial" w:hAnsi="Arial"/>
                <w:sz w:val="8"/>
                <w:szCs w:val="8"/>
                <w:b w:val="1"/>
                <w:bCs w:val="1"/>
                <w:color w:val="auto"/>
                <w:w w:val="88"/>
              </w:rPr>
              <w:t>1</w:t>
            </w: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4"/>
            <w:vMerge w:val="restart"/>
          </w:tcPr>
          <w:p>
            <w:pPr>
              <w:jc w:val="right"/>
              <w:ind w:right="370"/>
              <w:spacing w:after="0"/>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6"/>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4"/>
              </w:rPr>
              <w:t>Book Value</w:t>
            </w:r>
          </w:p>
        </w:tc>
        <w:tc>
          <w:tcPr>
            <w:tcW w:w="102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2"/>
              </w:rPr>
              <w:t>Average</w:t>
            </w:r>
          </w:p>
        </w:tc>
        <w:tc>
          <w:tcPr>
            <w:tcW w:w="102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4"/>
              </w:rPr>
              <w:t>Tangible Net</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4"/>
              </w:rPr>
              <w:t>"At Risk"</w:t>
            </w: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7"/>
              </w:rPr>
              <w:t>"At Risk"</w:t>
            </w: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Book Value "At</w:t>
            </w:r>
          </w:p>
        </w:tc>
        <w:tc>
          <w:tcPr>
            <w:tcW w:w="9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w w:val="99"/>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Daily 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41,406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47,442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45,885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18,616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19,433</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7.9:1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June 30,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38,945</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40,112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39,463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16,931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17,283</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39,203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41,221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13,460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14,377</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December 31,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41,031</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42,157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41,183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14,141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11,312</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7.7:1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7.1:1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44,401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46,555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41,154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10,748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15,540</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June 30,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46,948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48,875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45,502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8,238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6,975</w:t>
            </w:r>
          </w:p>
        </w:tc>
        <w:tc>
          <w:tcPr>
            <w:tcW w:w="12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7.2:1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45,926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49,767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48,875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8,144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5,983</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7.3:1</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Mortgage borrowings includes Agency repo, FHLB advances and debt of consolidated VIEs. Amounts exclude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right="2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and net TBA position (at cost) outstanding during the period by the sum of our average month-ended stockholders' equity less our average investment in REIT equity securities for the period.</w:t>
      </w:r>
    </w:p>
    <w:p>
      <w:pPr>
        <w:jc w:val="both"/>
        <w:ind w:left="660" w:hanging="328"/>
        <w:spacing w:after="0" w:line="248"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our mortgage borrowings outstanding, our receivable/payable for unsettled investment securities and our net TBA dollar roll position outstanding as of period end (at cost) by the sum of our total stockholders' equity less the fair value of investments in REIT equity securities at period end. Leverage excludes U.S. Treasury repurchase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interest expense is comprised of interest expense on Agency repo agreements and other mortgage borrowings. During 2016, interest expense also includes the reclassification of accumulated OCI into interest expense related to previously de-designated interest rate swaps.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"adjusted net interest expense," also referred to as our "cost of funds" when stated as a percentage of our mortgage borrowings outstanding, includes periodic interest costs on our interest rate swaps reported in gain (loss) on derivative instruments and other securities, net in our consolidated statements of comprehensive income. Our cost of funds does not include swap termination fees paid or received, forward starting swaps or the impact of other supplemental hedges, such as swaptions and U.S. Treasury positions. Our cost of funds also does not include the implied financing cost of our net TBA dollar roll position, although it includes interest rate swap hedge costs related to our TBA dollar roll funded assets.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average cost of funds was 1.59% and 1.53% of our average mortgage borrowings for the three and nine months ended September 30, 2017, respectively, compared to 1.32% and 1.47% for the prior year period, respectively. The table below presents a reconciliation of our interest expense (the most comparable GAAP financial measure) to our adjusted net interest expense and cost of funds (non-GAAP financial measures) for the three and nine months ended September 30, 2017 and 2016 (dollars in millions):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0" w:name="page41"/>
    <w:bookmarkEnd w:id="40"/>
    <w:tbl>
      <w:tblPr>
        <w:tblLayout w:type="fixed"/>
        <w:tblInd w:w="11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11"/>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10"/>
          </w:tcPr>
          <w:p>
            <w:pPr>
              <w:jc w:val="right"/>
              <w:ind w:right="28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Adjusted Net Interest Expense and Cost of Funds</w:t>
            </w:r>
          </w:p>
        </w:tc>
        <w:tc>
          <w:tcPr>
            <w:tcW w:w="100" w:type="dxa"/>
            <w:vAlign w:val="bottom"/>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Interest expense on mortgage borrowings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57"/>
        </w:trPr>
        <w:tc>
          <w:tcPr>
            <w:tcW w:w="32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previously designated as hedges under</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gridSpan w:val="2"/>
          </w:tcPr>
          <w:p>
            <w:pPr>
              <w:ind w:left="520"/>
              <w:spacing w:after="0"/>
              <w:rPr>
                <w:sz w:val="20"/>
                <w:szCs w:val="20"/>
                <w:color w:val="auto"/>
              </w:rPr>
            </w:pPr>
            <w:r>
              <w:rPr>
                <w:rFonts w:ascii="Arial" w:cs="Arial" w:eastAsia="Arial" w:hAnsi="Arial"/>
                <w:sz w:val="14"/>
                <w:szCs w:val="14"/>
                <w:color w:val="auto"/>
              </w:rPr>
              <w:t>GAAP, net</w:t>
            </w:r>
          </w:p>
        </w:tc>
        <w:tc>
          <w:tcPr>
            <w:tcW w:w="240" w:type="dxa"/>
            <w:vAlign w:val="bottom"/>
          </w:tcPr>
          <w:p>
            <w:pPr>
              <w:spacing w:after="0"/>
              <w:rPr>
                <w:sz w:val="16"/>
                <w:szCs w:val="16"/>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56"/>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57"/>
        </w:trPr>
        <w:tc>
          <w:tcPr>
            <w:tcW w:w="32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reported in gain (loss) on derivative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instruments and other securities, net</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39"/>
        </w:trPr>
        <w:tc>
          <w:tcPr>
            <w:tcW w:w="32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Total adjusted net interest expense and cost of</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funds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8890</wp:posOffset>
            </wp:positionV>
            <wp:extent cx="37731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Percent of our average mortgage borrowings outstanding for the period annualized.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adjusted net interest expense are the size of our average mortgage borrowings and interest rate swap portfolio (excluding forward starting swaps) outstanding during the period, the average interest rate on our borrowings and the average net interest rate paid/received on our interest rate swaps. The following is a summary of the estimated impact of these elements on our adjusted net interest expense for the three and nine months ended September 30, 2017, compared to the prior year period (in millions):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2017 vs.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6"/>
                <w:szCs w:val="16"/>
                <w:color w:val="auto"/>
              </w:rPr>
            </w:pP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6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average interest rate on our mortgage borrowings increased for the current year periods largely due to increases in the federal funds rate, which were partly offset by the benefit of shifting a larger portion of our total Agency repo funding through our captive broker-dealer subsidiary. The size of our total average borrowings outstanding decreased compared to the prior year periods due to the relative shift from Agency RMBS to TBA holdings, which was partly offset by a larger asset base as a function of new equity issuances during 2017 and modestly higher leverage. The decrease in our periodic swap cost was primarily due to an increase in the floating rate received on our pay-fixed receive-floating interest rate swaps. The size of our interest rate swap portfolio increased relative to our mortgage borrowings as a function of our larger TBA dollar roll position.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87" w:right="239" w:bottom="1440" w:gutter="0" w:footer="0" w:header="0"/>
        </w:sectPr>
      </w:pPr>
    </w:p>
    <w:bookmarkStart w:id="41" w:name="page42"/>
    <w:bookmarkEnd w:id="41"/>
    <w:p>
      <w:pPr>
        <w:ind w:right="20" w:firstLine="486"/>
        <w:spacing w:after="0" w:line="277" w:lineRule="auto"/>
        <w:rPr>
          <w:sz w:val="20"/>
          <w:szCs w:val="20"/>
          <w:color w:val="auto"/>
        </w:rPr>
      </w:pPr>
      <w:r>
        <w:rPr>
          <w:rFonts w:ascii="Arial" w:cs="Arial" w:eastAsia="Arial" w:hAnsi="Arial"/>
          <w:sz w:val="18"/>
          <w:szCs w:val="18"/>
          <w:color w:val="auto"/>
        </w:rPr>
        <w:t>The table below presents a summary of our average mortgage borrowings and our average interest rates swaps outstanding, excluding forward starting swaps, for the three and nine months ended September 30, 2017 and 2016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39"/>
        </w:trPr>
        <w:tc>
          <w:tcPr>
            <w:tcW w:w="62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Average Ratio of Interest Rate Swaps Outstanding (Excluding Forward Starting Swaps) to</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 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41,406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44,401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39,859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45,753</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notional amount of interest rate swaps (excluding forward starting swaps)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31,839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36,785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33,790</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ratio of interest rate swaps to mortgage borrowings</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pay rate</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receive rate</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net pay/(receive) rate</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0" w:firstLine="486"/>
        <w:spacing w:after="0" w:line="297" w:lineRule="auto"/>
        <w:rPr>
          <w:sz w:val="20"/>
          <w:szCs w:val="20"/>
          <w:color w:val="auto"/>
        </w:rPr>
      </w:pPr>
      <w:r>
        <w:rPr>
          <w:rFonts w:ascii="Arial" w:cs="Arial" w:eastAsia="Arial" w:hAnsi="Arial"/>
          <w:sz w:val="16"/>
          <w:szCs w:val="16"/>
          <w:color w:val="auto"/>
        </w:rPr>
        <w:t>For the three and nine months ended September 30, 2017, we had an average forward starting swap balance of $2.2 billion and $1.7 billion, respectively, compared to $4.4 billion and $5.8 billion, respectively, for the prior year period. Forward starting interest rate swaps do not impact our adjusted net interest expense and cost of funds until they commence accruing net interest settlements on their forward start dates. Including forward starting swaps and our net TBA position, our average ratio of interest rate swaps outstanding to our average mortgage borrowings and net TBA position (at cost) was 67% and 69% for the three and nine months ended September 30, 2017, respectively, compared to 66% and 72%, respectively, for the prior year period.</w:t>
      </w:r>
    </w:p>
    <w:p>
      <w:pPr>
        <w:spacing w:after="0" w:line="16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9"/>
        </w:trPr>
        <w:tc>
          <w:tcPr>
            <w:tcW w:w="71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w w:val="95"/>
              </w:rPr>
              <w:t>Average Ratio of Interest Rate Swaps Outstanding (Including Forward Starting Swaps) to Mortgage Borrowings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Net TBA Position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45,753</w:t>
            </w:r>
          </w:p>
        </w:tc>
        <w:tc>
          <w:tcPr>
            <w:tcW w:w="0" w:type="dxa"/>
            <w:vAlign w:val="bottom"/>
          </w:tcPr>
          <w:p>
            <w:pPr>
              <w:spacing w:after="0"/>
              <w:rPr>
                <w:sz w:val="1"/>
                <w:szCs w:val="1"/>
                <w:color w:val="auto"/>
              </w:rPr>
            </w:pPr>
          </w:p>
        </w:tc>
      </w:tr>
      <w:tr>
        <w:trPr>
          <w:trHeight w:val="264"/>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position - at cost</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9,050</w:t>
            </w:r>
          </w:p>
        </w:tc>
        <w:tc>
          <w:tcPr>
            <w:tcW w:w="0" w:type="dxa"/>
            <w:vAlign w:val="bottom"/>
          </w:tcPr>
          <w:p>
            <w:pPr>
              <w:spacing w:after="0"/>
              <w:rPr>
                <w:sz w:val="1"/>
                <w:szCs w:val="1"/>
                <w:color w:val="auto"/>
              </w:rPr>
            </w:pPr>
          </w:p>
        </w:tc>
      </w:tr>
      <w:tr>
        <w:trPr>
          <w:trHeight w:val="256"/>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average mortgage borrowings and net TBA position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54,803</w:t>
            </w:r>
          </w:p>
        </w:tc>
        <w:tc>
          <w:tcPr>
            <w:tcW w:w="0" w:type="dxa"/>
            <w:vAlign w:val="bottom"/>
          </w:tcPr>
          <w:p>
            <w:pPr>
              <w:spacing w:after="0"/>
              <w:rPr>
                <w:sz w:val="1"/>
                <w:szCs w:val="1"/>
                <w:color w:val="auto"/>
              </w:rPr>
            </w:pPr>
          </w:p>
        </w:tc>
      </w:tr>
      <w:tr>
        <w:trPr>
          <w:trHeight w:val="264"/>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notional amount of interest rate swaps (including forward starting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40,166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36,270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39,575</w:t>
            </w: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ratio of interest rate swaps to mortgage borrowings and net TBA position</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and nine months ended September 30, 2017 and 2016 (dollars in millions):</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5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64"/>
        </w:trPr>
        <w:tc>
          <w:tcPr>
            <w:tcW w:w="5660" w:type="dxa"/>
            <w:vAlign w:val="bottom"/>
          </w:tcPr>
          <w:p>
            <w:pPr>
              <w:ind w:left="16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6"/>
        </w:trPr>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5660" w:type="dxa"/>
            <w:vAlign w:val="bottom"/>
          </w:tcPr>
          <w:p>
            <w:pPr>
              <w:ind w:left="160"/>
              <w:spacing w:after="0"/>
              <w:rPr>
                <w:sz w:val="20"/>
                <w:szCs w:val="20"/>
                <w:color w:val="auto"/>
              </w:rPr>
            </w:pPr>
            <w:r>
              <w:rPr>
                <w:rFonts w:ascii="Arial" w:cs="Arial" w:eastAsia="Arial" w:hAnsi="Arial"/>
                <w:sz w:val="14"/>
                <w:szCs w:val="14"/>
                <w:color w:val="auto"/>
              </w:rPr>
              <w:t>Management fee income</w:t>
            </w: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7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60" w:type="dxa"/>
            <w:vAlign w:val="bottom"/>
          </w:tcPr>
          <w:p>
            <w:pPr>
              <w:ind w:left="160"/>
              <w:spacing w:after="0"/>
              <w:rPr>
                <w:sz w:val="20"/>
                <w:szCs w:val="20"/>
                <w:color w:val="auto"/>
              </w:rPr>
            </w:pPr>
            <w:r>
              <w:rPr>
                <w:rFonts w:ascii="Arial" w:cs="Arial" w:eastAsia="Arial" w:hAnsi="Arial"/>
                <w:sz w:val="14"/>
                <w:szCs w:val="14"/>
                <w:color w:val="auto"/>
              </w:rPr>
              <w:t>Total operating expenses</w:t>
            </w: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Non-recurring transaction costs</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8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10"/>
        </w:trPr>
        <w:tc>
          <w:tcPr>
            <w:tcW w:w="56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basic</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line="151" w:lineRule="exact"/>
              <w:rPr>
                <w:sz w:val="20"/>
                <w:szCs w:val="20"/>
                <w:color w:val="auto"/>
              </w:rPr>
            </w:pPr>
            <w:r>
              <w:rPr>
                <w:rFonts w:ascii="Arial" w:cs="Arial" w:eastAsia="Arial" w:hAnsi="Arial"/>
                <w:sz w:val="14"/>
                <w:szCs w:val="14"/>
                <w:color w:val="auto"/>
                <w:w w:val="99"/>
              </w:rPr>
              <w:t>Net spread and dollar roll income, excluding "catch-up" premium amortization, per common</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660" w:type="dxa"/>
            <w:vAlign w:val="bottom"/>
            <w:vMerge w:val="continue"/>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9"/>
                <w:szCs w:val="9"/>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share - diluted</w:t>
            </w:r>
          </w:p>
        </w:tc>
        <w:tc>
          <w:tcPr>
            <w:tcW w:w="1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0</wp:posOffset>
            </wp:positionV>
            <wp:extent cx="223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-98425</wp:posOffset>
            </wp:positionV>
            <wp:extent cx="223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adjustments, for the three months ended September 30, 2017 was $0.62 per common share, or a decline of $0.02 per common share from the prior year period. The decline was largely due to higher funding costs and a modest compression of our net interest rate spread and dollar roll margin (i.e. the difference between the average yield on our assets and our average cost of funds inclusive of TBAs), excluding "catch-up" premium amortization adjustments.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adjustments, for the nine months ended September 30, 2017 was $1.94 per common share, compared to $1.72 per common share for the prior year period. The increase relative to the prior year period was largely due to the combination of lower operating costs as a function of our management internalization on July 1, 2016 and a higher relative net interest rate spread and dollar roll margin during much of the current year period.</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average net interest rate spread and dollar roll margin, excluding "catch-up" premium amortization cost, was 1.41% and 1.50% for the three and nine months ended September 30, 2017, respectively, compared to 1.47% and 1.39%, respectively, for the prior year period. Including "catch-up" premium amortization adjustments, our net interest rate spread and dollar roll margin was 1.34% and 1.43% for the three and nine months ended September 30, 2017, respectively, compared to 1.42% and 1.18%, respectively, for the prior 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on sale of investment securities for the three and nine months ended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(in millions):</w:t>
      </w:r>
    </w:p>
    <w:p>
      <w:pPr>
        <w:sectPr>
          <w:pgSz w:w="11900" w:h="16838" w:orient="portrait"/>
          <w:cols w:equalWidth="0" w:num="1">
            <w:col w:w="11420"/>
          </w:cols>
          <w:pgMar w:left="240" w:top="746"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46" w:right="239" w:bottom="1440" w:gutter="0" w:footer="0" w:header="0"/>
          <w:type w:val="continuous"/>
        </w:sectPr>
      </w:pPr>
    </w:p>
    <w:bookmarkStart w:id="43" w:name="page44"/>
    <w:bookmarkEnd w:id="43"/>
    <w:tbl>
      <w:tblPr>
        <w:tblLayout w:type="fixed"/>
        <w:tblInd w:w="16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r>
      <w:tr>
        <w:trPr>
          <w:trHeight w:val="25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sold, at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(17,146)</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sale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6,184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17,260</w:t>
            </w: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-98425</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(in millions):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r>
      <w:tr>
        <w:trPr>
          <w:trHeight w:val="256"/>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258"/>
        </w:trPr>
        <w:tc>
          <w:tcPr>
            <w:tcW w:w="610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210</w:t>
            </w: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w:t>
            </w:r>
          </w:p>
        </w:tc>
      </w:tr>
      <w:tr>
        <w:trPr>
          <w:trHeight w:val="270"/>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6100" w:type="dxa"/>
            <w:vAlign w:val="bottom"/>
          </w:tcPr>
          <w:p>
            <w:pPr>
              <w:ind w:left="118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0"/>
        </w:trPr>
        <w:tc>
          <w:tcPr>
            <w:tcW w:w="61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w:t>
            </w: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Prior to our acquisition of AMM and related management internalization on July 1, 2016, we paid our Manager a management fee payable monthly in arrears in an amount equal to one-twelfth of 1.25% of our month-end stockholders' equity, as defined in our management agreement. Following our management internalization, we no longer incur a management fee, but we incur expenses associated with an internally managed organization, including compensation expense previously borne by our Manager. For the three and nine months ended September 30, 2017, we incurred compensation and benefits expense of $10 million and $30 million, respectively. For the nine months ended September 30, 2016, prior to our internalization, we incurred management fees of $52 million and, subsequent to our internalization, compensation and benefits expense of $9 million.</w:t>
      </w:r>
    </w:p>
    <w:p>
      <w:pPr>
        <w:sectPr>
          <w:pgSz w:w="11900" w:h="16838" w:orient="portrait"/>
          <w:cols w:equalWidth="0" w:num="1">
            <w:col w:w="11420"/>
          </w:cols>
          <w:pgMar w:left="240" w:top="807"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807" w:right="239" w:bottom="1440" w:gutter="0" w:footer="0" w:header="0"/>
          <w:type w:val="continuous"/>
        </w:sectPr>
      </w:pPr>
    </w:p>
    <w:bookmarkStart w:id="44" w:name="page45"/>
    <w:bookmarkEnd w:id="44"/>
    <w:p>
      <w:pPr>
        <w:jc w:val="both"/>
        <w:ind w:firstLine="432"/>
        <w:spacing w:after="0" w:line="257" w:lineRule="auto"/>
        <w:rPr>
          <w:sz w:val="20"/>
          <w:szCs w:val="20"/>
          <w:color w:val="auto"/>
        </w:rPr>
      </w:pPr>
      <w:r>
        <w:rPr>
          <w:rFonts w:ascii="Arial" w:cs="Arial" w:eastAsia="Arial" w:hAnsi="Arial"/>
          <w:sz w:val="18"/>
          <w:szCs w:val="18"/>
          <w:color w:val="auto"/>
        </w:rPr>
        <w:t>For the three and nine months ended September 30, 2017, we incurred other operating expenses of $7 million and $20 million, respectively, compared to $6 million and $27 million, respectively, for the prior year period. Excluding non-recurring acquisition costs, we incurred other operating expenses of $6 million and $18 million, respectively, for the prior year period. Other operating expenses primarily consist of prime broker fees; clearing, settlement and regulatory fees incurred by BES; information technology costs; accounting, legal and Board of Director fees; amortization of intangible assets associated with our acquisition of AMM; and other general overhead expenses.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total annualized operating expense as a percentage of our average stockholders' equity was 0.84% and 0.87% for the three and nine months ended September 30, 2017, compared to 0.76% and 1.51%, respectively, for the prior year period. Excluding non-recurring acquisition costs, our total operating expense as a percentage of our stockholders' equity was 1.35% for the prior year nine 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the three months ended September 30, 2017 and 2016, we had estimated taxable income available to common stockholders of $42 million and $63 million (or $0.12 and $0.19 per common share), respectively. For the nine months ended September 30, 2017 and 2016, we had estimated taxable income available to common stockholders of $118 million and $210 million (or $0.34 and $0.63 per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nine months ended September 30, 2017 and 2016 (dollars in millions, except per share amounts):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66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8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264"/>
        </w:trPr>
        <w:tc>
          <w:tcPr>
            <w:tcW w:w="588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5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r>
      <w:tr>
        <w:trPr>
          <w:trHeight w:val="264"/>
        </w:trPr>
        <w:tc>
          <w:tcPr>
            <w:tcW w:w="588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733</w:t>
            </w:r>
          </w:p>
        </w:tc>
      </w:tr>
      <w:tr>
        <w:trPr>
          <w:trHeight w:val="276"/>
        </w:trPr>
        <w:tc>
          <w:tcPr>
            <w:tcW w:w="5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264"/>
        </w:trPr>
        <w:tc>
          <w:tcPr>
            <w:tcW w:w="588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158</w:t>
            </w:r>
          </w:p>
        </w:tc>
      </w:tr>
      <w:tr>
        <w:trPr>
          <w:trHeight w:val="270"/>
        </w:trPr>
        <w:tc>
          <w:tcPr>
            <w:tcW w:w="5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250"/>
        </w:trPr>
        <w:tc>
          <w:tcPr>
            <w:tcW w:w="588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w:t>
            </w: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r>
      <w:tr>
        <w:trPr>
          <w:trHeight w:val="264"/>
        </w:trPr>
        <w:tc>
          <w:tcPr>
            <w:tcW w:w="5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332.1</w:t>
            </w: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332.1</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0.63</w:t>
            </w:r>
          </w:p>
        </w:tc>
      </w:tr>
      <w:tr>
        <w:trPr>
          <w:trHeight w:val="264"/>
        </w:trPr>
        <w:tc>
          <w:tcPr>
            <w:tcW w:w="5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64"/>
        </w:trPr>
        <w:tc>
          <w:tcPr>
            <w:tcW w:w="5880" w:type="dxa"/>
            <w:vAlign w:val="bottom"/>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684</w:t>
            </w:r>
          </w:p>
        </w:tc>
      </w:t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capital loss / (utilization of net capital loss carryforward)</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25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w:t>
            </w: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2017, we had $0.3 billion (or $0.86 per common share) of net capital loss carryforwards, which expire at the end of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comprehensive income (loss) primarily consists of unrealized gains and (losses) recognized due to the impact of fluctuations in long-term interest rates on the market value of our Agency RMBS designated as "available-for-sale" securities, net of reversals of prior period unrealized amounts upon realization. For the three and nine months ended September 30, 2017, we had other comprehensive income (loss) of $90 million and $257 million, respectively, compared to $(90) million and $1.1 billion for the three and nine months ended September 30, 2016,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funds are borrowings under master repurchase agreements, asset sales, receipts of monthly principal and interest payments on our investment portfolio and equity offerings. We also enter into TBA contracts as a means of acquiring or disposing of Agency securities and utilize TBA dollar roll transactions to finance Agency RMBS purchases. Because the level of our borrowings can be adjusted on a daily basis,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eleven times the amount of our tangible stockholders' equity. However, under certain market conditions, we may operate at leverage levels outside of this range for extended periods of time.</w:t>
      </w:r>
    </w:p>
    <w:p>
      <w:pPr>
        <w:spacing w:after="0" w:line="1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2017 and December 31, 2016, our mortgage borrowings and net TBA position consisted of the following ($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 2017</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2016</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Funding</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used to fund Agency RMBS </w:t>
            </w:r>
            <w:r>
              <w:rPr>
                <w:rFonts w:ascii="Arial" w:cs="Arial" w:eastAsia="Arial" w:hAnsi="Arial"/>
                <w:sz w:val="8"/>
                <w:szCs w:val="8"/>
                <w:b w:val="1"/>
                <w:bCs w:val="1"/>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45,505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37,686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FHLB advances</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3,037</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45,885</w:t>
            </w: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41,183</w:t>
            </w:r>
          </w:p>
        </w:tc>
        <w:tc>
          <w:tcPr>
            <w:tcW w:w="1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19,433</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11,312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Total mortgage funding</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65,318</w:t>
            </w:r>
          </w:p>
        </w:tc>
        <w:tc>
          <w:tcPr>
            <w:tcW w:w="1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52,495</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Excludes repurchase agreements used to fund U.S. Treasury securities of $0 million and $172 million as of September 30, 2017 and December 31, 2016, respectively.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8.0x and 7.7x as of September 30, 2017 and December 31, 2016, measured as the sum of our total mortgage borrowings, net TBA position (at cost) and net payable / (receivable) for unsettled investment securities divided by the sum of our total stockholders' equity adjusted to exclude goodwill and other intangible assets.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typically have floating rates of interest based on LIBOR plus or minus a fixed spread.</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we had $45.5 billion of repurchase agreements outstanding used to fund acquisitions of investment securities with a weighted average cost of funds of 1.36% and a weighted average remaining days-to-maturity of 129 days, compared $37.7 billion, 0.98% and 187 days, respectively, as of December 31, 2016.</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September 30, 2017, we had master repurchase agreements with 41 financial institutions located throughout North America, Europe and Asia, including counterparties accessed through our wholly-owned captive broker-dealer subsidiary, Bethesda Securities. Bethesda Securities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September 30, 2017, $13.8 billion of our repurchase agreement funding was accessed through Bethesda Securities.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jc w:val="both"/>
        <w:ind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September 30, 2017. For further details regarding our borrowings under repurchase agreements as of September 30, 2017, please refer to Notes 5 and 7 to our Consolidated Financial Statements in this Form 10-Q.</w:t>
      </w:r>
    </w:p>
    <w:p>
      <w:pPr>
        <w:spacing w:after="0" w:line="267"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Percent of Agency</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RMBS 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21</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the nine months ended September 30, 2017, haircuts on our pledged collateral remained stable and, as of September 30, 2017, our weighted average haircut was approximately 4.5% of the value of our collateral, inclusive of collateral funded through Bethesda Securities. As of September 30, 2017, our maximum amount at risk (or the amount or our repurchase liabilities in excess of the value of collateral pledged) with any counterparty related to our repurchase agreements was less than 5% of our tangible stockholders' equity, and our top five repo counterparties represented less than 12% of our tangible stockholders' equity.</w:t>
      </w:r>
    </w:p>
    <w:p>
      <w:pPr>
        <w:spacing w:after="0" w:line="13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September 30, 2017, we had met all of our margin requirements and we had unrestricted cash and cash equivalents of $1.1 billion and unpledged securities of approximately $3.6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swaptions, U.S. Treasury securities, U.S. Treasury futures contracts and TBA securities. Please refer to Notes 3 and 6 to our Consolidated Financial Statements in this Form 10-Q for further details regarding our use of derivative instruments.</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derivative agreements typically require that we pledge / receive collateral in a similar manner as we are required to under our repurchase agreements.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central clearing exchanges and major financial institutions with acceptable credit ratings and by monitoring positions with individual counterparties. Excluding centrally cleared derivative instruments, as of September 30, 2017, our amount at risk with any counterparty related to our interest rate swap and swaption agreements was less than 1% of our stockholders' equity. In the case of centrally cleared derivative instruments,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clearinghouse guarantee funds and other resources that are available in the event of a clearing member default.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Form 10-Q).</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September 30, 2017, we had a net long TBA position with a total market value and a total cost basis of $19.4 billion and a net carrying value of $(24) million recognized in derivative assets/(liabilities), at fair value, on our Consolidated Balance Sheets in this Form 10-Q.</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Advances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February 2017, our wholly-owned captive insurance subsidiary's membership to the FHLB of Des Moines was terminated pursuant to the FHFA's final rule on changes to regulations concerning FHLB membership criteria released in January 2016. All of our outstanding FHLB advances were repaid prior to termination.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Bethesda Securities is subject to regulations of the securities business that include but are not limited to trade practices, capital structure, recordkeeping and conduct of directors, officers and employees. As a self-clearing registered broker-dealer, Bethesda Securities is required to maintain minimum net regulatory capital as defined by SEC Rule 15c3-1 (the "Rule"). As of September 30, 2017, the minimum net capital required was $0.3 million and Bethesda Securities had excess net capital of $204.0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jc w:val="both"/>
        <w:ind w:right="20"/>
        <w:spacing w:after="0" w:line="308" w:lineRule="auto"/>
        <w:rPr>
          <w:sz w:val="20"/>
          <w:szCs w:val="20"/>
          <w:color w:val="auto"/>
        </w:rPr>
      </w:pPr>
      <w:r>
        <w:rPr>
          <w:rFonts w:ascii="Arial" w:cs="Arial" w:eastAsia="Arial" w:hAnsi="Arial"/>
          <w:sz w:val="17"/>
          <w:szCs w:val="17"/>
          <w:color w:val="auto"/>
        </w:rPr>
        <w:t>level of Agency securities eligible for TBA delivery enhances our liquidity profile and provides price support for our TBA eligible securities at or above generic TBA prices. As of September 30, 2017, approximately 90% of our fixed rate Agency RMBS portfolio was eligible for TBA delivery.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September 2017, we completed a public offering in which 28.2 million shares of our common stock were sold to the underwriters for proceeds of $577 million, or $20.47 per common share, net of estimated offering costs. In May 2017, we completed a public offering in which 24.5 million shares of our common stock were sold to the underwriters for proceeds of $503 million, or $20.51 per common share, net of offering costs. We are also authorized by our Board of Directors to publicly offer and sell shares of our common stock in privately negotiated and/or at-the-market transactions from time-to-time up to an aggregate amount of $750 million of shares of our common stock, subject to U.S. Federal securities laws. During the three and nine months ended September 30, 2017, we sold 7.6 million shares of our common stock under the sales agreements for proceeds of $159 million, or $20.96 per common share, net of estimated offering costs. As of September 30, 2017, $589 million of shares of our common stock remain available for issuance under this program.</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August 2017, we issued 13,000 shares of 7.00% Series C Fixed-to-Floating Rate Cumulative Redeemable Preferred Stock in a public offering of 13.0 million Series C depositary shares at a price of $25 per depositary share for net proceeds of $315 million, after deducting estimated offering expenses. In September 2017, we redeemed all of our issued and outstanding shares of 8.000% Series A Cumulative Redeemable Preferred Stock for $173 million (or $25 per share liquidation preference), plus accrued and unpaid dividends.</w:t>
      </w:r>
    </w:p>
    <w:p>
      <w:pPr>
        <w:spacing w:after="0" w:line="1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the extent we raise additional equity capital we may use cash proceeds from such transactions to purchase additional investment securities, to make scheduled payments of principal and interest on our funding liabilities and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asset value per common share, among other conditions, we may repurchase shares of our common stock, subject to the provisions of our stock repurchase program (see Note 10 to our Consolidated Financial Statements in this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2017,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Furthermore, as of September 30, 2017, we had not guaranteed any obligations of unconsolidated entities or entered into any commitment or intent to provide funding to any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utilize a variety of strategies to limit the effects of changes in interest rates on our operations. The principal instruments that we use are interest rate swaps, swaptions, U.S. Treasury securities and U.S. Treasury futures contracts. We also use forward contracts in the Agency RMBS TBA market to invest in and finance Agency securities as well as to periodically reduce our exposure to Agency RMBS.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judgment. These adjustments are intended to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tangible net asset value as of September 30, 2017 and December 31, 2016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September 30, 2017 and December 31, 2016.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Tangible Net</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September 30, 2017</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-0.1%</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+1.9%</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+4.9%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+4.4%</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+4.1%</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 w:lineRule="exact"/>
        <w:rPr>
          <w:sz w:val="20"/>
          <w:szCs w:val="20"/>
          <w:color w:val="auto"/>
        </w:rPr>
      </w:pPr>
    </w:p>
    <w:p>
      <w:pPr>
        <w:ind w:left="660" w:right="2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9% and 8% as of September 30, 2017 and December 31, 2016, respectively. As of September 30, 2017, rate shock scenarios assume a forecasted CPR of 12%, 10%, 7% and 7% for the -100, -50, +50 and +100 basis points scenarios, respectively. As of December 31, 2016, rate shock scenarios assume a forecasted CPR of 10%, 9%, 7%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tangible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19"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tangible net asset value as of September 30, 2017 and December 31, 2016 should spreads widen or tighten by 10 and 25 basis points. The estimated impact of changes in spreads is in addition to our interest rate shock sensitivity included in the interest rate shock table above. The table below assumes a spread duration of 5.3 and 5.4 years as of September 30, 2017 and December 31, 2016, respectively, based on interest rates and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Tangible 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September 30,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+12.3%</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+4.9%</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+4.8%</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tangible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primary liquidity risk for us arises from financing long-term assets with shorter-term borrowings through repurchase agreements and other short-term funding agreements. As of September 30, 2017, we had unrestricted cash and cash equivalents of $1.1 billion and unpledged securities of approximately $3.6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often utilize TBA dollar roll transactions as a means of investing in and financing Agency RMBS.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assumptions regarding the rate at which the borrowers will prepay the underlying mortgage loans. In general, we use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exposed to credit risk related to our CRT and non-Agency investments, certain derivative transactions, and our collateral held by funding and derivative counterparties. We accept credit exposure at levels we deem prudent as an integral part of our investment and hedging strategy. We seek to manage this risk through prudent asset selection, pre-acquisition due diligence, post-acquisition performance monitoring, sale of assets where we have identified negative credit trends and the use of various types of credit enhancements. We may also use non-recourse financing, which limits our exposure to credit losses to the specific securities subject to the non-recourse financing. Our overall management of credit exposure may also include the use of credit default swaps or other financial derivatives that we believe are appropriate. Additionally, we may vary the percentage mix of our investments or our duration gap, when we believe credit performance is inversely correlated with changes in interest rates, in an effort to actively adjust our credit exposure and to improve the risk/return profile of our investment portfolio.</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credit risk related to certain derivative transactions is largely mitigated through daily adjustments to collateral pledged based on changes in market value and we limit our counterparties to major financial institutions with acceptable credit ratings. There is no guarantee that our efforts to manage credit risk will be successful and we could suffer losses if credit performance is worse than our expectations or if economic conditions worsen.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2017.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See also </w:t>
      </w:r>
      <w:r>
        <w:rPr>
          <w:rFonts w:ascii="Arial" w:cs="Arial" w:eastAsia="Arial" w:hAnsi="Arial"/>
          <w:sz w:val="18"/>
          <w:szCs w:val="18"/>
          <w:i w:val="1"/>
          <w:iCs w:val="1"/>
          <w:color w:val="auto"/>
        </w:rPr>
        <w:t>"Loss Contingencies"</w:t>
      </w:r>
      <w:r>
        <w:rPr>
          <w:rFonts w:ascii="Arial" w:cs="Arial" w:eastAsia="Arial" w:hAnsi="Arial"/>
          <w:sz w:val="18"/>
          <w:szCs w:val="18"/>
          <w:color w:val="auto"/>
        </w:rPr>
        <w:t xml:space="preserve"> in Note 3 to our Consolidated Financial Statements included in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160" w:hanging="449"/>
        <w:spacing w:after="0" w:line="277" w:lineRule="auto"/>
        <w:rPr>
          <w:rFonts w:ascii="Arial" w:cs="Arial" w:eastAsia="Arial" w:hAnsi="Arial"/>
          <w:sz w:val="18"/>
          <w:szCs w:val="18"/>
          <w:color w:val="auto"/>
        </w:rPr>
      </w:pPr>
      <w:hyperlink r:id="rId38">
        <w:r>
          <w:rPr>
            <w:rFonts w:ascii="Arial" w:cs="Arial" w:eastAsia="Arial" w:hAnsi="Arial"/>
            <w:sz w:val="18"/>
            <w:szCs w:val="18"/>
            <w:color w:val="auto"/>
          </w:rPr>
          <w:t>*3.1 AGNC Investment Corp. Amended and Restated Certificate of Incorporation, as amended, incorporated herein by reference to Exhibit 3.1</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of Form 10-Q for the quarter ended September 30, 2016 (File No. 001-34057), filed November 7, 2016.</w:t>
        </w:r>
      </w:hyperlink>
    </w:p>
    <w:p>
      <w:pPr>
        <w:spacing w:after="0" w:line="130" w:lineRule="exact"/>
        <w:rPr>
          <w:sz w:val="20"/>
          <w:szCs w:val="20"/>
          <w:color w:val="auto"/>
        </w:rPr>
      </w:pPr>
    </w:p>
    <w:p>
      <w:pPr>
        <w:ind w:left="1300" w:right="120" w:hanging="449"/>
        <w:spacing w:after="0" w:line="277" w:lineRule="auto"/>
        <w:rPr>
          <w:rFonts w:ascii="Arial" w:cs="Arial" w:eastAsia="Arial" w:hAnsi="Arial"/>
          <w:sz w:val="18"/>
          <w:szCs w:val="18"/>
          <w:color w:val="auto"/>
        </w:rPr>
      </w:pPr>
      <w:hyperlink r:id="rId39">
        <w:r>
          <w:rPr>
            <w:rFonts w:ascii="Arial" w:cs="Arial" w:eastAsia="Arial" w:hAnsi="Arial"/>
            <w:sz w:val="18"/>
            <w:szCs w:val="18"/>
            <w:color w:val="auto"/>
          </w:rPr>
          <w:t>*3.2 AGNC Investment Corp. Third Amended and Restated Bylaws, as amended, incorporated herein by reference to Exhibit 3.2 of Form 10-Q</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for the quarter ended September 30, 2016 (File No. 001-34057), filed November 7, 2016.</w:t>
        </w:r>
      </w:hyperlink>
    </w:p>
    <w:p>
      <w:pPr>
        <w:spacing w:after="0" w:line="130" w:lineRule="exact"/>
        <w:rPr>
          <w:sz w:val="20"/>
          <w:szCs w:val="20"/>
          <w:color w:val="auto"/>
        </w:rPr>
      </w:pPr>
    </w:p>
    <w:p>
      <w:pPr>
        <w:ind w:left="1300" w:right="80" w:hanging="449"/>
        <w:spacing w:after="0" w:line="277" w:lineRule="auto"/>
        <w:rPr>
          <w:rFonts w:ascii="Arial" w:cs="Arial" w:eastAsia="Arial" w:hAnsi="Arial"/>
          <w:sz w:val="18"/>
          <w:szCs w:val="18"/>
          <w:color w:val="auto"/>
        </w:rPr>
      </w:pPr>
      <w:hyperlink r:id="rId40">
        <w:r>
          <w:rPr>
            <w:rFonts w:ascii="Arial" w:cs="Arial" w:eastAsia="Arial" w:hAnsi="Arial"/>
            <w:sz w:val="18"/>
            <w:szCs w:val="18"/>
            <w:color w:val="auto"/>
          </w:rPr>
          <w:t>*3.3 Certificate of Designations of 7.750% Series B Cumulative Redeemable Preferred Stock, incorporated herein by reference to Exhibit 3.4 of</w:t>
        </w:r>
      </w:hyperlink>
      <w:r>
        <w:rPr>
          <w:rFonts w:ascii="Arial" w:cs="Arial" w:eastAsia="Arial" w:hAnsi="Arial"/>
          <w:sz w:val="18"/>
          <w:szCs w:val="18"/>
          <w:color w:val="auto"/>
        </w:rPr>
        <w:t xml:space="preserve"> </w:t>
      </w:r>
      <w:hyperlink r:id="rId40">
        <w:r>
          <w:rPr>
            <w:rFonts w:ascii="Arial" w:cs="Arial" w:eastAsia="Arial" w:hAnsi="Arial"/>
            <w:sz w:val="18"/>
            <w:szCs w:val="18"/>
            <w:color w:val="auto"/>
          </w:rPr>
          <w:t>Form 8-A (File No. 001-34057), filed May 7, 2014.</w:t>
        </w:r>
      </w:hyperlink>
    </w:p>
    <w:p>
      <w:pPr>
        <w:spacing w:after="0" w:line="130" w:lineRule="exact"/>
        <w:rPr>
          <w:sz w:val="20"/>
          <w:szCs w:val="20"/>
          <w:color w:val="auto"/>
        </w:rPr>
      </w:pPr>
    </w:p>
    <w:p>
      <w:pPr>
        <w:ind w:left="1300" w:right="420" w:hanging="449"/>
        <w:spacing w:after="0" w:line="277" w:lineRule="auto"/>
        <w:rPr>
          <w:rFonts w:ascii="Arial" w:cs="Arial" w:eastAsia="Arial" w:hAnsi="Arial"/>
          <w:sz w:val="18"/>
          <w:szCs w:val="18"/>
          <w:color w:val="auto"/>
        </w:rPr>
      </w:pPr>
      <w:hyperlink r:id="rId41">
        <w:r>
          <w:rPr>
            <w:rFonts w:ascii="Arial" w:cs="Arial" w:eastAsia="Arial" w:hAnsi="Arial"/>
            <w:sz w:val="18"/>
            <w:szCs w:val="18"/>
            <w:color w:val="auto"/>
          </w:rPr>
          <w:t>*3.4 Certificate of Designations of 7.00% Series C Fixed-to-Floating Rate Cumulative Redeemable Preferred Stock, incorporated herein by</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reference to Exhibit 3.5 of Form 8-A (File No. 001-34057), filed August 18, 2017.</w:t>
        </w:r>
      </w:hyperlink>
    </w:p>
    <w:p>
      <w:pPr>
        <w:spacing w:after="0" w:line="130" w:lineRule="exact"/>
        <w:rPr>
          <w:sz w:val="20"/>
          <w:szCs w:val="20"/>
          <w:color w:val="auto"/>
        </w:rPr>
      </w:pPr>
    </w:p>
    <w:p>
      <w:pPr>
        <w:ind w:left="1300" w:right="160" w:hanging="449"/>
        <w:spacing w:after="0" w:line="277" w:lineRule="auto"/>
        <w:rPr>
          <w:rFonts w:ascii="Arial" w:cs="Arial" w:eastAsia="Arial" w:hAnsi="Arial"/>
          <w:sz w:val="18"/>
          <w:szCs w:val="18"/>
          <w:color w:val="auto"/>
        </w:rPr>
      </w:pPr>
      <w:hyperlink r:id="rId42">
        <w:r>
          <w:rPr>
            <w:rFonts w:ascii="Arial" w:cs="Arial" w:eastAsia="Arial" w:hAnsi="Arial"/>
            <w:sz w:val="18"/>
            <w:szCs w:val="18"/>
            <w:color w:val="auto"/>
          </w:rPr>
          <w:t>*3.5 Certificate of Elimination of 8.000% Series A Cumulative Redeemable Preferred Stock, incorporated herein by reference to Exhibit 3.1 of</w:t>
        </w:r>
      </w:hyperlink>
      <w:r>
        <w:rPr>
          <w:rFonts w:ascii="Arial" w:cs="Arial" w:eastAsia="Arial" w:hAnsi="Arial"/>
          <w:sz w:val="18"/>
          <w:szCs w:val="18"/>
          <w:color w:val="auto"/>
        </w:rPr>
        <w:t xml:space="preserve"> </w:t>
      </w:r>
      <w:hyperlink r:id="rId42">
        <w:r>
          <w:rPr>
            <w:rFonts w:ascii="Arial" w:cs="Arial" w:eastAsia="Arial" w:hAnsi="Arial"/>
            <w:sz w:val="18"/>
            <w:szCs w:val="18"/>
            <w:color w:val="auto"/>
          </w:rPr>
          <w:t>Form 8-K (File No 001-34057), filed October 26, 2017.</w:t>
        </w:r>
      </w:hyperlink>
    </w:p>
    <w:p>
      <w:pPr>
        <w:spacing w:after="0" w:line="130" w:lineRule="exact"/>
        <w:rPr>
          <w:sz w:val="20"/>
          <w:szCs w:val="20"/>
          <w:color w:val="auto"/>
        </w:rPr>
      </w:pPr>
    </w:p>
    <w:p>
      <w:pPr>
        <w:ind w:left="1300" w:right="340" w:hanging="449"/>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*4.1 Instruments defining the rights of holders of securities: See Article IV of our Amended and Restated Certificate of Incorporation, as</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amended, incorporated herein by reference to Exhibit 3.1 of Form 10-Q for the quarter ended September 30, 2016 (File No. 001-34057)</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filed November 7, 2016.</w:t>
        </w:r>
      </w:hyperlink>
    </w:p>
    <w:p>
      <w:pPr>
        <w:spacing w:after="0" w:line="141" w:lineRule="exact"/>
        <w:rPr>
          <w:rFonts w:ascii="Arial" w:cs="Arial" w:eastAsia="Arial" w:hAnsi="Arial"/>
          <w:sz w:val="18"/>
          <w:szCs w:val="18"/>
          <w:color w:val="auto"/>
        </w:rPr>
      </w:pPr>
    </w:p>
    <w:p>
      <w:pPr>
        <w:ind w:left="1300" w:right="700" w:hanging="449"/>
        <w:spacing w:after="0" w:line="264" w:lineRule="auto"/>
        <w:rPr>
          <w:rFonts w:ascii="Arial" w:cs="Arial" w:eastAsia="Arial" w:hAnsi="Arial"/>
          <w:sz w:val="18"/>
          <w:szCs w:val="18"/>
          <w:color w:val="auto"/>
        </w:rPr>
      </w:pPr>
      <w:hyperlink r:id="rId39">
        <w:r>
          <w:rPr>
            <w:rFonts w:ascii="Arial" w:cs="Arial" w:eastAsia="Arial" w:hAnsi="Arial"/>
            <w:sz w:val="18"/>
            <w:szCs w:val="18"/>
            <w:color w:val="auto"/>
          </w:rPr>
          <w:t>*4.2 Instruments defining the rights of holders of securities: See Article VI of our Third Amended and Restated Bylaws, as amended,</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incorporated herein by reference to Exhibit 3.2 of Form 10-Q for the quarter ended September 30, 2016 (File No. 001-34057) filed</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November 7, 2016.</w:t>
        </w:r>
      </w:hyperlink>
    </w:p>
    <w:p>
      <w:pPr>
        <w:spacing w:after="0" w:line="141" w:lineRule="exact"/>
        <w:rPr>
          <w:rFonts w:ascii="Arial" w:cs="Arial" w:eastAsia="Arial" w:hAnsi="Arial"/>
          <w:sz w:val="18"/>
          <w:szCs w:val="18"/>
          <w:color w:val="auto"/>
        </w:rPr>
      </w:pPr>
    </w:p>
    <w:p>
      <w:pPr>
        <w:ind w:left="840"/>
        <w:spacing w:after="0"/>
        <w:rPr>
          <w:rFonts w:ascii="Arial" w:cs="Arial" w:eastAsia="Arial" w:hAnsi="Arial"/>
          <w:sz w:val="16"/>
          <w:szCs w:val="16"/>
          <w:color w:val="auto"/>
        </w:rPr>
      </w:pPr>
      <w:hyperlink r:id="rId43">
        <w:r>
          <w:rPr>
            <w:rFonts w:ascii="Arial" w:cs="Arial" w:eastAsia="Arial" w:hAnsi="Arial"/>
            <w:sz w:val="16"/>
            <w:szCs w:val="16"/>
            <w:color w:val="auto"/>
          </w:rPr>
          <w:t>*4.3  Form of Certificate for Common Stock, incorporated herein by reference to Exhibit 4.3 of Form 10-Q for the quarter ended September 30,</w:t>
        </w:r>
      </w:hyperlink>
    </w:p>
    <w:p>
      <w:pPr>
        <w:spacing w:after="0" w:line="4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hyperlink r:id="rId43">
        <w:r>
          <w:rPr>
            <w:rFonts w:ascii="Arial" w:cs="Arial" w:eastAsia="Arial" w:hAnsi="Arial"/>
            <w:sz w:val="18"/>
            <w:szCs w:val="18"/>
            <w:color w:val="auto"/>
          </w:rPr>
          <w:t>2016 (File No. 001-34057), filed November 7, 2016.</w:t>
        </w:r>
      </w:hyperlink>
    </w:p>
    <w:p>
      <w:pPr>
        <w:spacing w:after="0" w:line="170" w:lineRule="exact"/>
        <w:rPr>
          <w:rFonts w:ascii="Arial" w:cs="Arial" w:eastAsia="Arial" w:hAnsi="Arial"/>
          <w:sz w:val="18"/>
          <w:szCs w:val="18"/>
          <w:color w:val="auto"/>
        </w:rPr>
      </w:pPr>
    </w:p>
    <w:p>
      <w:pPr>
        <w:ind w:left="1300" w:right="60" w:hanging="449"/>
        <w:spacing w:after="0" w:line="277" w:lineRule="auto"/>
        <w:rPr>
          <w:rFonts w:ascii="Arial" w:cs="Arial" w:eastAsia="Arial" w:hAnsi="Arial"/>
          <w:sz w:val="18"/>
          <w:szCs w:val="18"/>
          <w:color w:val="auto"/>
        </w:rPr>
      </w:pPr>
      <w:hyperlink r:id="rId44">
        <w:r>
          <w:rPr>
            <w:rFonts w:ascii="Arial" w:cs="Arial" w:eastAsia="Arial" w:hAnsi="Arial"/>
            <w:sz w:val="18"/>
            <w:szCs w:val="18"/>
            <w:color w:val="auto"/>
          </w:rPr>
          <w:t>*4.4 Specimen 7.750% Series B Cumulative Redeemable Preferred Stock Certificate, incorporated herein by reference to Exhibit 4.1 of Form 8-</w:t>
        </w:r>
      </w:hyperlink>
      <w:hyperlink r:id="rId44">
        <w:r>
          <w:rPr>
            <w:rFonts w:ascii="Arial" w:cs="Arial" w:eastAsia="Arial" w:hAnsi="Arial"/>
            <w:sz w:val="18"/>
            <w:szCs w:val="18"/>
            <w:color w:val="auto"/>
          </w:rPr>
          <w:t>A (File No. 001-34057), filed May 7, 2014.</w:t>
        </w:r>
      </w:hyperlink>
    </w:p>
    <w:p>
      <w:pPr>
        <w:spacing w:after="0" w:line="130" w:lineRule="exact"/>
        <w:rPr>
          <w:sz w:val="20"/>
          <w:szCs w:val="20"/>
          <w:color w:val="auto"/>
        </w:rPr>
      </w:pPr>
    </w:p>
    <w:p>
      <w:pPr>
        <w:ind w:left="1300" w:right="140" w:hanging="449"/>
        <w:spacing w:after="0" w:line="277" w:lineRule="auto"/>
        <w:rPr>
          <w:rFonts w:ascii="Arial" w:cs="Arial" w:eastAsia="Arial" w:hAnsi="Arial"/>
          <w:sz w:val="18"/>
          <w:szCs w:val="18"/>
          <w:color w:val="auto"/>
        </w:rPr>
      </w:pPr>
      <w:hyperlink r:id="rId45">
        <w:r>
          <w:rPr>
            <w:rFonts w:ascii="Arial" w:cs="Arial" w:eastAsia="Arial" w:hAnsi="Arial"/>
            <w:sz w:val="18"/>
            <w:szCs w:val="18"/>
            <w:color w:val="auto"/>
          </w:rPr>
          <w:t>*4.5 Specimen 7.00% Series C Fixed-to-Floating Rate Cumulative Redeemable Preferred Stock Certificate, incorporated herein by reference to</w:t>
        </w:r>
      </w:hyperlink>
      <w:r>
        <w:rPr>
          <w:rFonts w:ascii="Arial" w:cs="Arial" w:eastAsia="Arial" w:hAnsi="Arial"/>
          <w:sz w:val="18"/>
          <w:szCs w:val="18"/>
          <w:color w:val="auto"/>
        </w:rPr>
        <w:t xml:space="preserve"> </w:t>
      </w:r>
      <w:hyperlink r:id="rId45">
        <w:r>
          <w:rPr>
            <w:rFonts w:ascii="Arial" w:cs="Arial" w:eastAsia="Arial" w:hAnsi="Arial"/>
            <w:sz w:val="18"/>
            <w:szCs w:val="18"/>
            <w:color w:val="auto"/>
          </w:rPr>
          <w:t>Exhibit 4.1 of Form 8-A (File No. 001-34057), filed August 18, 2017.</w:t>
        </w:r>
      </w:hyperlink>
    </w:p>
    <w:p>
      <w:pPr>
        <w:spacing w:after="0" w:line="130" w:lineRule="exact"/>
        <w:rPr>
          <w:sz w:val="20"/>
          <w:szCs w:val="20"/>
          <w:color w:val="auto"/>
        </w:rPr>
      </w:pPr>
    </w:p>
    <w:p>
      <w:pPr>
        <w:jc w:val="both"/>
        <w:ind w:left="1300" w:right="340" w:hanging="449"/>
        <w:spacing w:after="0" w:line="264" w:lineRule="auto"/>
        <w:rPr>
          <w:rFonts w:ascii="Arial" w:cs="Arial" w:eastAsia="Arial" w:hAnsi="Arial"/>
          <w:sz w:val="18"/>
          <w:szCs w:val="18"/>
          <w:color w:val="auto"/>
        </w:rPr>
      </w:pPr>
      <w:hyperlink r:id="rId46">
        <w:r>
          <w:rPr>
            <w:rFonts w:ascii="Arial" w:cs="Arial" w:eastAsia="Arial" w:hAnsi="Arial"/>
            <w:sz w:val="18"/>
            <w:szCs w:val="18"/>
            <w:color w:val="auto"/>
          </w:rPr>
          <w:t>*4.6 Deposit Agreement relating to 7.750% Series B Cumulative Redeemable Preferred Stock, dated May 8, 2014, among American Capital</w:t>
        </w:r>
      </w:hyperlink>
      <w:r>
        <w:rPr>
          <w:rFonts w:ascii="Arial" w:cs="Arial" w:eastAsia="Arial" w:hAnsi="Arial"/>
          <w:sz w:val="18"/>
          <w:szCs w:val="18"/>
          <w:color w:val="auto"/>
        </w:rPr>
        <w:t xml:space="preserve"> </w:t>
      </w:r>
      <w:hyperlink r:id="rId46">
        <w:r>
          <w:rPr>
            <w:rFonts w:ascii="Arial" w:cs="Arial" w:eastAsia="Arial" w:hAnsi="Arial"/>
            <w:sz w:val="18"/>
            <w:szCs w:val="18"/>
            <w:color w:val="auto"/>
          </w:rPr>
          <w:t>Agency Corp., Computershare Inc. and Computershare Trust Company, N.A., jointly as depositary, incorporated herein by reference to</w:t>
        </w:r>
      </w:hyperlink>
      <w:r>
        <w:rPr>
          <w:rFonts w:ascii="Arial" w:cs="Arial" w:eastAsia="Arial" w:hAnsi="Arial"/>
          <w:sz w:val="18"/>
          <w:szCs w:val="18"/>
          <w:color w:val="auto"/>
        </w:rPr>
        <w:t xml:space="preserve"> </w:t>
      </w:r>
      <w:hyperlink r:id="rId46">
        <w:r>
          <w:rPr>
            <w:rFonts w:ascii="Arial" w:cs="Arial" w:eastAsia="Arial" w:hAnsi="Arial"/>
            <w:sz w:val="18"/>
            <w:szCs w:val="18"/>
            <w:color w:val="auto"/>
          </w:rPr>
          <w:t>Exhibit 4.2 of Form 8-K (File No. 001-34057), filed May 8, 2014.</w:t>
        </w:r>
      </w:hyperlink>
    </w:p>
    <w:p>
      <w:pPr>
        <w:spacing w:after="0" w:line="141" w:lineRule="exact"/>
        <w:rPr>
          <w:rFonts w:ascii="Arial" w:cs="Arial" w:eastAsia="Arial" w:hAnsi="Arial"/>
          <w:sz w:val="18"/>
          <w:szCs w:val="18"/>
          <w:color w:val="auto"/>
        </w:rPr>
      </w:pPr>
    </w:p>
    <w:p>
      <w:pPr>
        <w:ind w:left="1300" w:hanging="449"/>
        <w:spacing w:after="0" w:line="308" w:lineRule="auto"/>
        <w:rPr>
          <w:rFonts w:ascii="Arial" w:cs="Arial" w:eastAsia="Arial" w:hAnsi="Arial"/>
          <w:sz w:val="17"/>
          <w:szCs w:val="17"/>
          <w:color w:val="auto"/>
        </w:rPr>
      </w:pPr>
      <w:hyperlink r:id="rId46">
        <w:r>
          <w:rPr>
            <w:rFonts w:ascii="Arial" w:cs="Arial" w:eastAsia="Arial" w:hAnsi="Arial"/>
            <w:sz w:val="17"/>
            <w:szCs w:val="17"/>
            <w:color w:val="auto"/>
          </w:rPr>
          <w:t>*4.7 Form of Depositary Receipt representing 1/1,000th of a share of 7.750% Series B Cumulative Redeemable Preferred Stock (included as part</w:t>
        </w:r>
      </w:hyperlink>
      <w:r>
        <w:rPr>
          <w:rFonts w:ascii="Arial" w:cs="Arial" w:eastAsia="Arial" w:hAnsi="Arial"/>
          <w:sz w:val="17"/>
          <w:szCs w:val="17"/>
          <w:color w:val="auto"/>
        </w:rPr>
        <w:t xml:space="preserve"> </w:t>
      </w:r>
      <w:hyperlink r:id="rId46">
        <w:r>
          <w:rPr>
            <w:rFonts w:ascii="Arial" w:cs="Arial" w:eastAsia="Arial" w:hAnsi="Arial"/>
            <w:sz w:val="17"/>
            <w:szCs w:val="17"/>
            <w:color w:val="auto"/>
          </w:rPr>
          <w:t>of Exhibit 4.6), incorporated herein by reference to Exhibit 4.2 of Form 8-K (File No. 001-34057), filed May 8, 2014.</w:t>
        </w:r>
      </w:hyperlink>
    </w:p>
    <w:p>
      <w:pPr>
        <w:spacing w:after="0" w:line="106" w:lineRule="exact"/>
        <w:rPr>
          <w:sz w:val="20"/>
          <w:szCs w:val="20"/>
          <w:color w:val="auto"/>
        </w:rPr>
      </w:pPr>
    </w:p>
    <w:p>
      <w:pPr>
        <w:ind w:left="1300" w:right="180" w:hanging="449"/>
        <w:spacing w:after="0" w:line="264" w:lineRule="auto"/>
        <w:rPr>
          <w:rFonts w:ascii="Arial" w:cs="Arial" w:eastAsia="Arial" w:hAnsi="Arial"/>
          <w:sz w:val="18"/>
          <w:szCs w:val="18"/>
          <w:color w:val="auto"/>
        </w:rPr>
      </w:pPr>
      <w:hyperlink r:id="rId47">
        <w:r>
          <w:rPr>
            <w:rFonts w:ascii="Arial" w:cs="Arial" w:eastAsia="Arial" w:hAnsi="Arial"/>
            <w:sz w:val="18"/>
            <w:szCs w:val="18"/>
            <w:color w:val="auto"/>
          </w:rPr>
          <w:t>*4.8 Deposit Agreement relating to 7.00% Series C Fixed-to-Floating Rate Cumulative Redeemable Preferred Stock, dated August 22, 2017,</w:t>
        </w:r>
      </w:hyperlink>
      <w:r>
        <w:rPr>
          <w:rFonts w:ascii="Arial" w:cs="Arial" w:eastAsia="Arial" w:hAnsi="Arial"/>
          <w:sz w:val="18"/>
          <w:szCs w:val="18"/>
          <w:color w:val="auto"/>
        </w:rPr>
        <w:t xml:space="preserve"> </w:t>
      </w:r>
      <w:hyperlink r:id="rId47">
        <w:r>
          <w:rPr>
            <w:rFonts w:ascii="Arial" w:cs="Arial" w:eastAsia="Arial" w:hAnsi="Arial"/>
            <w:sz w:val="18"/>
            <w:szCs w:val="18"/>
            <w:color w:val="auto"/>
          </w:rPr>
          <w:t>among AGNC Investment Corp., Computershare Inc. and Computershare Trust Company, N.A., jointly as depositary, incorporated herein</w:t>
        </w:r>
      </w:hyperlink>
      <w:r>
        <w:rPr>
          <w:rFonts w:ascii="Arial" w:cs="Arial" w:eastAsia="Arial" w:hAnsi="Arial"/>
          <w:sz w:val="18"/>
          <w:szCs w:val="18"/>
          <w:color w:val="auto"/>
        </w:rPr>
        <w:t xml:space="preserve"> </w:t>
      </w:r>
      <w:hyperlink r:id="rId47">
        <w:r>
          <w:rPr>
            <w:rFonts w:ascii="Arial" w:cs="Arial" w:eastAsia="Arial" w:hAnsi="Arial"/>
            <w:sz w:val="18"/>
            <w:szCs w:val="18"/>
            <w:color w:val="auto"/>
          </w:rPr>
          <w:t>by reference to Exhibit 4.2 of Form 8-K (File No. 001-34057) filed August 22, 2017.</w:t>
        </w:r>
      </w:hyperlink>
    </w:p>
    <w:p>
      <w:pPr>
        <w:spacing w:after="0" w:line="141" w:lineRule="exact"/>
        <w:rPr>
          <w:rFonts w:ascii="Arial" w:cs="Arial" w:eastAsia="Arial" w:hAnsi="Arial"/>
          <w:sz w:val="18"/>
          <w:szCs w:val="18"/>
          <w:color w:val="auto"/>
        </w:rPr>
      </w:pPr>
    </w:p>
    <w:p>
      <w:pPr>
        <w:jc w:val="both"/>
        <w:ind w:left="1300" w:right="100" w:hanging="449"/>
        <w:spacing w:after="0" w:line="264" w:lineRule="auto"/>
        <w:rPr>
          <w:rFonts w:ascii="Arial" w:cs="Arial" w:eastAsia="Arial" w:hAnsi="Arial"/>
          <w:sz w:val="18"/>
          <w:szCs w:val="18"/>
          <w:color w:val="auto"/>
        </w:rPr>
      </w:pPr>
      <w:hyperlink r:id="rId47">
        <w:r>
          <w:rPr>
            <w:rFonts w:ascii="Arial" w:cs="Arial" w:eastAsia="Arial" w:hAnsi="Arial"/>
            <w:sz w:val="18"/>
            <w:szCs w:val="18"/>
            <w:color w:val="auto"/>
          </w:rPr>
          <w:t>*4.9 Form of Depositary Receipt representing 1/1,000th of a share of 7.00% Series C Fixed-to-Floating Rate Cumulative Redeemable Preferred</w:t>
        </w:r>
      </w:hyperlink>
      <w:r>
        <w:rPr>
          <w:rFonts w:ascii="Arial" w:cs="Arial" w:eastAsia="Arial" w:hAnsi="Arial"/>
          <w:sz w:val="18"/>
          <w:szCs w:val="18"/>
          <w:color w:val="auto"/>
        </w:rPr>
        <w:t xml:space="preserve"> </w:t>
      </w:r>
      <w:hyperlink r:id="rId47">
        <w:r>
          <w:rPr>
            <w:rFonts w:ascii="Arial" w:cs="Arial" w:eastAsia="Arial" w:hAnsi="Arial"/>
            <w:sz w:val="18"/>
            <w:szCs w:val="18"/>
            <w:color w:val="auto"/>
          </w:rPr>
          <w:t>Stock (included as part of Exhibit 4.8), incorporated herein by reference to Exhibit 4.2 of Form 8-K (File No. 001-34057) filed August 22,</w:t>
        </w:r>
      </w:hyperlink>
      <w:r>
        <w:rPr>
          <w:rFonts w:ascii="Arial" w:cs="Arial" w:eastAsia="Arial" w:hAnsi="Arial"/>
          <w:sz w:val="18"/>
          <w:szCs w:val="18"/>
          <w:color w:val="auto"/>
        </w:rPr>
        <w:t xml:space="preserve"> </w:t>
      </w:r>
      <w:hyperlink r:id="rId47">
        <w:r>
          <w:rPr>
            <w:rFonts w:ascii="Arial" w:cs="Arial" w:eastAsia="Arial" w:hAnsi="Arial"/>
            <w:sz w:val="18"/>
            <w:szCs w:val="18"/>
            <w:color w:val="auto"/>
          </w:rPr>
          <w:t>2017.</w:t>
        </w:r>
      </w:hyperlink>
    </w:p>
    <w:p>
      <w:pPr>
        <w:spacing w:after="0" w:line="14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59">
        <w:r>
          <w:rPr>
            <w:rFonts w:ascii="Arial" w:cs="Arial" w:eastAsia="Arial" w:hAnsi="Arial"/>
            <w:sz w:val="18"/>
            <w:szCs w:val="18"/>
            <w:color w:val="auto"/>
          </w:rPr>
          <w:t>Certification of CEO Pursuant to Section 302(a) of the Sarbanes-Oxley Act of 2002.</w:t>
        </w:r>
      </w:hyperlink>
    </w:p>
    <w:p>
      <w:pPr>
        <w:spacing w:after="0" w:line="18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60">
        <w:r>
          <w:rPr>
            <w:rFonts w:ascii="Arial" w:cs="Arial" w:eastAsia="Arial" w:hAnsi="Arial"/>
            <w:sz w:val="18"/>
            <w:szCs w:val="18"/>
            <w:color w:val="auto"/>
          </w:rPr>
          <w:t>Certification of CFO Pursuant to Section 302(a) of the Sarbanes-Oxley Act of 2002.</w:t>
        </w:r>
      </w:hyperlink>
    </w:p>
    <w:p>
      <w:pPr>
        <w:spacing w:after="0" w:line="185" w:lineRule="exact"/>
        <w:rPr>
          <w:rFonts w:ascii="Arial" w:cs="Arial" w:eastAsia="Arial" w:hAnsi="Arial"/>
          <w:sz w:val="18"/>
          <w:szCs w:val="18"/>
          <w:color w:val="auto"/>
        </w:rPr>
      </w:pPr>
    </w:p>
    <w:p>
      <w:pPr>
        <w:ind w:left="380" w:right="3540" w:firstLine="596"/>
        <w:spacing w:after="0" w:line="454" w:lineRule="auto"/>
        <w:tabs>
          <w:tab w:leader="none" w:pos="1300" w:val="left"/>
        </w:tabs>
        <w:numPr>
          <w:ilvl w:val="0"/>
          <w:numId w:val="33"/>
        </w:numPr>
        <w:rPr>
          <w:rFonts w:ascii="Arial" w:cs="Arial" w:eastAsia="Arial" w:hAnsi="Arial"/>
          <w:sz w:val="18"/>
          <w:szCs w:val="18"/>
          <w:color w:val="auto"/>
        </w:rPr>
      </w:pPr>
      <w:hyperlink w:anchor="page61">
        <w:r>
          <w:rPr>
            <w:rFonts w:ascii="Arial" w:cs="Arial" w:eastAsia="Arial" w:hAnsi="Arial"/>
            <w:sz w:val="18"/>
            <w:szCs w:val="18"/>
            <w:color w:val="auto"/>
          </w:rPr>
          <w:t>Certification of CEO and CFO Pursuant to Section 906 of the Sarbanes-Oxley Act of 2002.</w:t>
        </w:r>
      </w:hyperlink>
      <w:r>
        <w:rPr>
          <w:rFonts w:ascii="Arial" w:cs="Arial" w:eastAsia="Arial" w:hAnsi="Arial"/>
          <w:sz w:val="18"/>
          <w:szCs w:val="18"/>
          <w:color w:val="auto"/>
        </w:rPr>
        <w:t xml:space="preserve">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______________________</w:t>
      </w:r>
    </w:p>
    <w:p>
      <w:pPr>
        <w:sectPr>
          <w:pgSz w:w="11900" w:h="16838" w:orient="portrait"/>
          <w:cols w:equalWidth="0" w:num="1">
            <w:col w:w="11400"/>
          </w:cols>
          <w:pgMar w:left="240" w:top="738" w:right="259" w:bottom="1440" w:gutter="0" w:footer="0" w:header="0"/>
        </w:sectPr>
      </w:pPr>
    </w:p>
    <w:p>
      <w:pPr>
        <w:spacing w:after="0" w:line="25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738" w:right="259" w:bottom="1440" w:gutter="0" w:footer="0" w:header="0"/>
          <w:type w:val="continuous"/>
        </w:sectPr>
      </w:pPr>
    </w:p>
    <w:bookmarkStart w:id="56" w:name="page57"/>
    <w:bookmarkEnd w:id="56"/>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23" w:lineRule="exact"/>
        <w:rPr>
          <w:sz w:val="20"/>
          <w:szCs w:val="20"/>
          <w:color w:val="auto"/>
        </w:rPr>
      </w:pPr>
    </w:p>
    <w:p>
      <w:pPr>
        <w:ind w:left="660" w:hanging="652"/>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83" w:lineRule="exact"/>
        <w:rPr>
          <w:rFonts w:ascii="Arial" w:cs="Arial" w:eastAsia="Arial" w:hAnsi="Arial"/>
          <w:sz w:val="18"/>
          <w:szCs w:val="18"/>
          <w:color w:val="auto"/>
        </w:rPr>
      </w:pPr>
    </w:p>
    <w:p>
      <w:pPr>
        <w:ind w:left="880" w:hanging="467"/>
        <w:spacing w:after="0"/>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380" w:hanging="467"/>
        <w:spacing w:after="0" w:line="277"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584" w:right="47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President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3, 2017</w:t>
      </w:r>
    </w:p>
    <w:p>
      <w:pPr>
        <w:spacing w:after="0" w:line="306"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Peter Federico</w:t>
      </w:r>
    </w:p>
    <w:p>
      <w:pPr>
        <w:jc w:val="center"/>
        <w:ind w:left="6180"/>
        <w:spacing w:after="0" w:line="226" w:lineRule="auto"/>
        <w:rPr>
          <w:sz w:val="20"/>
          <w:szCs w:val="20"/>
          <w:color w:val="auto"/>
        </w:rPr>
      </w:pPr>
      <w:r>
        <w:rPr>
          <w:rFonts w:ascii="Arial" w:cs="Arial" w:eastAsia="Arial" w:hAnsi="Arial"/>
          <w:sz w:val="14"/>
          <w:szCs w:val="14"/>
          <w:b w:val="1"/>
          <w:bCs w:val="1"/>
          <w:color w:val="auto"/>
        </w:rPr>
        <w:t>Chief Financial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Executive Vice President (Principal Financial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80" w:right="279" w:bottom="1440" w:gutter="0" w:footer="0" w:header="0"/>
        </w:sectPr>
      </w:pPr>
    </w:p>
    <w:bookmarkStart w:id="58" w:name="page59"/>
    <w:bookmarkEnd w:id="58"/>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President and Chief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Officer (Principal Executive Officer)</w:t>
      </w:r>
    </w:p>
    <w:p>
      <w:pPr>
        <w:sectPr>
          <w:pgSz w:w="11900" w:h="16838" w:orient="portrait"/>
          <w:cols w:equalWidth="0" w:num="1">
            <w:col w:w="11400"/>
          </w:cols>
          <w:pgMar w:left="260" w:top="584" w:right="239" w:bottom="1440" w:gutter="0" w:footer="0" w:header="0"/>
        </w:sectPr>
      </w:pPr>
    </w:p>
    <w:bookmarkStart w:id="59" w:name="page60"/>
    <w:bookmarkEnd w:id="59"/>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Federico, certify that:</w:t>
      </w:r>
    </w:p>
    <w:p>
      <w:pPr>
        <w:spacing w:after="0" w:line="158" w:lineRule="exact"/>
        <w:rPr>
          <w:sz w:val="20"/>
          <w:szCs w:val="20"/>
          <w:color w:val="auto"/>
        </w:rPr>
      </w:pPr>
    </w:p>
    <w:p>
      <w:pPr>
        <w:ind w:left="860" w:hanging="467"/>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Peter Federico</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We, Gary Kain, Chief Executive Officer, President and Chief Investment Officer, and Peter Federico, Executive Vice President and Chief Financial Officer of AGNC Investment Corp. (the “Company”), certify pursuant to Section 906 of the Sarbanes-Oxley Act of 2002, 18 U.S.C. Section 1350 that:</w:t>
      </w:r>
    </w:p>
    <w:p>
      <w:pPr>
        <w:spacing w:after="0" w:line="70" w:lineRule="exact"/>
        <w:rPr>
          <w:sz w:val="20"/>
          <w:szCs w:val="20"/>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2017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President and 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3, 2017</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F</w:t>
            </w:r>
            <w:r>
              <w:rPr>
                <w:rFonts w:ascii="Arial" w:cs="Arial" w:eastAsia="Arial" w:hAnsi="Arial"/>
                <w:sz w:val="14"/>
                <w:szCs w:val="14"/>
                <w:color w:val="auto"/>
              </w:rPr>
              <w:t>EDERICO</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Peter Federico</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3, 2017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Roman"/>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32"/>
    </w:lvl>
  </w:abstractNum>
  <w:abstractNum w:abstractNumId="33">
    <w:nsid w:val="440BADFC"/>
    <w:multiLevelType w:val="hybridMultilevel"/>
    <w:lvl w:ilvl="0">
      <w:lvlJc w:val="left"/>
      <w:lvlText w:val="**"/>
      <w:numFmt w:val="bullet"/>
      <w:start w:val="1"/>
    </w:lvl>
    <w:lvl w:ilvl="1">
      <w:lvlJc w:val="left"/>
      <w:lvlText w:val="(%2)"/>
      <w:numFmt w:val="lowerLetter"/>
      <w:start w:val="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38" Type="http://schemas.openxmlformats.org/officeDocument/2006/relationships/hyperlink" Target="http://www.sec.gov/Archives/edgar/data/1423689/000142368916000104/agncexhibit319301610-q.htm" TargetMode="External"/><Relationship Id="rId39" Type="http://schemas.openxmlformats.org/officeDocument/2006/relationships/hyperlink" Target="http://www.sec.gov/Archives/edgar/data/1423689/000142368916000104/agncexhibit329301610-qbyla.htm" TargetMode="External"/><Relationship Id="rId40" Type="http://schemas.openxmlformats.org/officeDocument/2006/relationships/hyperlink" Target="http://www.sec.gov/Archives/edgar/data/1423689/000142368914000023/exh34certificateofdesignat.htm" TargetMode="External"/><Relationship Id="rId41" Type="http://schemas.openxmlformats.org/officeDocument/2006/relationships/hyperlink" Target="http://www.sec.gov/Archives/edgar/data/1423689/000142368917000044/ex35certificateofdesignati.htm" TargetMode="External"/><Relationship Id="rId42" Type="http://schemas.openxmlformats.org/officeDocument/2006/relationships/hyperlink" Target="http://www.sec.gov/Archives/edgar/data/1423689/000142368917000065/certificateofelimination.htm" TargetMode="External"/><Relationship Id="rId43" Type="http://schemas.openxmlformats.org/officeDocument/2006/relationships/hyperlink" Target="http://www.sec.gov/Archives/edgar/data/1423689/000142368916000104/agncexhibit43.htm" TargetMode="External"/><Relationship Id="rId44" Type="http://schemas.openxmlformats.org/officeDocument/2006/relationships/hyperlink" Target="http://www.sec.gov/Archives/edgar/data/1423689/000142368914000023/agncspecimenseriesbcumul.htm" TargetMode="External"/><Relationship Id="rId45" Type="http://schemas.openxmlformats.org/officeDocument/2006/relationships/hyperlink" Target="http://www.sec.gov/Archives/edgar/data/1423689/000142368917000044/exhibit41.htm" TargetMode="External"/><Relationship Id="rId46" Type="http://schemas.openxmlformats.org/officeDocument/2006/relationships/hyperlink" Target="http://www.sec.gov/Archives/edgar/data/1423689/000142368914000026/exhibit42depositagreement.htm" TargetMode="External"/><Relationship Id="rId47" Type="http://schemas.openxmlformats.org/officeDocument/2006/relationships/hyperlink" Target="http://www.sec.gov/Archives/edgar/data/1423689/000142368917000049/depos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2019-12-29T03:46:24Z</dcterms:created>
  <dcterms:modified xsi:type="dcterms:W3CDTF">2019-12-29T03:46:24Z</dcterms:modified>
</cp:coreProperties>
</file>