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Washington, D.C. 20549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FORM 10-K </w:t>
      </w:r>
    </w:p>
    <w:tbl>
      <w:tblPr>
        <w:tblW w:w="8711" w:type="dxa"/>
        <w:jc w:val="left"/>
        <w:tblInd w:w="0" w:type="dxa"/>
        <w:tblLayout w:type="fixed"/>
        <w:tblCellMar>
          <w:top w:w="28" w:type="dxa"/>
          <w:left w:w="28" w:type="dxa"/>
          <w:bottom w:w="28" w:type="dxa"/>
          <w:right w:w="28" w:type="dxa"/>
        </w:tblCellMar>
      </w:tblPr>
      <w:tblGrid>
        <w:gridCol w:w="124"/>
        <w:gridCol w:w="109"/>
        <w:gridCol w:w="109"/>
        <w:gridCol w:w="2445"/>
        <w:gridCol w:w="2445"/>
        <w:gridCol w:w="347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5" w:type="dxa"/>
            <w:tcBorders/>
            <w:vAlign w:val="center"/>
          </w:tcPr>
          <w:p>
            <w:pPr>
              <w:pStyle w:val="TableContents"/>
              <w:bidi w:val="0"/>
              <w:spacing w:before="0" w:after="283"/>
              <w:jc w:val="left"/>
              <w:rPr>
                <w:sz w:val="4"/>
                <w:szCs w:val="4"/>
              </w:rPr>
            </w:pPr>
            <w:r>
              <w:rPr>
                <w:sz w:val="4"/>
                <w:szCs w:val="4"/>
              </w:rPr>
            </w:r>
          </w:p>
        </w:tc>
        <w:tc>
          <w:tcPr>
            <w:tcW w:w="2445" w:type="dxa"/>
            <w:tcBorders/>
            <w:vAlign w:val="center"/>
          </w:tcPr>
          <w:p>
            <w:pPr>
              <w:pStyle w:val="TableContents"/>
              <w:bidi w:val="0"/>
              <w:spacing w:before="0" w:after="283"/>
              <w:jc w:val="left"/>
              <w:rPr>
                <w:sz w:val="4"/>
                <w:szCs w:val="4"/>
              </w:rPr>
            </w:pPr>
            <w:r>
              <w:rPr>
                <w:sz w:val="4"/>
                <w:szCs w:val="4"/>
              </w:rPr>
            </w:r>
          </w:p>
        </w:tc>
        <w:tc>
          <w:tcPr>
            <w:tcW w:w="347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3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ANNUAL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For the year ended December 31, 2025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OR</w:t>
      </w:r>
    </w:p>
    <w:tbl>
      <w:tblPr>
        <w:tblW w:w="9041" w:type="dxa"/>
        <w:jc w:val="left"/>
        <w:tblInd w:w="0" w:type="dxa"/>
        <w:tblLayout w:type="fixed"/>
        <w:tblCellMar>
          <w:top w:w="28" w:type="dxa"/>
          <w:left w:w="28" w:type="dxa"/>
          <w:bottom w:w="28" w:type="dxa"/>
          <w:right w:w="28" w:type="dxa"/>
        </w:tblCellMar>
      </w:tblPr>
      <w:tblGrid>
        <w:gridCol w:w="124"/>
        <w:gridCol w:w="109"/>
        <w:gridCol w:w="109"/>
        <w:gridCol w:w="2545"/>
        <w:gridCol w:w="2545"/>
        <w:gridCol w:w="36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c>
          <w:tcPr>
            <w:tcW w:w="36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Commission file number 001-34057 </w:t>
      </w:r>
    </w:p>
    <w:p>
      <w:pPr>
        <w:pStyle w:val="TextBody"/>
        <w:bidi w:val="0"/>
        <w:spacing w:before="180" w:after="283"/>
        <w:ind w:left="0" w:right="0" w:firstLine="720"/>
        <w:jc w:val="center"/>
        <w:rPr/>
      </w:pPr>
      <w:r>
        <w:rPr/>
        <w:drawing>
          <wp:inline distT="0" distB="0" distL="0" distR="0">
            <wp:extent cx="2114550"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14550" cy="638175"/>
                    </a:xfrm>
                    <a:prstGeom prst="rect">
                      <a:avLst/>
                    </a:prstGeom>
                  </pic:spPr>
                </pic:pic>
              </a:graphicData>
            </a:graphic>
          </wp:inline>
        </w:drawing>
      </w:r>
      <w:bookmarkStart w:id="0" w:name="i-1"/>
      <w:bookmarkEnd w:id="0"/>
    </w:p>
    <w:p>
      <w:pPr>
        <w:pStyle w:val="TextBody"/>
        <w:bidi w:val="0"/>
        <w:spacing w:lineRule="auto" w:line="288" w:before="0" w:after="0"/>
        <w:jc w:val="center"/>
        <w:rPr/>
      </w:pPr>
      <w:r>
        <w:rPr>
          <w:rFonts w:ascii="Times New Roman;serif" w:hAnsi="Times New Roman;serif"/>
          <w:b/>
          <w:color w:val="000000"/>
          <w:sz w:val="20"/>
        </w:rPr>
        <w:t>AGNC INVESTMENT CORP.</w:t>
      </w:r>
      <w:r>
        <w:rPr>
          <w:color w:val="000000"/>
        </w:rPr>
        <w:t xml:space="preserve">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_________________________________________________________</w:t>
      </w:r>
    </w:p>
    <w:tbl>
      <w:tblPr>
        <w:tblW w:w="4240" w:type="dxa"/>
        <w:jc w:val="left"/>
        <w:tblInd w:w="0" w:type="dxa"/>
        <w:tblLayout w:type="fixed"/>
        <w:tblCellMar>
          <w:top w:w="28" w:type="dxa"/>
          <w:left w:w="28" w:type="dxa"/>
          <w:bottom w:w="28" w:type="dxa"/>
          <w:right w:w="28" w:type="dxa"/>
        </w:tblCellMar>
      </w:tblPr>
      <w:tblGrid>
        <w:gridCol w:w="879"/>
        <w:gridCol w:w="771"/>
        <w:gridCol w:w="779"/>
        <w:gridCol w:w="109"/>
        <w:gridCol w:w="109"/>
        <w:gridCol w:w="109"/>
        <w:gridCol w:w="432"/>
        <w:gridCol w:w="432"/>
        <w:gridCol w:w="620"/>
      </w:tblGrid>
      <w:tr>
        <w:trPr/>
        <w:tc>
          <w:tcPr>
            <w:tcW w:w="87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26-1701984</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7373 Wisconsin Avenue, 22nd Floor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Bethesda, Maryland 20814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(301) 968-9315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pPr>
      <w:r>
        <w:rPr>
          <w:color w:val="000000"/>
        </w:rPr>
        <w:t> </w:t>
      </w:r>
      <w:r>
        <w:rPr>
          <w:rFonts w:ascii="Times New Roman;serif" w:hAnsi="Times New Roman;serif"/>
          <w:b w:val="false"/>
          <w:color w:val="000000"/>
          <w:sz w:val="14"/>
        </w:rPr>
        <w:t>_________________________________________________________</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2205"/>
        <w:gridCol w:w="1764"/>
        <w:gridCol w:w="1775"/>
        <w:gridCol w:w="109"/>
        <w:gridCol w:w="109"/>
        <w:gridCol w:w="109"/>
        <w:gridCol w:w="426"/>
        <w:gridCol w:w="422"/>
        <w:gridCol w:w="424"/>
        <w:gridCol w:w="109"/>
        <w:gridCol w:w="109"/>
        <w:gridCol w:w="109"/>
        <w:gridCol w:w="740"/>
        <w:gridCol w:w="740"/>
        <w:gridCol w:w="1055"/>
      </w:tblGrid>
      <w:tr>
        <w:trPr/>
        <w:tc>
          <w:tcPr>
            <w:tcW w:w="2205"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Exchange on Which Registered</w:t>
            </w:r>
          </w:p>
        </w:tc>
      </w:tr>
      <w:tr>
        <w:trPr/>
        <w:tc>
          <w:tcPr>
            <w:tcW w:w="5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AGNC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Global Select Market</w:t>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Depositary shares of 7.000% Series C Fixed-to-Floating Rate 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AGNCN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Global Select Market</w:t>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Depositary shares of 6.875% Series D Fixed-to-Floating Rate 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AGNCM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Global Select Market</w:t>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Depositary shares of 6.50% Series E Fixed-to-Floating Rate 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AGNCO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Global Select Market</w:t>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Depositary shares of 6.125% Series F Fixed-to-Floating Rate 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AGNCP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Global Select Market</w:t>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Depositary shares of 7.75% Series G Fixed-Rate Reset Cumulative </w:t>
              <w:br/>
              <w:t>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AGNCL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Global Select Market</w:t>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Depositary shares of 8.75% Series H Fixed-Rate Cumulative </w:t>
              <w:br/>
              <w:t>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AGNCZ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Global Select Market</w:t>
            </w:r>
          </w:p>
        </w:tc>
      </w:tr>
    </w:tbl>
    <w:p>
      <w:pPr>
        <w:pStyle w:val="TextBody"/>
        <w:bidi w:val="0"/>
        <w:spacing w:lineRule="auto" w:line="288" w:before="0" w:after="0"/>
        <w:ind w:left="0" w:right="0" w:firstLine="360"/>
        <w:jc w:val="center"/>
        <w:rPr>
          <w:rFonts w:ascii="Times New Roman;serif" w:hAnsi="Times New Roman;serif"/>
          <w:b/>
          <w:color w:val="000000"/>
          <w:sz w:val="16"/>
        </w:rPr>
      </w:pPr>
      <w:r>
        <w:rPr>
          <w:rFonts w:ascii="Times New Roman;serif" w:hAnsi="Times New Roman;serif"/>
          <w:b/>
          <w:color w:val="000000"/>
          <w:sz w:val="16"/>
        </w:rPr>
        <w:t>Securities Registered Pursuant to Section 12(g) of the Act: None</w:t>
      </w:r>
    </w:p>
    <w:p>
      <w:pPr>
        <w:pStyle w:val="TextBody"/>
        <w:bidi w:val="0"/>
        <w:spacing w:lineRule="auto" w:line="288" w:before="0" w:after="0"/>
        <w:ind w:left="0" w:right="0" w:firstLine="360"/>
        <w:jc w:val="left"/>
        <w:rPr/>
      </w:pPr>
      <w:r>
        <w:rPr>
          <w:rFonts w:ascii="Times New Roman;serif" w:hAnsi="Times New Roman;serif"/>
          <w:b w:val="false"/>
          <w:color w:val="000000"/>
          <w:sz w:val="16"/>
        </w:rPr>
        <w:t>Indicate by check mark if the registrant is a well-known seasoned issuer, as defined in Rule 405 of the Securities Act.    Yes </w:t>
      </w:r>
      <w:r>
        <w:rPr>
          <w:color w:val="000000"/>
        </w:rPr>
        <w:t xml:space="preserve">☒ </w:t>
      </w:r>
      <w:r>
        <w:rPr>
          <w:rFonts w:ascii="Times New Roman;serif" w:hAnsi="Times New Roman;serif"/>
          <w:b w:val="false"/>
          <w:color w:val="000000"/>
          <w:sz w:val="16"/>
        </w:rPr>
        <w:t>No  </w:t>
      </w:r>
      <w:r>
        <w:rPr>
          <w:color w:val="000000"/>
        </w:rPr>
        <w:t>☐</w:t>
      </w:r>
    </w:p>
    <w:p>
      <w:pPr>
        <w:pStyle w:val="TextBody"/>
        <w:bidi w:val="0"/>
        <w:spacing w:lineRule="auto" w:line="288" w:before="0" w:after="0"/>
        <w:ind w:left="0" w:right="0" w:firstLine="360"/>
        <w:jc w:val="left"/>
        <w:rPr/>
      </w:pPr>
      <w:r>
        <w:rPr>
          <w:rFonts w:ascii="Times New Roman;serif" w:hAnsi="Times New Roman;serif"/>
          <w:b w:val="false"/>
          <w:color w:val="000000"/>
          <w:sz w:val="16"/>
        </w:rPr>
        <w:t>Indicate by check mark if the registrant is not required to file reports pursuant to Section 13 or 15(d) of the Act.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0" w:after="0"/>
        <w:ind w:left="0" w:right="0" w:firstLine="360"/>
        <w:jc w:val="left"/>
        <w:rPr/>
      </w:pPr>
      <w:r>
        <w:rPr>
          <w:rFonts w:ascii="Times New Roman;serif" w:hAnsi="Times New Roman;serif"/>
          <w:b w:val="false"/>
          <w:color w:val="000000"/>
          <w:sz w:val="16"/>
        </w:rPr>
        <w:t>Indicate by check mark whether the registrant (1) has filed all reports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w:t>
      </w:r>
      <w:r>
        <w:rPr>
          <w:rFonts w:ascii="Times New Roman;serif" w:hAnsi="Times New Roman;serif"/>
          <w:b w:val="false"/>
          <w:color w:val="000000"/>
          <w:sz w:val="16"/>
        </w:rPr>
        <w:t>No  ☐</w:t>
      </w:r>
    </w:p>
    <w:p>
      <w:pPr>
        <w:pStyle w:val="TextBody"/>
        <w:bidi w:val="0"/>
        <w:spacing w:lineRule="auto" w:line="288" w:before="0" w:after="0"/>
        <w:ind w:left="0" w:right="0" w:firstLine="360"/>
        <w:jc w:val="both"/>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Wingdings;sans-serif" w:hAnsi="Wingdings;sans-serif"/>
          <w:b w:val="false"/>
          <w:color w:val="000000"/>
          <w:sz w:val="16"/>
        </w:rPr>
        <w:t>x</w:t>
      </w:r>
      <w:r>
        <w:rPr>
          <w:color w:val="000000"/>
        </w:rPr>
        <w:t>    </w:t>
      </w:r>
      <w:r>
        <w:rPr>
          <w:rFonts w:ascii="Times New Roman;serif" w:hAnsi="Times New Roman;serif"/>
          <w:b w:val="false"/>
          <w:color w:val="000000"/>
          <w:sz w:val="16"/>
        </w:rPr>
        <w:t>No  ☐</w:t>
      </w:r>
    </w:p>
    <w:p>
      <w:pPr>
        <w:pStyle w:val="TextBody"/>
        <w:bidi w:val="0"/>
        <w:spacing w:lineRule="auto" w:line="288"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5152" w:type="dxa"/>
        <w:jc w:val="center"/>
        <w:tblInd w:w="0" w:type="dxa"/>
        <w:tblLayout w:type="fixed"/>
        <w:tblCellMar>
          <w:top w:w="28" w:type="dxa"/>
          <w:left w:w="28" w:type="dxa"/>
          <w:bottom w:w="28" w:type="dxa"/>
          <w:right w:w="28" w:type="dxa"/>
        </w:tblCellMar>
      </w:tblPr>
      <w:tblGrid>
        <w:gridCol w:w="739"/>
        <w:gridCol w:w="649"/>
        <w:gridCol w:w="652"/>
        <w:gridCol w:w="109"/>
        <w:gridCol w:w="109"/>
        <w:gridCol w:w="109"/>
        <w:gridCol w:w="109"/>
        <w:gridCol w:w="109"/>
        <w:gridCol w:w="109"/>
        <w:gridCol w:w="694"/>
        <w:gridCol w:w="694"/>
        <w:gridCol w:w="698"/>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center"/>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pPr>
      <w:r>
        <w:rPr>
          <w:rFonts w:ascii="Times New Roman;serif" w:hAnsi="Times New Roman;serif"/>
          <w:b w:val="false"/>
          <w:color w:val="000000"/>
          <w:sz w:val="16"/>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268"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68" w:before="0" w:after="0"/>
        <w:ind w:left="0" w:right="0" w:firstLine="360"/>
        <w:jc w:val="left"/>
        <w:rPr/>
      </w:pPr>
      <w:r>
        <w:rPr>
          <w:rFonts w:ascii="Times New Roman;serif" w:hAnsi="Times New Roman;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lineRule="auto" w:line="268" w:before="0" w:after="0"/>
        <w:ind w:left="0" w:right="0" w:firstLine="360"/>
        <w:jc w:val="left"/>
        <w:rPr/>
      </w:pPr>
      <w:r>
        <w:rPr>
          <w:rFonts w:ascii="Times New Roman;serif" w:hAnsi="Times New Roman;serif"/>
          <w:b w:val="false"/>
          <w:color w:val="000000"/>
          <w:sz w:val="16"/>
        </w:rPr>
        <w:t>Indicate by check mark whether the registrant is a shell company (as defined in Rule 12b-2 of the Exchange Act).    Yes  ☐    No  </w:t>
      </w:r>
      <w:r>
        <w:rPr>
          <w:rFonts w:ascii="Wingdings;sans-serif" w:hAnsi="Wingdings;sans-serif"/>
          <w:b w:val="false"/>
          <w:color w:val="000000"/>
          <w:sz w:val="16"/>
        </w:rPr>
        <w:t>x</w:t>
      </w:r>
    </w:p>
    <w:p>
      <w:pPr>
        <w:pStyle w:val="TextBody"/>
        <w:bidi w:val="0"/>
        <w:spacing w:lineRule="auto" w:line="288" w:before="0" w:after="0"/>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 xml:space="preserve">As of June 30, 2025, the aggregate market value of the Registrant's common stock held by non-affiliates of the Registrant was approximately $8.6 billion based upon the closing price of the Registrant's common stock of $9.19 per share as reported on The Nasdaq Global Select Market on that date. (For this computation, the Registrant has excluded the market value of all shares of its common stock reported as beneficially owned by executive officers and directors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the Registrant and certain other stockholders; such an exclusion shall not be deemed to constitute an admission that any such person is an "affiliate" of the Registrant.) </w:t>
      </w:r>
    </w:p>
    <w:p>
      <w:pPr>
        <w:pStyle w:val="TextBody"/>
        <w:bidi w:val="0"/>
        <w:spacing w:lineRule="auto" w:line="288" w:before="0" w:after="0"/>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The number of shares of the issuer's common stock, $0.01 par value, outstanding as of January 31, 2026 was 1,108,770,670.</w:t>
      </w:r>
    </w:p>
    <w:p>
      <w:pPr>
        <w:pStyle w:val="TextBody"/>
        <w:bidi w:val="0"/>
        <w:spacing w:lineRule="auto" w:line="288" w:before="0" w:after="0"/>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DOCUMENTS INCORPORATED BY REFERENCE. The information required by Part III will be incorporated by reference from the Registrant's definitive proxy statement for the 2026 Annual Meeting of Stockholders to be filed with the Securities and Exchange Commission pursuant to Regulation 14A.  </w:t>
      </w:r>
    </w:p>
    <w:p>
      <w:pPr>
        <w:pStyle w:val="TextBody"/>
        <w:bidi w:val="0"/>
        <w:spacing w:lineRule="auto" w:line="288" w:before="0" w:after="0"/>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Certain exhibits previously filed with the Securities and Exchange Commission are incorporated by reference into Part IV of this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AGNC INVESTMENT CORP.</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23"/>
        <w:gridCol w:w="283"/>
        <w:gridCol w:w="285"/>
        <w:gridCol w:w="2978"/>
        <w:gridCol w:w="2972"/>
        <w:gridCol w:w="2989"/>
        <w:gridCol w:w="109"/>
        <w:gridCol w:w="109"/>
        <w:gridCol w:w="157"/>
      </w:tblGrid>
      <w:tr>
        <w:trPr/>
        <w:tc>
          <w:tcPr>
            <w:tcW w:w="32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978" w:type="dxa"/>
            <w:tcBorders/>
            <w:vAlign w:val="center"/>
          </w:tcPr>
          <w:p>
            <w:pPr>
              <w:pStyle w:val="TableContents"/>
              <w:bidi w:val="0"/>
              <w:spacing w:before="0" w:after="283"/>
              <w:jc w:val="left"/>
              <w:rPr>
                <w:sz w:val="4"/>
                <w:szCs w:val="4"/>
              </w:rPr>
            </w:pPr>
            <w:r>
              <w:rPr>
                <w:sz w:val="4"/>
                <w:szCs w:val="4"/>
              </w:rPr>
            </w:r>
          </w:p>
        </w:tc>
        <w:tc>
          <w:tcPr>
            <w:tcW w:w="2972" w:type="dxa"/>
            <w:tcBorders/>
            <w:vAlign w:val="center"/>
          </w:tcPr>
          <w:p>
            <w:pPr>
              <w:pStyle w:val="TableContents"/>
              <w:bidi w:val="0"/>
              <w:spacing w:before="0" w:after="283"/>
              <w:jc w:val="left"/>
              <w:rPr>
                <w:sz w:val="4"/>
                <w:szCs w:val="4"/>
              </w:rPr>
            </w:pPr>
            <w:r>
              <w:rPr>
                <w:sz w:val="4"/>
                <w:szCs w:val="4"/>
              </w:rPr>
            </w:r>
          </w:p>
        </w:tc>
        <w:tc>
          <w:tcPr>
            <w:tcW w:w="2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91" w:type="dxa"/>
            <w:gridSpan w:val="3"/>
            <w:tcBorders/>
            <w:vAlign w:val="center"/>
          </w:tcPr>
          <w:p>
            <w:pPr>
              <w:pStyle w:val="TableContents"/>
              <w:bidi w:val="0"/>
              <w:spacing w:before="0" w:after="283"/>
              <w:jc w:val="left"/>
              <w:rPr>
                <w:sz w:val="4"/>
                <w:szCs w:val="4"/>
              </w:rPr>
            </w:pPr>
            <w:r>
              <w:rPr>
                <w:sz w:val="4"/>
                <w:szCs w:val="4"/>
              </w:rPr>
            </w:r>
          </w:p>
        </w:tc>
        <w:tc>
          <w:tcPr>
            <w:tcW w:w="893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891" w:type="dxa"/>
            <w:gridSpan w:val="3"/>
            <w:tcBorders/>
            <w:vAlign w:val="center"/>
          </w:tcPr>
          <w:p>
            <w:pPr>
              <w:pStyle w:val="TableContents"/>
              <w:bidi w:val="0"/>
              <w:spacing w:before="0" w:after="283"/>
              <w:jc w:val="left"/>
              <w:rPr>
                <w:sz w:val="4"/>
                <w:szCs w:val="4"/>
              </w:rPr>
            </w:pPr>
            <w:r>
              <w:rPr>
                <w:sz w:val="4"/>
                <w:szCs w:val="4"/>
              </w:rPr>
            </w:r>
          </w:p>
        </w:tc>
        <w:tc>
          <w:tcPr>
            <w:tcW w:w="893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891" w:type="dxa"/>
            <w:gridSpan w:val="3"/>
            <w:tcBorders/>
            <w:vAlign w:val="center"/>
          </w:tcPr>
          <w:p>
            <w:pPr>
              <w:pStyle w:val="TableContents"/>
              <w:bidi w:val="0"/>
              <w:spacing w:before="0" w:after="283"/>
              <w:jc w:val="left"/>
              <w:rPr>
                <w:sz w:val="4"/>
                <w:szCs w:val="4"/>
              </w:rPr>
            </w:pPr>
            <w:r>
              <w:rPr>
                <w:sz w:val="4"/>
                <w:szCs w:val="4"/>
              </w:rPr>
            </w:r>
          </w:p>
        </w:tc>
        <w:tc>
          <w:tcPr>
            <w:tcW w:w="893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891" w:type="dxa"/>
            <w:gridSpan w:val="3"/>
            <w:tcBorders/>
            <w:vAlign w:val="center"/>
          </w:tcPr>
          <w:p>
            <w:pPr>
              <w:pStyle w:val="TableContents"/>
              <w:bidi w:val="0"/>
              <w:spacing w:before="0" w:after="283"/>
              <w:jc w:val="left"/>
              <w:rPr>
                <w:sz w:val="4"/>
                <w:szCs w:val="4"/>
              </w:rPr>
            </w:pPr>
            <w:r>
              <w:rPr>
                <w:sz w:val="4"/>
                <w:szCs w:val="4"/>
              </w:rPr>
            </w:r>
          </w:p>
        </w:tc>
        <w:tc>
          <w:tcPr>
            <w:tcW w:w="893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891" w:type="dxa"/>
            <w:gridSpan w:val="3"/>
            <w:tcBorders/>
            <w:vAlign w:val="center"/>
          </w:tcPr>
          <w:p>
            <w:pPr>
              <w:pStyle w:val="TableContents"/>
              <w:bidi w:val="0"/>
              <w:spacing w:before="0" w:after="283"/>
              <w:jc w:val="left"/>
              <w:rPr>
                <w:sz w:val="4"/>
                <w:szCs w:val="4"/>
              </w:rPr>
            </w:pPr>
            <w:r>
              <w:rPr>
                <w:sz w:val="4"/>
                <w:szCs w:val="4"/>
              </w:rPr>
            </w:r>
          </w:p>
        </w:tc>
        <w:tc>
          <w:tcPr>
            <w:tcW w:w="893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891" w:type="dxa"/>
            <w:gridSpan w:val="3"/>
            <w:tcBorders/>
            <w:vAlign w:val="center"/>
          </w:tcPr>
          <w:p>
            <w:pPr>
              <w:pStyle w:val="TableContents"/>
              <w:bidi w:val="0"/>
              <w:spacing w:before="0" w:after="283"/>
              <w:jc w:val="left"/>
              <w:rPr>
                <w:sz w:val="4"/>
                <w:szCs w:val="4"/>
              </w:rPr>
            </w:pPr>
            <w:r>
              <w:rPr>
                <w:sz w:val="4"/>
                <w:szCs w:val="4"/>
              </w:rPr>
            </w:r>
          </w:p>
        </w:tc>
        <w:tc>
          <w:tcPr>
            <w:tcW w:w="893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891" w:type="dxa"/>
            <w:gridSpan w:val="3"/>
            <w:tcBorders/>
            <w:vAlign w:val="center"/>
          </w:tcPr>
          <w:p>
            <w:pPr>
              <w:pStyle w:val="TableContents"/>
              <w:bidi w:val="0"/>
              <w:spacing w:before="0" w:after="283"/>
              <w:jc w:val="left"/>
              <w:rPr>
                <w:sz w:val="4"/>
                <w:szCs w:val="4"/>
              </w:rPr>
            </w:pPr>
            <w:r>
              <w:rPr>
                <w:sz w:val="4"/>
                <w:szCs w:val="4"/>
              </w:rPr>
            </w:r>
          </w:p>
        </w:tc>
        <w:tc>
          <w:tcPr>
            <w:tcW w:w="893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891" w:type="dxa"/>
            <w:gridSpan w:val="3"/>
            <w:tcBorders/>
            <w:vAlign w:val="center"/>
          </w:tcPr>
          <w:p>
            <w:pPr>
              <w:pStyle w:val="TableContents"/>
              <w:bidi w:val="0"/>
              <w:spacing w:before="0" w:after="283"/>
              <w:jc w:val="left"/>
              <w:rPr>
                <w:sz w:val="4"/>
                <w:szCs w:val="4"/>
              </w:rPr>
            </w:pPr>
            <w:r>
              <w:rPr>
                <w:sz w:val="4"/>
                <w:szCs w:val="4"/>
              </w:rPr>
            </w:r>
          </w:p>
        </w:tc>
        <w:tc>
          <w:tcPr>
            <w:tcW w:w="893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891" w:type="dxa"/>
            <w:gridSpan w:val="3"/>
            <w:tcBorders/>
            <w:vAlign w:val="center"/>
          </w:tcPr>
          <w:p>
            <w:pPr>
              <w:pStyle w:val="TableContents"/>
              <w:bidi w:val="0"/>
              <w:spacing w:before="0" w:after="283"/>
              <w:jc w:val="left"/>
              <w:rPr>
                <w:sz w:val="4"/>
                <w:szCs w:val="4"/>
              </w:rPr>
            </w:pPr>
            <w:r>
              <w:rPr>
                <w:sz w:val="4"/>
                <w:szCs w:val="4"/>
              </w:rPr>
            </w:r>
          </w:p>
        </w:tc>
        <w:tc>
          <w:tcPr>
            <w:tcW w:w="893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891" w:type="dxa"/>
            <w:gridSpan w:val="3"/>
            <w:tcBorders/>
            <w:vAlign w:val="center"/>
          </w:tcPr>
          <w:p>
            <w:pPr>
              <w:pStyle w:val="TableContents"/>
              <w:bidi w:val="0"/>
              <w:spacing w:before="0" w:after="283"/>
              <w:jc w:val="left"/>
              <w:rPr>
                <w:sz w:val="4"/>
                <w:szCs w:val="4"/>
              </w:rPr>
            </w:pPr>
            <w:r>
              <w:rPr>
                <w:sz w:val="4"/>
                <w:szCs w:val="4"/>
              </w:rPr>
            </w:r>
          </w:p>
        </w:tc>
        <w:tc>
          <w:tcPr>
            <w:tcW w:w="893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891" w:type="dxa"/>
            <w:gridSpan w:val="3"/>
            <w:tcBorders/>
            <w:vAlign w:val="center"/>
          </w:tcPr>
          <w:p>
            <w:pPr>
              <w:pStyle w:val="TableContents"/>
              <w:bidi w:val="0"/>
              <w:spacing w:before="0" w:after="283"/>
              <w:jc w:val="left"/>
              <w:rPr>
                <w:sz w:val="4"/>
                <w:szCs w:val="4"/>
              </w:rPr>
            </w:pPr>
            <w:r>
              <w:rPr>
                <w:sz w:val="4"/>
                <w:szCs w:val="4"/>
              </w:rPr>
            </w:r>
          </w:p>
        </w:tc>
        <w:tc>
          <w:tcPr>
            <w:tcW w:w="893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891" w:type="dxa"/>
            <w:gridSpan w:val="3"/>
            <w:tcBorders/>
            <w:vAlign w:val="center"/>
          </w:tcPr>
          <w:p>
            <w:pPr>
              <w:pStyle w:val="TableContents"/>
              <w:bidi w:val="0"/>
              <w:spacing w:before="0" w:after="283"/>
              <w:jc w:val="left"/>
              <w:rPr>
                <w:sz w:val="4"/>
                <w:szCs w:val="4"/>
              </w:rPr>
            </w:pPr>
            <w:r>
              <w:rPr>
                <w:sz w:val="4"/>
                <w:szCs w:val="4"/>
              </w:rPr>
            </w:r>
          </w:p>
        </w:tc>
        <w:tc>
          <w:tcPr>
            <w:tcW w:w="893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891" w:type="dxa"/>
            <w:gridSpan w:val="3"/>
            <w:tcBorders/>
            <w:vAlign w:val="center"/>
          </w:tcPr>
          <w:p>
            <w:pPr>
              <w:pStyle w:val="TableContents"/>
              <w:bidi w:val="0"/>
              <w:spacing w:before="0" w:after="283"/>
              <w:jc w:val="left"/>
              <w:rPr>
                <w:sz w:val="4"/>
                <w:szCs w:val="4"/>
              </w:rPr>
            </w:pPr>
            <w:r>
              <w:rPr>
                <w:sz w:val="4"/>
                <w:szCs w:val="4"/>
              </w:rPr>
            </w:r>
          </w:p>
        </w:tc>
        <w:tc>
          <w:tcPr>
            <w:tcW w:w="893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891" w:type="dxa"/>
            <w:gridSpan w:val="3"/>
            <w:tcBorders/>
            <w:vAlign w:val="center"/>
          </w:tcPr>
          <w:p>
            <w:pPr>
              <w:pStyle w:val="TableContents"/>
              <w:bidi w:val="0"/>
              <w:spacing w:before="0" w:after="283"/>
              <w:jc w:val="left"/>
              <w:rPr>
                <w:sz w:val="4"/>
                <w:szCs w:val="4"/>
              </w:rPr>
            </w:pPr>
            <w:r>
              <w:rPr>
                <w:sz w:val="4"/>
                <w:szCs w:val="4"/>
              </w:rPr>
            </w:r>
          </w:p>
        </w:tc>
        <w:tc>
          <w:tcPr>
            <w:tcW w:w="893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891" w:type="dxa"/>
            <w:gridSpan w:val="3"/>
            <w:tcBorders/>
            <w:vAlign w:val="center"/>
          </w:tcPr>
          <w:p>
            <w:pPr>
              <w:pStyle w:val="TableContents"/>
              <w:bidi w:val="0"/>
              <w:spacing w:before="0" w:after="283"/>
              <w:jc w:val="left"/>
              <w:rPr>
                <w:sz w:val="4"/>
                <w:szCs w:val="4"/>
              </w:rPr>
            </w:pPr>
            <w:r>
              <w:rPr>
                <w:sz w:val="4"/>
                <w:szCs w:val="4"/>
              </w:rPr>
            </w:r>
          </w:p>
        </w:tc>
        <w:tc>
          <w:tcPr>
            <w:tcW w:w="893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891" w:type="dxa"/>
            <w:gridSpan w:val="3"/>
            <w:tcBorders/>
            <w:vAlign w:val="center"/>
          </w:tcPr>
          <w:p>
            <w:pPr>
              <w:pStyle w:val="TableContents"/>
              <w:bidi w:val="0"/>
              <w:spacing w:before="0" w:after="283"/>
              <w:jc w:val="left"/>
              <w:rPr>
                <w:sz w:val="4"/>
                <w:szCs w:val="4"/>
              </w:rPr>
            </w:pPr>
            <w:r>
              <w:rPr>
                <w:sz w:val="4"/>
                <w:szCs w:val="4"/>
              </w:rPr>
            </w:r>
          </w:p>
        </w:tc>
        <w:tc>
          <w:tcPr>
            <w:tcW w:w="893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tcPr>
          <w:p>
            <w:pPr>
              <w:pStyle w:val="TableContents"/>
              <w:bidi w:val="0"/>
              <w:spacing w:before="0" w:after="283"/>
              <w:jc w:val="left"/>
              <w:rPr>
                <w:sz w:val="4"/>
                <w:szCs w:val="4"/>
              </w:rPr>
            </w:pPr>
            <w:r>
              <w:rPr>
                <w:sz w:val="4"/>
                <w:szCs w:val="4"/>
              </w:rPr>
            </w:r>
          </w:p>
        </w:tc>
      </w:tr>
      <w:tr>
        <w:trPr/>
        <w:tc>
          <w:tcPr>
            <w:tcW w:w="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0fc1b869714a13a57da393c96af5e0_121">
              <w:r>
                <w:rPr>
                  <w:rStyle w:val="InternetLink"/>
                  <w:rFonts w:ascii="Times New Roman;serif" w:hAnsi="Times New Roman;serif"/>
                  <w:b w:val="false"/>
                  <w:color w:val="0000FF"/>
                  <w:sz w:val="20"/>
                  <w:u w:val="single"/>
                </w:rPr>
                <w:t>PART I.</w:t>
              </w:r>
            </w:hyperlink>
          </w:p>
        </w:tc>
        <w:tc>
          <w:tcPr>
            <w:tcW w:w="8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0fc1b869714a13a57da393c96af5e0_1281">
              <w:r>
                <w:rPr>
                  <w:rStyle w:val="InternetLink"/>
                  <w:rFonts w:ascii="Times New Roman;serif" w:hAnsi="Times New Roman;serif"/>
                  <w:b w:val="false"/>
                  <w:color w:val="0000FF"/>
                  <w:sz w:val="20"/>
                  <w:u w:val="single"/>
                </w:rPr>
                <w:t>Item 1.</w:t>
              </w:r>
            </w:hyperlink>
          </w:p>
        </w:tc>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0fc1b869714a13a57da393c96af5e0_1281">
              <w:r>
                <w:rPr>
                  <w:rStyle w:val="InternetLink"/>
                  <w:rFonts w:ascii="Times New Roman;serif" w:hAnsi="Times New Roman;serif"/>
                  <w:b w:val="false"/>
                  <w:color w:val="0000FF"/>
                  <w:sz w:val="20"/>
                  <w:u w:val="single"/>
                </w:rPr>
                <w:t>Business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00fc1b869714a13a57da393c96af5e0_1281">
              <w:r>
                <w:rPr>
                  <w:rStyle w:val="InternetLink"/>
                  <w:rFonts w:ascii="Times New Roman;serif" w:hAnsi="Times New Roman;serif"/>
                  <w:b w:val="false"/>
                  <w:color w:val="0000FF"/>
                  <w:sz w:val="20"/>
                  <w:u w:val="single"/>
                </w:rPr>
                <w:t>2</w:t>
              </w:r>
            </w:hyperlink>
          </w:p>
        </w:tc>
      </w:tr>
      <w:tr>
        <w:trPr/>
        <w:tc>
          <w:tcPr>
            <w:tcW w:w="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0fc1b869714a13a57da393c96af5e0_127">
              <w:r>
                <w:rPr>
                  <w:rStyle w:val="InternetLink"/>
                  <w:rFonts w:ascii="Times New Roman;serif" w:hAnsi="Times New Roman;serif"/>
                  <w:b w:val="false"/>
                  <w:color w:val="0000FF"/>
                  <w:sz w:val="20"/>
                  <w:u w:val="single"/>
                </w:rPr>
                <w:t>Item 1A.</w:t>
              </w:r>
            </w:hyperlink>
          </w:p>
        </w:tc>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0fc1b869714a13a57da393c96af5e0_127">
              <w:r>
                <w:rPr>
                  <w:rStyle w:val="InternetLink"/>
                  <w:rFonts w:ascii="Times New Roman;serif" w:hAnsi="Times New Roman;serif"/>
                  <w:b w:val="false"/>
                  <w:color w:val="0000FF"/>
                  <w:sz w:val="20"/>
                  <w:u w:val="single"/>
                </w:rPr>
                <w:t>Risk Factors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00fc1b869714a13a57da393c96af5e0_127">
              <w:r>
                <w:rPr>
                  <w:rStyle w:val="InternetLink"/>
                  <w:rFonts w:ascii="Times New Roman;serif" w:hAnsi="Times New Roman;serif"/>
                  <w:b w:val="false"/>
                  <w:color w:val="0000FF"/>
                  <w:sz w:val="20"/>
                  <w:u w:val="single"/>
                </w:rPr>
                <w:t>7</w:t>
              </w:r>
            </w:hyperlink>
          </w:p>
        </w:tc>
      </w:tr>
      <w:tr>
        <w:trPr/>
        <w:tc>
          <w:tcPr>
            <w:tcW w:w="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0fc1b869714a13a57da393c96af5e0_130">
              <w:r>
                <w:rPr>
                  <w:rStyle w:val="InternetLink"/>
                  <w:rFonts w:ascii="Times New Roman;serif" w:hAnsi="Times New Roman;serif"/>
                  <w:b w:val="false"/>
                  <w:color w:val="0000FF"/>
                  <w:sz w:val="20"/>
                  <w:u w:val="single"/>
                </w:rPr>
                <w:t>Item 1B.</w:t>
              </w:r>
            </w:hyperlink>
          </w:p>
        </w:tc>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0fc1b869714a13a57da393c96af5e0_130">
              <w:r>
                <w:rPr>
                  <w:rStyle w:val="InternetLink"/>
                  <w:rFonts w:ascii="Times New Roman;serif" w:hAnsi="Times New Roman;serif"/>
                  <w:b w:val="false"/>
                  <w:color w:val="0000FF"/>
                  <w:sz w:val="20"/>
                  <w:u w:val="single"/>
                </w:rPr>
                <w:t>Unresolved Staff Comments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00fc1b869714a13a57da393c96af5e0_130">
              <w:r>
                <w:rPr>
                  <w:rStyle w:val="InternetLink"/>
                  <w:rFonts w:ascii="Times New Roman;serif" w:hAnsi="Times New Roman;serif"/>
                  <w:b w:val="false"/>
                  <w:color w:val="0000FF"/>
                  <w:sz w:val="20"/>
                  <w:u w:val="single"/>
                </w:rPr>
                <w:t>22</w:t>
              </w:r>
            </w:hyperlink>
          </w:p>
        </w:tc>
      </w:tr>
      <w:tr>
        <w:trPr/>
        <w:tc>
          <w:tcPr>
            <w:tcW w:w="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0fc1b869714a13a57da393c96af5e0_1324">
              <w:r>
                <w:rPr>
                  <w:rStyle w:val="InternetLink"/>
                  <w:rFonts w:ascii="Times New Roman;serif" w:hAnsi="Times New Roman;serif"/>
                  <w:b w:val="false"/>
                  <w:color w:val="0000FF"/>
                  <w:sz w:val="20"/>
                  <w:u w:val="single"/>
                </w:rPr>
                <w:t>Item 1C.</w:t>
              </w:r>
            </w:hyperlink>
          </w:p>
        </w:tc>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0fc1b869714a13a57da393c96af5e0_1324">
              <w:r>
                <w:rPr>
                  <w:rStyle w:val="InternetLink"/>
                  <w:rFonts w:ascii="Times New Roman;serif" w:hAnsi="Times New Roman;serif"/>
                  <w:b w:val="false"/>
                  <w:color w:val="0000FF"/>
                  <w:sz w:val="20"/>
                  <w:u w:val="single"/>
                </w:rPr>
                <w:t>Cybersecurity</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00fc1b869714a13a57da393c96af5e0_1324">
              <w:r>
                <w:rPr>
                  <w:rStyle w:val="InternetLink"/>
                  <w:rFonts w:ascii="Times New Roman;serif" w:hAnsi="Times New Roman;serif"/>
                  <w:b w:val="false"/>
                  <w:color w:val="0000FF"/>
                  <w:sz w:val="20"/>
                  <w:u w:val="single"/>
                </w:rPr>
                <w:t>22</w:t>
              </w:r>
            </w:hyperlink>
          </w:p>
        </w:tc>
      </w:tr>
      <w:tr>
        <w:trPr/>
        <w:tc>
          <w:tcPr>
            <w:tcW w:w="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0fc1b869714a13a57da393c96af5e0_133">
              <w:r>
                <w:rPr>
                  <w:rStyle w:val="InternetLink"/>
                  <w:rFonts w:ascii="Times New Roman;serif" w:hAnsi="Times New Roman;serif"/>
                  <w:b w:val="false"/>
                  <w:color w:val="0000FF"/>
                  <w:sz w:val="20"/>
                  <w:u w:val="single"/>
                </w:rPr>
                <w:t>Item 2.</w:t>
              </w:r>
            </w:hyperlink>
          </w:p>
        </w:tc>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0fc1b869714a13a57da393c96af5e0_133">
              <w:r>
                <w:rPr>
                  <w:rStyle w:val="InternetLink"/>
                  <w:rFonts w:ascii="Times New Roman;serif" w:hAnsi="Times New Roman;serif"/>
                  <w:b w:val="false"/>
                  <w:color w:val="0000FF"/>
                  <w:sz w:val="20"/>
                  <w:u w:val="single"/>
                </w:rPr>
                <w:t>Properties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00fc1b869714a13a57da393c96af5e0_133">
              <w:r>
                <w:rPr>
                  <w:rStyle w:val="InternetLink"/>
                  <w:rFonts w:ascii="Times New Roman;serif" w:hAnsi="Times New Roman;serif"/>
                  <w:b w:val="false"/>
                  <w:color w:val="0000FF"/>
                  <w:sz w:val="20"/>
                  <w:u w:val="single"/>
                </w:rPr>
                <w:t>23</w:t>
              </w:r>
            </w:hyperlink>
          </w:p>
        </w:tc>
      </w:tr>
      <w:tr>
        <w:trPr/>
        <w:tc>
          <w:tcPr>
            <w:tcW w:w="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0fc1b869714a13a57da393c96af5e0_124">
              <w:r>
                <w:rPr>
                  <w:rStyle w:val="InternetLink"/>
                  <w:rFonts w:ascii="Times New Roman;serif" w:hAnsi="Times New Roman;serif"/>
                  <w:b w:val="false"/>
                  <w:color w:val="0000FF"/>
                  <w:sz w:val="20"/>
                  <w:u w:val="single"/>
                </w:rPr>
                <w:t>Item 3.</w:t>
              </w:r>
            </w:hyperlink>
          </w:p>
        </w:tc>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0fc1b869714a13a57da393c96af5e0_124">
              <w:r>
                <w:rPr>
                  <w:rStyle w:val="InternetLink"/>
                  <w:rFonts w:ascii="Times New Roman;serif" w:hAnsi="Times New Roman;serif"/>
                  <w:b w:val="false"/>
                  <w:color w:val="0000FF"/>
                  <w:sz w:val="20"/>
                  <w:u w:val="single"/>
                </w:rPr>
                <w:t>Legal Proceedings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00fc1b869714a13a57da393c96af5e0_124">
              <w:r>
                <w:rPr>
                  <w:rStyle w:val="InternetLink"/>
                  <w:rFonts w:ascii="Times New Roman;serif" w:hAnsi="Times New Roman;serif"/>
                  <w:b w:val="false"/>
                  <w:color w:val="0000FF"/>
                  <w:sz w:val="20"/>
                  <w:u w:val="single"/>
                </w:rPr>
                <w:t>23</w:t>
              </w:r>
            </w:hyperlink>
          </w:p>
        </w:tc>
      </w:tr>
      <w:tr>
        <w:trPr/>
        <w:tc>
          <w:tcPr>
            <w:tcW w:w="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0fc1b869714a13a57da393c96af5e0_136">
              <w:r>
                <w:rPr>
                  <w:rStyle w:val="InternetLink"/>
                  <w:rFonts w:ascii="Times New Roman;serif" w:hAnsi="Times New Roman;serif"/>
                  <w:b w:val="false"/>
                  <w:color w:val="0000FF"/>
                  <w:sz w:val="20"/>
                  <w:u w:val="single"/>
                </w:rPr>
                <w:t>Item 4.</w:t>
              </w:r>
            </w:hyperlink>
          </w:p>
        </w:tc>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0fc1b869714a13a57da393c96af5e0_136">
              <w:r>
                <w:rPr>
                  <w:rStyle w:val="InternetLink"/>
                  <w:rFonts w:ascii="Times New Roman;serif" w:hAnsi="Times New Roman;serif"/>
                  <w:b w:val="false"/>
                  <w:color w:val="0000FF"/>
                  <w:sz w:val="20"/>
                  <w:u w:val="single"/>
                </w:rPr>
                <w:t>Mine Safety Disclosures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00fc1b869714a13a57da393c96af5e0_136">
              <w:r>
                <w:rPr>
                  <w:rStyle w:val="InternetLink"/>
                  <w:rFonts w:ascii="Times New Roman;serif" w:hAnsi="Times New Roman;serif"/>
                  <w:b w:val="false"/>
                  <w:color w:val="0000FF"/>
                  <w:sz w:val="20"/>
                  <w:u w:val="single"/>
                </w:rPr>
                <w:t>23</w:t>
              </w:r>
            </w:hyperlink>
          </w:p>
        </w:tc>
      </w:tr>
      <w:tr>
        <w:trPr/>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0fc1b869714a13a57da393c96af5e0_10">
              <w:r>
                <w:rPr>
                  <w:rStyle w:val="InternetLink"/>
                  <w:rFonts w:ascii="Times New Roman;serif" w:hAnsi="Times New Roman;serif"/>
                  <w:b w:val="false"/>
                  <w:color w:val="0000FF"/>
                  <w:sz w:val="20"/>
                  <w:u w:val="single"/>
                </w:rPr>
                <w:t>PART II.</w:t>
              </w:r>
            </w:hyperlink>
          </w:p>
        </w:tc>
        <w:tc>
          <w:tcPr>
            <w:tcW w:w="8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0fc1b869714a13a57da393c96af5e0_1267">
              <w:r>
                <w:rPr>
                  <w:rStyle w:val="InternetLink"/>
                  <w:rFonts w:ascii="Times New Roman;serif" w:hAnsi="Times New Roman;serif"/>
                  <w:b w:val="false"/>
                  <w:color w:val="0000FF"/>
                  <w:sz w:val="20"/>
                  <w:u w:val="single"/>
                </w:rPr>
                <w:t>Item 5.</w:t>
              </w:r>
            </w:hyperlink>
          </w:p>
        </w:tc>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0fc1b869714a13a57da393c96af5e0_1267">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00fc1b869714a13a57da393c96af5e0_1267">
              <w:r>
                <w:rPr>
                  <w:rStyle w:val="InternetLink"/>
                  <w:rFonts w:ascii="Times New Roman;serif" w:hAnsi="Times New Roman;serif"/>
                  <w:b w:val="false"/>
                  <w:color w:val="0000FF"/>
                  <w:sz w:val="20"/>
                  <w:u w:val="single"/>
                </w:rPr>
                <w:t>24</w:t>
              </w:r>
            </w:hyperlink>
          </w:p>
        </w:tc>
      </w:tr>
      <w:tr>
        <w:trPr/>
        <w:tc>
          <w:tcPr>
            <w:tcW w:w="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0fc1b869714a13a57da393c96af5e0_1274">
              <w:r>
                <w:rPr>
                  <w:rStyle w:val="InternetLink"/>
                  <w:rFonts w:ascii="Times New Roman;serif" w:hAnsi="Times New Roman;serif"/>
                  <w:b w:val="false"/>
                  <w:color w:val="0000FF"/>
                  <w:sz w:val="20"/>
                  <w:u w:val="single"/>
                </w:rPr>
                <w:t>Item 6.</w:t>
              </w:r>
            </w:hyperlink>
          </w:p>
        </w:tc>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0fc1b869714a13a57da393c96af5e0_1274">
              <w:r>
                <w:rPr>
                  <w:rStyle w:val="InternetLink"/>
                  <w:rFonts w:ascii="Times New Roman;serif" w:hAnsi="Times New Roman;serif"/>
                  <w:b w:val="false"/>
                  <w:color w:val="0000FF"/>
                  <w:sz w:val="20"/>
                  <w:u w:val="single"/>
                </w:rPr>
                <w:t>Selected Financial Data</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00fc1b869714a13a57da393c96af5e0_1274">
              <w:r>
                <w:rPr>
                  <w:rStyle w:val="InternetLink"/>
                  <w:rFonts w:ascii="Times New Roman;serif" w:hAnsi="Times New Roman;serif"/>
                  <w:b w:val="false"/>
                  <w:color w:val="0000FF"/>
                  <w:sz w:val="20"/>
                  <w:u w:val="single"/>
                </w:rPr>
                <w:t>25</w:t>
              </w:r>
            </w:hyperlink>
          </w:p>
        </w:tc>
      </w:tr>
      <w:tr>
        <w:trPr/>
        <w:tc>
          <w:tcPr>
            <w:tcW w:w="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0fc1b869714a13a57da393c96af5e0_70">
              <w:r>
                <w:rPr>
                  <w:rStyle w:val="InternetLink"/>
                  <w:rFonts w:ascii="Times New Roman;serif" w:hAnsi="Times New Roman;serif"/>
                  <w:b w:val="false"/>
                  <w:color w:val="0000FF"/>
                  <w:sz w:val="20"/>
                  <w:u w:val="single"/>
                </w:rPr>
                <w:t>Item 7.</w:t>
              </w:r>
            </w:hyperlink>
          </w:p>
        </w:tc>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0fc1b869714a13a57da393c96af5e0_70">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00fc1b869714a13a57da393c96af5e0_70">
              <w:r>
                <w:rPr>
                  <w:rStyle w:val="InternetLink"/>
                  <w:rFonts w:ascii="Times New Roman;serif" w:hAnsi="Times New Roman;serif"/>
                  <w:b w:val="false"/>
                  <w:color w:val="0000FF"/>
                  <w:sz w:val="20"/>
                  <w:u w:val="single"/>
                </w:rPr>
                <w:t>26</w:t>
              </w:r>
            </w:hyperlink>
          </w:p>
        </w:tc>
      </w:tr>
      <w:tr>
        <w:trPr/>
        <w:tc>
          <w:tcPr>
            <w:tcW w:w="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0fc1b869714a13a57da393c96af5e0_115">
              <w:r>
                <w:rPr>
                  <w:rStyle w:val="InternetLink"/>
                  <w:rFonts w:ascii="Times New Roman;serif" w:hAnsi="Times New Roman;serif"/>
                  <w:b w:val="false"/>
                  <w:color w:val="0000FF"/>
                  <w:sz w:val="20"/>
                  <w:u w:val="single"/>
                </w:rPr>
                <w:t>Item 7A.</w:t>
              </w:r>
            </w:hyperlink>
          </w:p>
        </w:tc>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0fc1b869714a13a57da393c96af5e0_115">
              <w:r>
                <w:rPr>
                  <w:rStyle w:val="InternetLink"/>
                  <w:rFonts w:ascii="Times New Roman;serif" w:hAnsi="Times New Roman;serif"/>
                  <w:b w:val="false"/>
                  <w:color w:val="0000FF"/>
                  <w:sz w:val="20"/>
                  <w:u w:val="single"/>
                </w:rPr>
                <w:t>Quantitative and Qualitative Disclosures About Market Risk</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00fc1b869714a13a57da393c96af5e0_115">
              <w:r>
                <w:rPr>
                  <w:rStyle w:val="InternetLink"/>
                  <w:rFonts w:ascii="Times New Roman;serif" w:hAnsi="Times New Roman;serif"/>
                  <w:b w:val="false"/>
                  <w:color w:val="0000FF"/>
                  <w:sz w:val="20"/>
                  <w:u w:val="single"/>
                </w:rPr>
                <w:t>45</w:t>
              </w:r>
            </w:hyperlink>
          </w:p>
        </w:tc>
      </w:tr>
      <w:tr>
        <w:trPr/>
        <w:tc>
          <w:tcPr>
            <w:tcW w:w="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0fc1b869714a13a57da393c96af5e0_13">
              <w:r>
                <w:rPr>
                  <w:rStyle w:val="InternetLink"/>
                  <w:rFonts w:ascii="Times New Roman;serif" w:hAnsi="Times New Roman;serif"/>
                  <w:b w:val="false"/>
                  <w:color w:val="0000FF"/>
                  <w:sz w:val="20"/>
                  <w:u w:val="single"/>
                </w:rPr>
                <w:t>Item 8.</w:t>
              </w:r>
            </w:hyperlink>
          </w:p>
        </w:tc>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0fc1b869714a13a57da393c96af5e0_13">
              <w:r>
                <w:rPr>
                  <w:rStyle w:val="InternetLink"/>
                  <w:rFonts w:ascii="Times New Roman;serif" w:hAnsi="Times New Roman;serif"/>
                  <w:b w:val="false"/>
                  <w:color w:val="0000FF"/>
                  <w:sz w:val="20"/>
                  <w:u w:val="single"/>
                </w:rPr>
                <w:t>Financial Statements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00fc1b869714a13a57da393c96af5e0_13">
              <w:r>
                <w:rPr>
                  <w:rStyle w:val="InternetLink"/>
                  <w:rFonts w:ascii="Times New Roman;serif" w:hAnsi="Times New Roman;serif"/>
                  <w:b w:val="false"/>
                  <w:color w:val="0000FF"/>
                  <w:sz w:val="20"/>
                  <w:u w:val="single"/>
                </w:rPr>
                <w:t>49</w:t>
              </w:r>
            </w:hyperlink>
          </w:p>
        </w:tc>
      </w:tr>
      <w:tr>
        <w:trPr/>
        <w:tc>
          <w:tcPr>
            <w:tcW w:w="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0fc1b869714a13a57da393c96af5e0_1261">
              <w:r>
                <w:rPr>
                  <w:rStyle w:val="InternetLink"/>
                  <w:rFonts w:ascii="Times New Roman;serif" w:hAnsi="Times New Roman;serif"/>
                  <w:b w:val="false"/>
                  <w:color w:val="0000FF"/>
                  <w:sz w:val="20"/>
                  <w:u w:val="single"/>
                </w:rPr>
                <w:t>Item 9.</w:t>
              </w:r>
            </w:hyperlink>
          </w:p>
        </w:tc>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0fc1b869714a13a57da393c96af5e0_1261">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00fc1b869714a13a57da393c96af5e0_1261">
              <w:r>
                <w:rPr>
                  <w:rStyle w:val="InternetLink"/>
                  <w:rFonts w:ascii="Times New Roman;serif" w:hAnsi="Times New Roman;serif"/>
                  <w:b w:val="false"/>
                  <w:color w:val="0000FF"/>
                  <w:sz w:val="20"/>
                  <w:u w:val="single"/>
                </w:rPr>
                <w:t>80</w:t>
              </w:r>
            </w:hyperlink>
          </w:p>
        </w:tc>
      </w:tr>
      <w:tr>
        <w:trPr/>
        <w:tc>
          <w:tcPr>
            <w:tcW w:w="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0fc1b869714a13a57da393c96af5e0_118">
              <w:r>
                <w:rPr>
                  <w:rStyle w:val="InternetLink"/>
                  <w:rFonts w:ascii="Times New Roman;serif" w:hAnsi="Times New Roman;serif"/>
                  <w:b w:val="false"/>
                  <w:color w:val="0000FF"/>
                  <w:sz w:val="20"/>
                  <w:u w:val="single"/>
                </w:rPr>
                <w:t>Item 9A.</w:t>
              </w:r>
            </w:hyperlink>
          </w:p>
        </w:tc>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0fc1b869714a13a57da393c96af5e0_118">
              <w:r>
                <w:rPr>
                  <w:rStyle w:val="InternetLink"/>
                  <w:rFonts w:ascii="Times New Roman;serif" w:hAnsi="Times New Roman;serif"/>
                  <w:b w:val="false"/>
                  <w:color w:val="0000FF"/>
                  <w:sz w:val="20"/>
                  <w:u w:val="single"/>
                </w:rPr>
                <w:t>Controls and Procedures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00fc1b869714a13a57da393c96af5e0_118">
              <w:r>
                <w:rPr>
                  <w:rStyle w:val="InternetLink"/>
                  <w:rFonts w:ascii="Times New Roman;serif" w:hAnsi="Times New Roman;serif"/>
                  <w:b w:val="false"/>
                  <w:color w:val="0000FF"/>
                  <w:sz w:val="20"/>
                  <w:u w:val="single"/>
                </w:rPr>
                <w:t>80</w:t>
              </w:r>
            </w:hyperlink>
          </w:p>
        </w:tc>
      </w:tr>
      <w:tr>
        <w:trPr/>
        <w:tc>
          <w:tcPr>
            <w:tcW w:w="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0fc1b869714a13a57da393c96af5e0_139">
              <w:r>
                <w:rPr>
                  <w:rStyle w:val="InternetLink"/>
                  <w:rFonts w:ascii="Times New Roman;serif" w:hAnsi="Times New Roman;serif"/>
                  <w:b w:val="false"/>
                  <w:color w:val="0000FF"/>
                  <w:sz w:val="20"/>
                  <w:u w:val="single"/>
                </w:rPr>
                <w:t>Item 9B.</w:t>
              </w:r>
            </w:hyperlink>
          </w:p>
        </w:tc>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0fc1b869714a13a57da393c96af5e0_139">
              <w:r>
                <w:rPr>
                  <w:rStyle w:val="InternetLink"/>
                  <w:rFonts w:ascii="Times New Roman;serif" w:hAnsi="Times New Roman;serif"/>
                  <w:b w:val="false"/>
                  <w:color w:val="0000FF"/>
                  <w:sz w:val="20"/>
                  <w:u w:val="single"/>
                </w:rPr>
                <w:t>Other Information</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00fc1b869714a13a57da393c96af5e0_139">
              <w:r>
                <w:rPr>
                  <w:rStyle w:val="InternetLink"/>
                  <w:rFonts w:ascii="Times New Roman;serif" w:hAnsi="Times New Roman;serif"/>
                  <w:b w:val="false"/>
                  <w:color w:val="0000FF"/>
                  <w:sz w:val="20"/>
                  <w:u w:val="single"/>
                </w:rPr>
                <w:t>80</w:t>
              </w:r>
            </w:hyperlink>
          </w:p>
        </w:tc>
      </w:tr>
      <w:tr>
        <w:trPr/>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0fc1b869714a13a57da393c96af5e0_1356">
              <w:r>
                <w:rPr>
                  <w:rStyle w:val="InternetLink"/>
                  <w:rFonts w:ascii="Times New Roman;serif" w:hAnsi="Times New Roman;serif"/>
                  <w:b w:val="false"/>
                  <w:color w:val="0000FF"/>
                  <w:sz w:val="20"/>
                  <w:u w:val="single"/>
                </w:rPr>
                <w:t>PART III.</w:t>
              </w:r>
            </w:hyperlink>
          </w:p>
        </w:tc>
        <w:tc>
          <w:tcPr>
            <w:tcW w:w="8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0fc1b869714a13a57da393c96af5e0_1372">
              <w:r>
                <w:rPr>
                  <w:rStyle w:val="InternetLink"/>
                  <w:rFonts w:ascii="Times New Roman;serif" w:hAnsi="Times New Roman;serif"/>
                  <w:b w:val="false"/>
                  <w:color w:val="0000FF"/>
                  <w:sz w:val="20"/>
                  <w:u w:val="single"/>
                </w:rPr>
                <w:t>Item 10.</w:t>
              </w:r>
            </w:hyperlink>
          </w:p>
        </w:tc>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0fc1b869714a13a57da393c96af5e0_1372">
              <w:r>
                <w:rPr>
                  <w:rStyle w:val="InternetLink"/>
                  <w:rFonts w:ascii="Times New Roman;serif" w:hAnsi="Times New Roman;serif"/>
                  <w:b w:val="false"/>
                  <w:color w:val="0000FF"/>
                  <w:sz w:val="20"/>
                  <w:u w:val="single"/>
                </w:rPr>
                <w:t>Directors, Executive Officers and Corporate Governance</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00fc1b869714a13a57da393c96af5e0_1372">
              <w:r>
                <w:rPr>
                  <w:rStyle w:val="InternetLink"/>
                  <w:rFonts w:ascii="Times New Roman;serif" w:hAnsi="Times New Roman;serif"/>
                  <w:b w:val="false"/>
                  <w:color w:val="0000FF"/>
                  <w:sz w:val="20"/>
                  <w:u w:val="single"/>
                </w:rPr>
                <w:t>81</w:t>
              </w:r>
            </w:hyperlink>
          </w:p>
        </w:tc>
      </w:tr>
      <w:tr>
        <w:trPr/>
        <w:tc>
          <w:tcPr>
            <w:tcW w:w="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0fc1b869714a13a57da393c96af5e0_1377">
              <w:r>
                <w:rPr>
                  <w:rStyle w:val="InternetLink"/>
                  <w:rFonts w:ascii="Times New Roman;serif" w:hAnsi="Times New Roman;serif"/>
                  <w:b w:val="false"/>
                  <w:color w:val="0000FF"/>
                  <w:sz w:val="20"/>
                  <w:u w:val="single"/>
                </w:rPr>
                <w:t>Item 11.</w:t>
              </w:r>
            </w:hyperlink>
          </w:p>
        </w:tc>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0fc1b869714a13a57da393c96af5e0_1377">
              <w:r>
                <w:rPr>
                  <w:rStyle w:val="InternetLink"/>
                  <w:rFonts w:ascii="Times New Roman;serif" w:hAnsi="Times New Roman;serif"/>
                  <w:b w:val="false"/>
                  <w:color w:val="0000FF"/>
                  <w:sz w:val="20"/>
                  <w:u w:val="single"/>
                </w:rPr>
                <w:t>Executive Compensation</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00fc1b869714a13a57da393c96af5e0_1377">
              <w:r>
                <w:rPr>
                  <w:rStyle w:val="InternetLink"/>
                  <w:rFonts w:ascii="Times New Roman;serif" w:hAnsi="Times New Roman;serif"/>
                  <w:b w:val="false"/>
                  <w:color w:val="0000FF"/>
                  <w:sz w:val="20"/>
                  <w:u w:val="single"/>
                </w:rPr>
                <w:t>81</w:t>
              </w:r>
            </w:hyperlink>
          </w:p>
        </w:tc>
      </w:tr>
      <w:tr>
        <w:trPr/>
        <w:tc>
          <w:tcPr>
            <w:tcW w:w="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0fc1b869714a13a57da393c96af5e0_1384">
              <w:r>
                <w:rPr>
                  <w:rStyle w:val="InternetLink"/>
                  <w:rFonts w:ascii="Times New Roman;serif" w:hAnsi="Times New Roman;serif"/>
                  <w:b w:val="false"/>
                  <w:color w:val="0000FF"/>
                  <w:sz w:val="20"/>
                  <w:u w:val="single"/>
                </w:rPr>
                <w:t>Item 12.</w:t>
              </w:r>
            </w:hyperlink>
          </w:p>
        </w:tc>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0fc1b869714a13a57da393c96af5e0_1384">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00fc1b869714a13a57da393c96af5e0_1384">
              <w:r>
                <w:rPr>
                  <w:rStyle w:val="InternetLink"/>
                  <w:rFonts w:ascii="Times New Roman;serif" w:hAnsi="Times New Roman;serif"/>
                  <w:b w:val="false"/>
                  <w:color w:val="0000FF"/>
                  <w:sz w:val="20"/>
                  <w:u w:val="single"/>
                </w:rPr>
                <w:t>81</w:t>
              </w:r>
            </w:hyperlink>
          </w:p>
        </w:tc>
      </w:tr>
      <w:tr>
        <w:trPr/>
        <w:tc>
          <w:tcPr>
            <w:tcW w:w="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0fc1b869714a13a57da393c96af5e0_1389">
              <w:r>
                <w:rPr>
                  <w:rStyle w:val="InternetLink"/>
                  <w:rFonts w:ascii="Times New Roman;serif" w:hAnsi="Times New Roman;serif"/>
                  <w:b w:val="false"/>
                  <w:color w:val="0000FF"/>
                  <w:sz w:val="20"/>
                  <w:u w:val="single"/>
                </w:rPr>
                <w:t>Item 13.</w:t>
              </w:r>
            </w:hyperlink>
          </w:p>
        </w:tc>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0fc1b869714a13a57da393c96af5e0_1389">
              <w:r>
                <w:rPr>
                  <w:rStyle w:val="InternetLink"/>
                  <w:rFonts w:ascii="Times New Roman;serif" w:hAnsi="Times New Roman;serif"/>
                  <w:b w:val="false"/>
                  <w:color w:val="0000FF"/>
                  <w:sz w:val="20"/>
                  <w:u w:val="single"/>
                </w:rPr>
                <w:t>Certain Relationships and Related Transactions, and Director Independence</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00fc1b869714a13a57da393c96af5e0_1389">
              <w:r>
                <w:rPr>
                  <w:rStyle w:val="InternetLink"/>
                  <w:rFonts w:ascii="Times New Roman;serif" w:hAnsi="Times New Roman;serif"/>
                  <w:b w:val="false"/>
                  <w:color w:val="0000FF"/>
                  <w:sz w:val="20"/>
                  <w:u w:val="single"/>
                </w:rPr>
                <w:t>81</w:t>
              </w:r>
            </w:hyperlink>
          </w:p>
        </w:tc>
      </w:tr>
      <w:tr>
        <w:trPr/>
        <w:tc>
          <w:tcPr>
            <w:tcW w:w="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0fc1b869714a13a57da393c96af5e0_1394">
              <w:r>
                <w:rPr>
                  <w:rStyle w:val="InternetLink"/>
                  <w:rFonts w:ascii="Times New Roman;serif" w:hAnsi="Times New Roman;serif"/>
                  <w:b w:val="false"/>
                  <w:color w:val="0000FF"/>
                  <w:sz w:val="20"/>
                  <w:u w:val="single"/>
                </w:rPr>
                <w:t>Item 14.</w:t>
              </w:r>
            </w:hyperlink>
          </w:p>
        </w:tc>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0fc1b869714a13a57da393c96af5e0_1394">
              <w:r>
                <w:rPr>
                  <w:rStyle w:val="InternetLink"/>
                  <w:rFonts w:ascii="Times New Roman;serif" w:hAnsi="Times New Roman;serif"/>
                  <w:b w:val="false"/>
                  <w:color w:val="0000FF"/>
                  <w:sz w:val="20"/>
                  <w:u w:val="single"/>
                </w:rPr>
                <w:t>Principal Accounting Fees and Services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00fc1b869714a13a57da393c96af5e0_1394">
              <w:r>
                <w:rPr>
                  <w:rStyle w:val="InternetLink"/>
                  <w:rFonts w:ascii="Times New Roman;serif" w:hAnsi="Times New Roman;serif"/>
                  <w:b w:val="false"/>
                  <w:color w:val="0000FF"/>
                  <w:sz w:val="20"/>
                  <w:u w:val="single"/>
                </w:rPr>
                <w:t>81</w:t>
              </w:r>
            </w:hyperlink>
          </w:p>
        </w:tc>
      </w:tr>
      <w:tr>
        <w:trPr/>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0fc1b869714a13a57da393c96af5e0_1366">
              <w:r>
                <w:rPr>
                  <w:rStyle w:val="InternetLink"/>
                  <w:rFonts w:ascii="Times New Roman;serif" w:hAnsi="Times New Roman;serif"/>
                  <w:b w:val="false"/>
                  <w:color w:val="0000FF"/>
                  <w:sz w:val="20"/>
                  <w:u w:val="single"/>
                </w:rPr>
                <w:t>PART IV.</w:t>
              </w:r>
            </w:hyperlink>
          </w:p>
        </w:tc>
        <w:tc>
          <w:tcPr>
            <w:tcW w:w="8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0fc1b869714a13a57da393c96af5e0_142">
              <w:r>
                <w:rPr>
                  <w:rStyle w:val="InternetLink"/>
                  <w:rFonts w:ascii="Times New Roman;serif" w:hAnsi="Times New Roman;serif"/>
                  <w:b w:val="false"/>
                  <w:color w:val="0000FF"/>
                  <w:sz w:val="20"/>
                  <w:u w:val="single"/>
                </w:rPr>
                <w:t>Item 15.</w:t>
              </w:r>
            </w:hyperlink>
          </w:p>
        </w:tc>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0fc1b869714a13a57da393c96af5e0_142">
              <w:r>
                <w:rPr>
                  <w:rStyle w:val="InternetLink"/>
                  <w:rFonts w:ascii="Times New Roman;serif" w:hAnsi="Times New Roman;serif"/>
                  <w:b w:val="false"/>
                  <w:color w:val="0000FF"/>
                  <w:sz w:val="20"/>
                  <w:u w:val="single"/>
                </w:rPr>
                <w:t>Exhibits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00fc1b869714a13a57da393c96af5e0_142">
              <w:r>
                <w:rPr>
                  <w:rStyle w:val="InternetLink"/>
                  <w:rFonts w:ascii="Times New Roman;serif" w:hAnsi="Times New Roman;serif"/>
                  <w:b w:val="false"/>
                  <w:color w:val="0000FF"/>
                  <w:sz w:val="20"/>
                  <w:u w:val="single"/>
                </w:rPr>
                <w:t>82</w:t>
              </w:r>
            </w:hyperlink>
          </w:p>
        </w:tc>
      </w:tr>
      <w:tr>
        <w:trPr/>
        <w:tc>
          <w:tcPr>
            <w:tcW w:w="983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c00fc1b869714a13a57da393c96af5e0_145">
              <w:r>
                <w:rPr>
                  <w:rStyle w:val="InternetLink"/>
                  <w:rFonts w:ascii="Times New Roman;serif" w:hAnsi="Times New Roman;serif"/>
                  <w:b w:val="false"/>
                  <w:color w:val="0000FF"/>
                  <w:sz w:val="20"/>
                  <w:u w:val="single"/>
                </w:rPr>
                <w:t>Signatures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00fc1b869714a13a57da393c96af5e0_145">
              <w:r>
                <w:rPr>
                  <w:rStyle w:val="InternetLink"/>
                  <w:rFonts w:ascii="Times New Roman;serif" w:hAnsi="Times New Roman;serif"/>
                  <w:b w:val="false"/>
                  <w:color w:val="0000FF"/>
                  <w:sz w:val="20"/>
                  <w:u w:val="single"/>
                </w:rPr>
                <w:t>87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PART I.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Item 1. Business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AGNC Investment Corp. ("AGNC," the "Company," "we," "us" and "our") was organized on January 7, 2008 and commenced operations on May 20, 2008 following the completion of our initial public offering. Our common stock is traded on The Nasdaq Global Select Market under the symbol "AGNC."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are a leading provider of private capital to the U.S. housing market, enhancing liquidity in the residential real estate mortgage markets and, in turn, facilitating home ownership in the U.S. We invest primarily in Agency residential mortgage-backed securities ("Agency RMBS") on a leveraged basis. These investments consist of residential mortgage pass-through securities and collateralized mortgage obligations for which the principal and interest payments are guaranteed by a U.S. Government-sponsored enterprise, such as the Federal National Mortgage Association ("Fannie Mae") and the Federal Home Loan Mortgage Corporation ("Freddie Mac," and together with Fannie Mae, the "GSEs"), or by a U.S. Government agency, such as the Government National Mortgage Association ("Ginnie Mae").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operate to qualify to be taxed as a real estate investment trust ("REIT") under the Internal Revenue Code of 1986, as amended (the "Internal Revenue Code"). As a REIT, we are required to distribute annually 90% of our taxable income, and we will generally not be subject to U.S. federal or state corporate income tax to the extent that we distribute all our annual taxable income to our stockholders on a timely basis. It is our intention to distribute 100% of our taxable income within the time limits prescribed by the Internal Revenue Code, which may extend into the subsequent taxable year.</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are internally managed with the principal objective of generating favorable long-term stockholder returns with a substantial yield component. We generate income from the interest earned on our investments, net of associated borrowing and hedging costs, and net realized gains and losses on our investment and hedging activities. We fund our investments primarily through collateralized borrowings structured as repurchase agreements.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Investment Management Strategy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employ an active management strategy that is dynamic and responsive to evolving market conditions. The composition of our portfolio and our investment, funding, and hedging strategies are tailored to reflect our analysis of market conditions and the relative values of available options. Our portfolio management philosophy is based upon the following core objectives:</w:t>
      </w:r>
    </w:p>
    <w:p>
      <w:pPr>
        <w:pStyle w:val="TextBody"/>
        <w:bidi w:val="0"/>
        <w:spacing w:lineRule="auto" w:line="288" w:before="120" w:after="283"/>
        <w:ind w:left="0" w:right="0" w:hanging="315"/>
        <w:jc w:val="both"/>
        <w:rPr/>
      </w:pPr>
      <w:r>
        <w:rPr>
          <w:color w:val="000000"/>
        </w:rPr>
        <w:t>•</w:t>
      </w:r>
      <w:r>
        <w:rPr>
          <w:rFonts w:ascii="Times New Roman;serif" w:hAnsi="Times New Roman;serif"/>
          <w:b w:val="false"/>
          <w:color w:val="000000"/>
          <w:sz w:val="20"/>
        </w:rPr>
        <w:t>deliver attractive risk-adjusted returns for our stockholders primarily through monthly dividend distributions;</w:t>
      </w:r>
    </w:p>
    <w:p>
      <w:pPr>
        <w:pStyle w:val="TextBody"/>
        <w:bidi w:val="0"/>
        <w:spacing w:lineRule="auto" w:line="288" w:before="60" w:after="60"/>
        <w:ind w:left="0" w:right="0" w:hanging="315"/>
        <w:jc w:val="both"/>
        <w:rPr/>
      </w:pPr>
      <w:r>
        <w:rPr>
          <w:color w:val="000000"/>
        </w:rPr>
        <w:t>•</w:t>
      </w:r>
      <w:r>
        <w:rPr>
          <w:rFonts w:ascii="Times New Roman;serif" w:hAnsi="Times New Roman;serif"/>
          <w:b w:val="false"/>
          <w:color w:val="000000"/>
          <w:sz w:val="20"/>
        </w:rPr>
        <w:t>maintain an investment portfolio consisting predominantly of Agency RMBS;</w:t>
      </w:r>
    </w:p>
    <w:p>
      <w:pPr>
        <w:pStyle w:val="TextBody"/>
        <w:bidi w:val="0"/>
        <w:spacing w:lineRule="auto" w:line="288" w:before="0" w:after="60"/>
        <w:ind w:left="0" w:right="0" w:hanging="315"/>
        <w:jc w:val="both"/>
        <w:rPr/>
      </w:pPr>
      <w:r>
        <w:rPr>
          <w:color w:val="000000"/>
        </w:rPr>
        <w:t>•</w:t>
      </w:r>
      <w:r>
        <w:rPr>
          <w:rFonts w:ascii="Times New Roman;serif" w:hAnsi="Times New Roman;serif"/>
          <w:b w:val="false"/>
          <w:color w:val="000000"/>
          <w:sz w:val="20"/>
        </w:rPr>
        <w:t xml:space="preserve">manage financing, interest rate, prepayment, extension and credit risks; </w:t>
      </w:r>
    </w:p>
    <w:p>
      <w:pPr>
        <w:pStyle w:val="TextBody"/>
        <w:bidi w:val="0"/>
        <w:spacing w:lineRule="auto" w:line="288" w:before="0" w:after="60"/>
        <w:ind w:left="0" w:right="0" w:hanging="315"/>
        <w:jc w:val="both"/>
        <w:rPr/>
      </w:pPr>
      <w:r>
        <w:rPr>
          <w:color w:val="000000"/>
        </w:rPr>
        <w:t>•</w:t>
      </w:r>
      <w:r>
        <w:rPr>
          <w:rFonts w:ascii="Times New Roman;serif" w:hAnsi="Times New Roman;serif"/>
          <w:b w:val="false"/>
          <w:color w:val="000000"/>
          <w:sz w:val="20"/>
        </w:rPr>
        <w:t xml:space="preserve">qualify as a REIT; and </w:t>
      </w:r>
    </w:p>
    <w:p>
      <w:pPr>
        <w:pStyle w:val="TextBody"/>
        <w:bidi w:val="0"/>
        <w:spacing w:lineRule="auto" w:line="288" w:before="0" w:after="60"/>
        <w:ind w:left="0" w:right="0" w:hanging="315"/>
        <w:jc w:val="both"/>
        <w:rPr/>
      </w:pPr>
      <w:r>
        <w:rPr>
          <w:color w:val="000000"/>
        </w:rPr>
        <w:t>•</w:t>
      </w:r>
      <w:r>
        <w:rPr>
          <w:rFonts w:ascii="Times New Roman;serif" w:hAnsi="Times New Roman;serif"/>
          <w:b w:val="false"/>
          <w:color w:val="000000"/>
          <w:sz w:val="20"/>
        </w:rPr>
        <w:t>remain exempt from the requirements of the Investment Company Act of 1940 (the "Investment Company Act").</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Targeted Investments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Asset selection is a central component of our overall investment approach. Our investments consist predominantly of Agency RMBS which, in addition to carrying a GSE or U.S. Government guarantee against loss of principal, are considered a cornerstone of the U.S. financial system. The $9 trillion Agency market plays a vital role in providing liquidity to homeowners and prospective homeowners to purchase or refinance homes. We may also invest in Agency multifamily mortgage-backed securities ("Agency multifamily MBS") that are similarly guaranteed by a GSE and in other assets related to the housing, mortgage, or real estate markets that are not guaranteed by a GSE or a U.S. Government agency (collectively referred to as "non-Agency MBS").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team of investment professionals has decades of experience investing in Agency RMBS and our other targeted investments. Our asset selection process involves assessing relative risk-return profiles against the backdrop of broader market conditions. Utilizing sophisticated modeling techniques, we identify assets with favorable underlying loan characteristics with the objective of optimizing returns over the life of the investment.</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Agency Securities</w:t>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0"/>
        </w:rPr>
        <w:t xml:space="preserve">Agency Residential Mortgage-Backed Securities. </w:t>
      </w:r>
      <w:r>
        <w:rPr>
          <w:rFonts w:ascii="Times New Roman;serif" w:hAnsi="Times New Roman;serif"/>
          <w:b w:val="false"/>
          <w:color w:val="000000"/>
          <w:sz w:val="20"/>
        </w:rPr>
        <w:t xml:space="preserve">Agency RMBS consist of pass-through certificates representing interests in "pools" of mortgage loans secured by residential real property. Monthly payments of principal and interest made by the individual borrowers on the mortgage loans underlying the pools are in effect "passed through" to the security holders, after deducting guarantee and servicer fees. In general, mortgage pass-through certificates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distribute cash flows from the underlying collateral on a pro rata basis among the security holders. Security holders also receive guarantor advances of principal and interest for delinquent loans in the mortgage pools. We may also invest in Agency collateralized mortgage obligations ("CMOs"), which are structured instruments backed by a pool of Agency RMBS.</w:t>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0"/>
        </w:rPr>
        <w:t xml:space="preserve">To-Be-Announced Forward Contracts ("TBAs"). </w:t>
      </w:r>
      <w:r>
        <w:rPr>
          <w:rFonts w:ascii="Times New Roman;serif" w:hAnsi="Times New Roman;serif"/>
          <w:b w:val="false"/>
          <w:color w:val="000000"/>
          <w:sz w:val="20"/>
        </w:rPr>
        <w:t>TBAs are forward contracts to purchase or sell Agency RMBS in the TBA market. TBA contracts specify the coupon rate, issuer, term and face value of the bonds to be delivered, with the actual bonds to be delivered only identified shortly before the TBA settlement date.</w:t>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0"/>
        </w:rPr>
        <w:t xml:space="preserve">Agency Multifamily Mortgage-Backed Securities. </w:t>
      </w:r>
      <w:r>
        <w:rPr>
          <w:rFonts w:ascii="Times New Roman;serif" w:hAnsi="Times New Roman;serif"/>
          <w:b w:val="false"/>
          <w:color w:val="000000"/>
          <w:sz w:val="20"/>
        </w:rPr>
        <w:t>Agency multifamily MBS consist of securities backed by one or more mortgage loans secured by one or more multifamily properties that benefit from a GSE guarantee of timely payment of principal and interest. Our investments in Agency multifamily securities primarily consist of securities issued under Fannie Mae's Delegated Underwriting and Servicing ("DUS") program, which are generally backed by a single mortgage loan secured by a single property and include lender risk-sharing.</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Non-Agency Securities</w:t>
      </w:r>
    </w:p>
    <w:p>
      <w:pPr>
        <w:pStyle w:val="TextBody"/>
        <w:bidi w:val="0"/>
        <w:spacing w:lineRule="auto" w:line="288" w:before="180" w:after="283"/>
        <w:ind w:left="0" w:right="0" w:hanging="315"/>
        <w:jc w:val="both"/>
        <w:rPr/>
      </w:pPr>
      <w:r>
        <w:rPr>
          <w:color w:val="000000"/>
        </w:rPr>
        <w:t>•</w:t>
      </w:r>
      <w:r>
        <w:rPr>
          <w:rFonts w:ascii="Times New Roman;serif" w:hAnsi="Times New Roman;serif"/>
          <w:b/>
          <w:color w:val="000000"/>
          <w:sz w:val="20"/>
        </w:rPr>
        <w:t xml:space="preserve">Credit Risk Transfer ("CRT") Securities. </w:t>
      </w:r>
      <w:r>
        <w:rPr>
          <w:rFonts w:ascii="Times New Roman;serif" w:hAnsi="Times New Roman;serif"/>
          <w:b w:val="false"/>
          <w:color w:val="000000"/>
          <w:sz w:val="20"/>
        </w:rPr>
        <w:t xml:space="preserve">CRT securities are risk sharing instruments that transfer a portion of the risk associated with credit losses within pools of conventional residential mortgage loans from the GSEs and/or third- parties to private investors. Full repayment of the original principal balance of CRT securities is not guaranteed by the GSE or other third-party; rather, "credit risk transfer" is achieved by writing down the outstanding principal balance of the CRT security if credit losses on the related pool of loans exceed certain thresholds. </w:t>
      </w:r>
    </w:p>
    <w:p>
      <w:pPr>
        <w:pStyle w:val="TextBody"/>
        <w:bidi w:val="0"/>
        <w:spacing w:lineRule="auto" w:line="276" w:before="180" w:after="283"/>
        <w:ind w:left="0" w:right="0" w:hanging="315"/>
        <w:jc w:val="both"/>
        <w:rPr/>
      </w:pPr>
      <w:r>
        <w:rPr>
          <w:color w:val="000000"/>
        </w:rPr>
        <w:t>•</w:t>
      </w:r>
      <w:r>
        <w:rPr>
          <w:rFonts w:ascii="Times New Roman;serif" w:hAnsi="Times New Roman;serif"/>
          <w:b/>
          <w:color w:val="000000"/>
          <w:sz w:val="20"/>
        </w:rPr>
        <w:t xml:space="preserve">Non-Agency Residential Mortgage-Backed Securities ("Non-Agency RMBS"). </w:t>
      </w:r>
      <w:r>
        <w:rPr>
          <w:rFonts w:ascii="Times New Roman;serif" w:hAnsi="Times New Roman;serif"/>
          <w:b w:val="false"/>
          <w:color w:val="000000"/>
          <w:sz w:val="20"/>
        </w:rPr>
        <w:t xml:space="preserve">Non-Agency RMBS are structured securities backed by pools of residential mortgages packaged and issued by private institutions, such as a commercial bank or non-bank lender. Certain tranches of non-Agency RMBS may benefit from credit enhancement derived from structural elements, such as subordination, over-collateralization or insurance. We may purchase investment grade instruments that benefit from credit enhancement and non-investment grade instruments that are structured to absorb more credit risk. We focus primarily on non-Agency securities where the underlying mortgages are secured by residential properties within the United States, which may be comprised of prime, non-prime, qualified and non-qualified mortgage loans. </w:t>
      </w:r>
    </w:p>
    <w:p>
      <w:pPr>
        <w:pStyle w:val="TextBody"/>
        <w:bidi w:val="0"/>
        <w:spacing w:lineRule="auto" w:line="288" w:before="180" w:after="283"/>
        <w:ind w:left="0" w:right="0" w:hanging="315"/>
        <w:jc w:val="both"/>
        <w:rPr/>
      </w:pPr>
      <w:r>
        <w:rPr>
          <w:color w:val="000000"/>
        </w:rPr>
        <w:t>•</w:t>
      </w:r>
      <w:r>
        <w:rPr>
          <w:rFonts w:ascii="Times New Roman;serif" w:hAnsi="Times New Roman;serif"/>
          <w:b/>
          <w:color w:val="000000"/>
          <w:sz w:val="20"/>
        </w:rPr>
        <w:t xml:space="preserve">Commercial Mortgage-Backed Securities ("CMBS"). </w:t>
      </w:r>
      <w:r>
        <w:rPr>
          <w:rFonts w:ascii="Times New Roman;serif" w:hAnsi="Times New Roman;serif"/>
          <w:b w:val="false"/>
          <w:color w:val="000000"/>
          <w:sz w:val="20"/>
        </w:rPr>
        <w:t>CMBS are securities backed by a pool of loans secured by one or more commercial properties. CMBS may also consist of a single loan for a single asset or multiple loans for a group of cross-collateralized assets of a single-borrower. CMBS are typically structured as multiple classes of securities where cash flows are distributed following a predetermined waterfall, which may give priority to selected classes while subordinating other classes. We may invest across the capital structure of these securities. We intend to focus on CMBS where the underlying collateral is secured by commercial properties located within the United States.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Financing Strategy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investments in Agency RMBS benefit from asset-driven, as well as AGNC-specific, funding advantages, that enable us to enhance returns using leverage via low-cost and highly liquid collateralized borrowings structured as repurchase agreements.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Repurchase agreements ("repo") involve the sale and a simultaneous agreement to repurchase the transferred assets at a future date. Our borrowings through repurchase transactions are generally short-term, with maturities typically ranging from one day to one year, but may sometimes have maturities of up to five or more years. Our financing rates are primarily impacted by short-term benchmark rates and liquidity in the Agency repo and short-term funding markets.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amount of leverage that we utilize depends on market conditions, our assessment of risk and returns and our ability to borrow sufficient funds on favorable terms to acquire mortgage securities. We generally expect our leverage to be within six to ten times the amount of our tangible stockholders' equity, but under certain conditions we may operate at leverage levels outside of this range.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diversify our funding exposure by entering into repurchase agreements with multiple counterparties. We finance a portion of our investments through our wholly-owned captive broker-dealer subsidiary, Bethesda Securities, LLC ("BES"). BES is a member of the Fixed Income Clearing Corporation ("FICC") and has direct access to bilateral and tri-party repo funding as a Financial Industry Regulatory Authority ("FINRA") member broker-dealer. As an eligible institution, BES also raises repo funding through the General Collateral Finance ("GCF") Repo service offered by the FICC, with the FICC acting as the central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counterparty. Thus, through BES, we have greater depth and diversity of funding than solely through traditional bilateral repo, while also lowering our funding cost, reducing our collateral requirements and limiting our counterparty exposure.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also finance the acquisition of Agency RMBS by entering into TBA dollar roll transactions through which we simultaneously sell a TBA contract for the current month's settlement date and purchase a similar TBA contract for a forward month's settlement date. The TBA contract purchased for the forward settlement date is typically priced at a discount to the TBA contract sold for the current month. The discount, or "price drop", is the economic equivalent of interest income on the underlying Agency RMBS, less an implied financing cost, between the current month and forward month settlement dates. Prior to the forward settlement date, we may choose to roll the position to a later date by entering into an offsetting TBA position, net settling the paired off positions for cash, and simultaneously entering into a similar TBA contract for a new forward settlement date. Hence the discount or price drop from rolling TBA positions forward is commonly referred to as "TBA dollar roll income." We recognize TBA contracts as derivative instruments on our consolidated financial statements at their net carrying value, which is their fair value less the purchase price to be paid or received under the TBA contract. Consequently, dollar roll transactions represent a form of off-balance sheet financing. In evaluating our overall leverage, we consider both our on-balance sheet and off-balance sheet financing.</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 xml:space="preserve">Risk Management Strategy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a levered investor in fixed income securities, risk management is core to our business. We are exposed to a variety of market risks, including interest rate, prepayment, extension, spread and credit risks. Our investment strategies are based on our assessment of these risks, our ability to hedge a portion of these risks and our intention to qualify as a REIT. We employ a variety of investment and risk management strategies to reduce our exposure to market risks, and we continuously monitor and adjust our hedge portfolio, the net duration (or interest rate sensitivity) of our investment portfolio, and leverage in order to optimize long-term risk-adjusted returns as market conditions warrant.</w:t>
      </w:r>
    </w:p>
    <w:p>
      <w:pPr>
        <w:pStyle w:val="TextBody"/>
        <w:bidi w:val="0"/>
        <w:spacing w:lineRule="auto" w:line="288" w:before="180" w:after="283"/>
        <w:ind w:left="0" w:right="0" w:firstLine="450"/>
        <w:jc w:val="both"/>
        <w:rPr/>
      </w:pPr>
      <w:r>
        <w:rPr>
          <w:rFonts w:ascii="Times New Roman;serif" w:hAnsi="Times New Roman;serif"/>
          <w:b w:val="false"/>
          <w:color w:val="000000"/>
          <w:sz w:val="20"/>
        </w:rPr>
        <w:t>Our hedging strategies are generally not designed to protect our net book value from spread risk, which as a levered investor in mortgage-backed securities is the inherent risk we take that the spread between the market yield on our investments and the benchmark interest rates linked to our interest rate hedges fluctuates. In addition, although we attempt to protect our net book value against moves in interest rates, we may not fully hedge against interest rate, prepayment and extension risks if we believe that bearing such risks enhances our return profile, or if the hedging transaction would negatively impact our REIT status. Our risk management actions may lower our earnings and dividends in the short-term to further our objective of preserving our net book value and maintaining attractive levels of earnings and dividends over the long-term. In addition, some of our hedges are intended to provide protection against larger rate moves and as a result may be relatively ineffective for smaller interest rate changes. For additional explanation of our market risks please refer to Item 1A.</w:t>
      </w:r>
      <w:r>
        <w:rPr>
          <w:color w:val="000000"/>
        </w:rPr>
        <w:t xml:space="preserve"> </w:t>
      </w:r>
      <w:r>
        <w:rPr>
          <w:rFonts w:ascii="Times New Roman;serif" w:hAnsi="Times New Roman;serif"/>
          <w:b w:val="false"/>
          <w:i/>
          <w:color w:val="000000"/>
          <w:sz w:val="20"/>
        </w:rPr>
        <w:t xml:space="preserve">Risk Factors </w:t>
      </w:r>
      <w:r>
        <w:rPr>
          <w:rFonts w:ascii="Times New Roman;serif" w:hAnsi="Times New Roman;serif"/>
          <w:b w:val="false"/>
          <w:color w:val="000000"/>
          <w:sz w:val="20"/>
        </w:rPr>
        <w:t>and Item 7A.</w:t>
      </w:r>
      <w:r>
        <w:rPr>
          <w:color w:val="000000"/>
        </w:rPr>
        <w:t xml:space="preserve"> </w:t>
      </w:r>
      <w:r>
        <w:rPr>
          <w:rFonts w:ascii="Times New Roman;serif" w:hAnsi="Times New Roman;serif"/>
          <w:b w:val="false"/>
          <w:i/>
          <w:color w:val="000000"/>
          <w:sz w:val="20"/>
        </w:rPr>
        <w:t xml:space="preserve">Quantitative and Qualitative Disclosures about Market Risk </w:t>
      </w:r>
      <w:r>
        <w:rPr>
          <w:rFonts w:ascii="Times New Roman;serif" w:hAnsi="Times New Roman;serif"/>
          <w:b w:val="false"/>
          <w:color w:val="000000"/>
          <w:sz w:val="20"/>
        </w:rPr>
        <w:t xml:space="preserve">within this Form 10-K.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Regulatory Requirements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Exemption from Regulation under the Investment Company Act </w:t>
      </w:r>
    </w:p>
    <w:p>
      <w:pPr>
        <w:pStyle w:val="TextBody"/>
        <w:bidi w:val="0"/>
        <w:spacing w:lineRule="auto" w:line="288" w:before="180" w:after="283"/>
        <w:ind w:left="0" w:right="0" w:firstLine="450"/>
        <w:jc w:val="both"/>
        <w:rPr/>
      </w:pPr>
      <w:r>
        <w:rPr>
          <w:rFonts w:ascii="Times New Roman;serif" w:hAnsi="Times New Roman;serif"/>
          <w:b w:val="false"/>
          <w:color w:val="000000"/>
          <w:sz w:val="20"/>
        </w:rPr>
        <w:t>We conduct our business so as not to become regulated as an investment company under the Investment Company Act, in reliance on the exemption provided by Section 3(c)(5)(C) of the Act. So long as we qualify for this exemption, we will not be subject to leverage and other restrictions imposed on registered investment companies, which would significantly reduce our ability to use leverage. Section 3(c)(5)(C), as interpreted by the staff of the U.S. Securities and Exchange Commission ("SEC"), requires us to invest at least 55% of our assets in "mortgages and other liens on and interest in real estate" or "qualifying real estate interests" ("55% asset test") and at least 80% of our assets in qualifying real estate interests and "real estate-related assets." In satisfying this 55% requirement, based on pronouncements of the SEC staff and in certain instances our own judgment, we treat Agency RMBS issued with respect to an underlying pool of mortgage loans in which we hold all the certificates issued by the pool ("whole pool" securities) as qualifying real estate interests. We typically treat "partial pool" and other mortgage securities where we hold less than all the certificates issued by the pool as real estate-related assets. For additional information regarding our exemption under the Investment Company Act please refer to Item 1A.</w:t>
      </w:r>
      <w:r>
        <w:rPr>
          <w:color w:val="000000"/>
        </w:rPr>
        <w:t xml:space="preserve"> </w:t>
      </w:r>
      <w:r>
        <w:rPr>
          <w:rFonts w:ascii="Times New Roman;serif" w:hAnsi="Times New Roman;serif"/>
          <w:b w:val="false"/>
          <w:i/>
          <w:color w:val="000000"/>
          <w:sz w:val="20"/>
        </w:rPr>
        <w:t xml:space="preserve">Risk Factors </w:t>
      </w:r>
      <w:r>
        <w:rPr>
          <w:rFonts w:ascii="Times New Roman;serif" w:hAnsi="Times New Roman;serif"/>
          <w:b w:val="false"/>
          <w:color w:val="000000"/>
          <w:sz w:val="20"/>
        </w:rPr>
        <w:t>within this Form 10-K.</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Real Estate Investment Trust Requirements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have elected to be taxed as a REIT under the Internal Revenue Code. As a REIT, we generally will not be subject to U.S. federal or state corporate income tax on our taxable income to the extent that we distribute annually all our taxable income to stockholders within the time limits prescribed by the Internal Revenue Code. Qualification and taxation as a REIT depend on our ability to continually meet requirements imposed upon REITs by the Internal Revenue Code, including satisfying certain organizational requirements, an annual distribution requirement and quarterly asset and annual income tests. The REIT asset and income tests are significant to our operations as they restrict the extent to which we can invest in certain types of securities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and conduct certain hedging activities within the REIT. Consequently, we may be required to limit these activities or conduct them through a taxable REIT subsidiary ("TRS"). We believe that we have been organized and operate in such a manner as to qualify for taxation as a REIT.</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Income Tests: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 continue to qualify as a REIT, we must satisfy two gross income requirements on an annual basis.</w:t>
      </w:r>
    </w:p>
    <w:p>
      <w:pPr>
        <w:pStyle w:val="TextBody"/>
        <w:bidi w:val="0"/>
        <w:spacing w:lineRule="auto" w:line="288" w:before="180" w:after="283"/>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 xml:space="preserve">1.At least 75% of our gross income for each taxable year generally must be derived from investments in real property or mortgages on real property. </w:t>
      </w:r>
    </w:p>
    <w:p>
      <w:pPr>
        <w:pStyle w:val="TextBody"/>
        <w:bidi w:val="0"/>
        <w:spacing w:lineRule="auto" w:line="288" w:before="180" w:after="283"/>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 xml:space="preserve">2.At least 95% of our gross income in each taxable year generally must be derived from some combination of income that qualifies under the 75% gross income test described above, as well as other dividends, interest, and gains from the sale or disposition of stock or securities, which need not have any relation to real property.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Interest income from obligations secured by mortgages on real property (such as Agency and non-Agency MBS) generally constitutes qualifying income for purposes of the 75% gross income test described above. There is no direct authority regarding the qualification of income or gains from TBAs for purposes of the 75% gross income test; however, we treat such income and gains as qualifying income for this purpose based on an opinion of legal counsel. The treatment of interest income from other real estate securities depends on their specific tax structure. Income and gains from instruments used to hedge the interest rate risk associated with our borrowings incurred, or to be incurred, to acquire real estate assets generally will be excluded from both gross income tests, provided that specified requirements are satisfied. </w:t>
      </w:r>
    </w:p>
    <w:p>
      <w:pPr>
        <w:pStyle w:val="TextBody"/>
        <w:bidi w:val="0"/>
        <w:spacing w:lineRule="auto" w:line="288" w:before="180" w:after="283"/>
        <w:jc w:val="both"/>
        <w:rPr/>
      </w:pPr>
      <w:r>
        <w:rPr>
          <w:rFonts w:ascii="Times New Roman;serif" w:hAnsi="Times New Roman;serif"/>
          <w:b w:val="false"/>
          <w:i/>
          <w:color w:val="000000"/>
          <w:sz w:val="20"/>
        </w:rPr>
        <w:t>Asset Tests:</w:t>
      </w:r>
      <w:r>
        <w:rPr>
          <w:color w:val="000000"/>
        </w:rPr>
        <w:t xml:space="preserve">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At the close of each calendar quarter, we must satisfy two sets of tests relating to the nature of our assets.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1.Asset qualification test: At least 75% of the value of our total assets must be represented by some combination of "real estate assets," cash, cash items, U.S. Government securities, and, under some circumstances, temporary investments in stock or debt instruments purchased with new capital. For this purpose, Agency mortgage-backed securities are treated as U.S. Government securities and all other mortgage-backed securities and mortgage loans are generally treated as "real estate assets." Assets that do not qualify for purposes of the 75% asset test are subject to the additional asset diversification tests described below.</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2.Assets diversification tests: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a.The value of any one issuer's securities that we own may not exceed 5% of the value of our total assets.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b.We may not own more than 10% of any one issuer's outstanding securities, as measured by either voting power or value. The 5% and 10% asset tests do not apply to securities of TRSs and qualified REIT subsidiaries and the 10% asset test does not apply to "straight debt" having specified characteristics and to certain other securities.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c.The aggregate value of all securities of all TRSs that we hold may not exceed 25% of the value of our total assets.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d.No more than 25% of the total value of our assets may be represented by certain non-mortgage debt instruments issued by publicly offered REITs (even though such debt instruments qualify under the 75% asset test).</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A failure to satisfy the income or asset tests would not immediately cause us to lose our REIT qualification; rather, we could retain our REIT qualification if we were able to satisfy certain relief provisions and pay any applicable penalty taxes and other fines, or, in the case of a failure to satisfy the asset test, eliminate the discrepancy within a 30-day cure period. Please also refer to the </w:t>
      </w:r>
      <w:r>
        <w:rPr>
          <w:rFonts w:ascii="Times New Roman;serif" w:hAnsi="Times New Roman;serif"/>
          <w:b w:val="false"/>
          <w:i/>
          <w:color w:val="000000"/>
          <w:sz w:val="20"/>
        </w:rPr>
        <w:t>Risks Related to Our Taxation as a REIT</w:t>
      </w:r>
      <w:r>
        <w:rPr>
          <w:color w:val="000000"/>
        </w:rPr>
        <w:t xml:space="preserve"> </w:t>
      </w:r>
      <w:r>
        <w:rPr>
          <w:rFonts w:ascii="Times New Roman;serif" w:hAnsi="Times New Roman;serif"/>
          <w:b w:val="false"/>
          <w:color w:val="000000"/>
          <w:sz w:val="20"/>
        </w:rPr>
        <w:t xml:space="preserve">in Item 1A.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of this Form 10-K for further discussion of REIT qualification requirements and related items.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Regulatory Requirements of our Captive Broker-Dealer Subsidiary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BES is subject to ongoing membership and regulatory requirements as a member of the FICC and FINRA and as an SEC registered broker-dealer that include but are not limited to trade practices, use and safekeeping of funds and securities, capital structure, recordkeeping and conduct of directors, officers and employees. Additionally, as a self-clearing, registered broker-dealer, BES is subject to minimum net capital requirements. Thus, our ability to access tri-party repo funding through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FICC's GCF Repo service, which represents a significant portion of our total borrowing capacity, is reliant on BES's ability to continually meet FINRA and FICC regulatory and membership requirements.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Human Capital Management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our success as a company ultimately depends on the strength, wellness, and dedication of our workforce. We pride ourselves on robust practices in the area of human capital management that are constantly evolving to meet the needs of our people. As of December 31, 2025, our workforce consisted of 54 full-time employees. We strive to provide each of our highly skilled employees an engaging, rewarding, supportive, and inclusive atmosphere in which to grow professionally. Our competitive and comprehensive benefits package is carefully designed to attract and retain talented personnel. We believe our zero employee turnover during the past three years and favorable employee survey results are a testament to the success of our human capital management initiatives. </w:t>
      </w:r>
    </w:p>
    <w:p>
      <w:pPr>
        <w:pStyle w:val="TextBody"/>
        <w:bidi w:val="0"/>
        <w:spacing w:before="0" w:after="0"/>
        <w:jc w:val="both"/>
        <w:rPr/>
      </w:pPr>
      <w:r>
        <w:rPr/>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Employee Communications and Engagement</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We recognize the importance of ongoing open communication and engagement with our employees and we greatly value their input. To foster this, we regularly engage with our employees in a variety of ways through direct interaction with each member of our staff, periodic anonymous employee surveys, and regular town hall meetings. Our anonymous employee surveys provide important information about their job satisfaction, engagement, and specific concerns. Results consistently reflect high levels of employee satisfaction, including in areas of leadership, benefits, engagement, training, and development. To encourage candid feedback, we partner with outside vendors who analyze survey results and provide verbatim comments on an anonymous basis. In recognition of these efforts, AGNC was recertified as a Great Place to Work™ in 2023 based entirely on employee feedback. In 2024, </w:t>
      </w:r>
      <w:r>
        <w:rPr>
          <w:rFonts w:ascii="Times New Roman;serif" w:hAnsi="Times New Roman;serif"/>
          <w:b w:val="false"/>
          <w:i/>
          <w:color w:val="000000"/>
          <w:sz w:val="20"/>
        </w:rPr>
        <w:t>Fortune</w:t>
      </w:r>
      <w:r>
        <w:rPr>
          <w:color w:val="000000"/>
        </w:rPr>
        <w:t xml:space="preserve"> </w:t>
      </w:r>
      <w:r>
        <w:rPr>
          <w:rFonts w:ascii="Times New Roman;serif" w:hAnsi="Times New Roman;serif"/>
          <w:b w:val="false"/>
          <w:color w:val="000000"/>
          <w:sz w:val="20"/>
        </w:rPr>
        <w:t>named AGNC one of the Best Small Workplaces</w:t>
      </w:r>
      <w:r>
        <w:rPr>
          <w:rFonts w:ascii="Times New Roman;serif" w:hAnsi="Times New Roman;serif"/>
          <w:b w:val="false"/>
          <w:color w:val="000000"/>
          <w:sz w:val="13"/>
        </w:rPr>
        <w:t>TM</w:t>
      </w:r>
      <w:r>
        <w:rPr>
          <w:rFonts w:ascii="Times New Roman;serif" w:hAnsi="Times New Roman;serif"/>
          <w:b w:val="false"/>
          <w:color w:val="000000"/>
          <w:sz w:val="20"/>
        </w:rPr>
        <w:t>, recognizing our commitment to creating a best-in-class employee experience. Our Board of Directors (our "Board") and management use survey results and regular direct feedback from employees in making adjustments to our work environment and benefits package.</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Workplace Culture and Ethics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corporate culture promotes open and honest communication, fair treatment, collegiality and high ethics and compliance standards. Our Code of Ethics and Conduct ("Code of Conduct") applies to all directors, officers and employees and provides clear expectations and guidance to facilitate appropriate decisioning. Our Code of Conduct covers topics such as compliance with securities laws, conflicts of interest, giving and receiving gifts, discrimination, harassment, privacy, appropriate use of Company assets, protecting confidential information, and reporting Code of Conduct violations (including through an anonymous third-party hotline). All employees are required to affirm their understanding of these standards on at least an annual basis. We also regularly conduct mandatory compliance training on the Code of Conduct, insider trading, whistleblower protections, anti-harassment and other legal and corporate policies. Our executive officers and human resources department maintain "open door" policies, and any form of retaliation for bona fide reporting of Code of Conduct violations is expressly prohibited. </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Employee Development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a number of policies and programs to further the professional development of our employees. These include our professional certification and continuing education policy, reimbursement for any supervisor-approved courses, one-on-one coaching to enhance skills in a number of areas of personal and professional development, and memberships to organizations that provide employees with access to educational webinars. We offer a formal mentoring program for employees to receive direct one-on-one career guidance and cross-functional experience across various operations. Our employees also have the opportunity to lead and/or participate in employee-led initiatives, such as our employee-led Volunteerism &amp; Community Outreach Committee, which is responsible for implementing and leading new volunteer opportunities, as well as identifying ways the Company can have a positive impact on the community. These initiatives have advanced unique and professional skill sets throughout the organization.</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Inclusion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Central to our core values is that every individual deserves respect and equal treatment, regardless of gender, race, ethnicity, age, disability, sexual orientation, gender identity, cultural background or religious belief. We strive to have an inclusive and welcoming work environment that is free from wrongful discrimination. We have long maintained policies against discrimination and harassment in our workplace, and we periodically conduct workplace trainings and workshops attended by all employees related to these topics. Although we have a relatively small workforce and low turnover rate, our recruitment and hiring practices attempt to ensure the diversity of applicant pools for posted job openings. We also seek to engage our employees and provide them opportunities on a non-discriminatory and inclusive basis. As of December 31, 2025, 39% of our employees were women and 31% were ethnically diverse.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Compensation and Benefits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seek to attract and retain the most talented employees in our industry by offering competitive compensation and benefits. Our pay-for-performance compensation philosophy is based on rewarding each employee's individual contributions through a combination of fixed and variable pay elements. Each employee receives a total compensation package that includes base salary, short-term incentives in the form of an annual cash bonus and long-term equity incentives in the form of time-vesting and/or performance-vesting restricted stock units. The proportion of each employee's variable incentive versus fixed-based elements of their compensation is directly correlated to the individual's level of responsibility and role in the organization. Generally, higher level employees have higher proportions of variable incentive-based compensation in their target mix. Similarly, within the incentive-based elements, the proportion of long-term incentive-based elements generally corresponds to the individual's role and level of responsibility in the organization.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the success of our business is fundamentally connected to the well-being of our people, we offer benefits that support their physical, financial and emotional well-being. We provide our employees with access to flexible, comprehensive and convenient medical coverage intended to meet their needs and the needs of their families. In addition to standard medical coverage, we offer employees dental and vision coverage, health savings and flexible spending accounts, paid time off, parental leave and adoption assistance, voluntary short-term and long-term disability insurance, term life insurance, employee assistance programs, and other benefits. We also believe in the long-term financial wellness of our employees, and to foster maximum savings rates by our employees we offer a 401(k) Savings Plan with Company matching contributions of 100% up to 6% of each employee's eligible compensation, subject to IRS limits. </w:t>
      </w:r>
    </w:p>
    <w:p>
      <w:pPr>
        <w:pStyle w:val="TextBody"/>
        <w:bidi w:val="0"/>
        <w:spacing w:lineRule="auto" w:line="276" w:before="180" w:after="283"/>
        <w:jc w:val="both"/>
        <w:rPr>
          <w:rFonts w:ascii="Times New Roman;serif" w:hAnsi="Times New Roman;serif"/>
          <w:b/>
          <w:color w:val="000000"/>
          <w:sz w:val="20"/>
        </w:rPr>
      </w:pPr>
      <w:r>
        <w:rPr>
          <w:rFonts w:ascii="Times New Roman;serif" w:hAnsi="Times New Roman;serif"/>
          <w:b/>
          <w:color w:val="000000"/>
          <w:sz w:val="20"/>
        </w:rPr>
        <w:t xml:space="preserve">Competition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success depends, in large part, on our ability to acquire assets at favorable spreads over our borrowing costs. In acquiring mortgage assets, we compete with a variety of other investors, including other mortgage REITs, government entities, banks, specialty finance companies, public and private funds, insurance companies and other financial institutions, who may have competitive advantages over us as to the price they are willing to pay due to factors such as a lower cost of funds, access to funding sources not available to us or a lack of REIT and Investment Company Act regulatory constraints.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 xml:space="preserve">Corporate Information </w:t>
      </w:r>
    </w:p>
    <w:p>
      <w:pPr>
        <w:pStyle w:val="TextBody"/>
        <w:bidi w:val="0"/>
        <w:spacing w:lineRule="auto" w:line="288" w:before="180" w:after="283"/>
        <w:ind w:left="0" w:right="0" w:firstLine="450"/>
        <w:jc w:val="both"/>
        <w:rPr/>
      </w:pPr>
      <w:r>
        <w:rPr>
          <w:rFonts w:ascii="Times New Roman;serif" w:hAnsi="Times New Roman;serif"/>
          <w:b w:val="false"/>
          <w:color w:val="000000"/>
          <w:sz w:val="20"/>
        </w:rPr>
        <w:t>Our executive offices are located at 7373 Wisconsin Avenue, 22</w:t>
      </w:r>
      <w:r>
        <w:rPr>
          <w:rFonts w:ascii="Times New Roman;serif" w:hAnsi="Times New Roman;serif"/>
          <w:b w:val="false"/>
          <w:color w:val="000000"/>
          <w:sz w:val="13"/>
        </w:rPr>
        <w:t>nd</w:t>
      </w:r>
      <w:r>
        <w:rPr>
          <w:color w:val="000000"/>
        </w:rPr>
        <w:t xml:space="preserve"> </w:t>
      </w:r>
      <w:r>
        <w:rPr>
          <w:rFonts w:ascii="Times New Roman;serif" w:hAnsi="Times New Roman;serif"/>
          <w:b w:val="false"/>
          <w:color w:val="000000"/>
          <w:sz w:val="20"/>
        </w:rPr>
        <w:t xml:space="preserve">Floor, Bethesda, MD 20814 and our telephone number is (301) 968-9315. </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We make available our Annual Reports on Form 10-K, quarterly reports on Form 10-Q, current reports on Form 8-K and amendments to such reports as well as our Code of Ethics and Conduct on our internet website at </w:t>
      </w:r>
      <w:r>
        <w:rPr>
          <w:rFonts w:ascii="Times New Roman;serif" w:hAnsi="Times New Roman;serif"/>
          <w:b w:val="false"/>
          <w:color w:val="000000"/>
          <w:sz w:val="20"/>
          <w:u w:val="single"/>
        </w:rPr>
        <w:t>www.AGNC.com.</w:t>
      </w:r>
      <w:r>
        <w:rPr>
          <w:color w:val="000000"/>
        </w:rPr>
        <w:t xml:space="preserve"> </w:t>
      </w:r>
      <w:r>
        <w:rPr>
          <w:rFonts w:ascii="Times New Roman;serif" w:hAnsi="Times New Roman;serif"/>
          <w:b w:val="false"/>
          <w:color w:val="000000"/>
          <w:sz w:val="20"/>
        </w:rPr>
        <w:t xml:space="preserve">These reports are also available on the SEC internet website at </w:t>
      </w:r>
      <w:r>
        <w:rPr>
          <w:rFonts w:ascii="Times New Roman;serif" w:hAnsi="Times New Roman;serif"/>
          <w:b w:val="false"/>
          <w:color w:val="000000"/>
          <w:sz w:val="20"/>
          <w:u w:val="single"/>
        </w:rPr>
        <w:t>www.sec.gov</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 xml:space="preserve">Item 1A. </w:t>
      </w:r>
      <w:r>
        <w:rPr>
          <w:rFonts w:ascii="Times New Roman;serif" w:hAnsi="Times New Roman;serif"/>
          <w:b/>
          <w:i/>
          <w:color w:val="000000"/>
          <w:sz w:val="20"/>
        </w:rPr>
        <w:t>Risk Factors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You should carefully consider the risks described below and all other information contained in this Annual Report on Form 10-K, including our annual consolidated financial statements and the related notes thereto before deciding to purchase our securities. Any of the following risks could materially affect our business, financial condition or results of operations. If that happens, the trading price of our securities could decline, and you may lose all or part of your investment. The risks and uncertainties described below are not the only ones facing us. Additional risks and uncertainties not presently known to us, or not presently deemed material by us, may also impair our operations and performance. Our risk factors discussed below are classified among:</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risks related to our investment and portfolio management activities;</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risks related to our financing and hedging activities;</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risks related to our business operations;</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legislative and regulatory risks; and</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risks related to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Risks Related to Our Investment and Portfolio Management Activities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Spread risk is inherent to our business as a levered investor in Agency RMBS.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When the differential (or "spread") between the market yield on our assets and our interest rate hedges widens, our tangible net book value will typically decline, a dynamic we refer to as "spread risk." As a levered investor primarily in fixed-rate Agency RMBS, spread risk is an inherent component of our business. Although we use hedging instruments in an effort to protect against moves in interest rates, our hedges will typically not protect us against spread risk. Spreads may widen due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numerous factors, including actual or expected monetary policy actions by U.S. and foreign central banks; legislative, regulatory or other administrative actions affecting the Agency RMBS market; changes in fiscal policy and rising federal budget deficits; increased market volatility; reduced market liquidity; higher Agency RMBS supply; and shifts in investor return requirements and sentiment.</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Interest rate and spread volatility represent significant risks to our business, potentially affecting our liquidity, increasing our costs, and impacting our ability to manage risks effectively.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 rate and spread volatility can materially and adversely impact our business, financial condition, and operating results. Elevated volatility amplifies market risks that affect the value of our assets and liabilities and can reduce earnings stability. Increased volatility also heightens our exposure to margin calls, including higher risk-based margin requirements, which may require us to post additional collateral, thereby reducing our unencumbered cash and other liquid assets (or “unencumbered liquidity”) and thus limiting resources available for operational needs and further margin obligations.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Volatility further increases the complexity and cost of hedging against interest rate fluctuations, which can adversely affect our profitability. In addition, heightened volatility may reduce liquidity in the mortgage market as investors scale back exposure to mitigate risk, making it more difficult to buy or sell assets without significantly impacting market prices. Volatility may also diminish the effectiveness and accuracy of the predictive models we rely on for decision-making and risk management.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Sustained interest rate and spread volatility has the potential to materially impact our unencumbered liquidity, increase our costs, and impair our ability to manage risk effectively. While we actively monitor market conditions and adjust our strategies in response, there is no assurance that these measures will be sufficient to offset the negative effects of volatility on our business, operations, and financial results.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The participation of the Fed and other government-related entities in the Agency mortgage market could have an adverse effect on our Agency RMBS investments.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Participation by the Federal Reserve (the "Fed") or other government-related entities in the Agency RMBS market can materially impact mortgage market conditions, affecting supply, pricing, and returns. Asset purchases, particularly when undertaken on an uneconomic basis, by the Fed or other government-related entities generally would be expected to tighten mortgage spreads and thus drive Agency RMBS values higher, which would increase our tangible net book value but reduce the return potential on new investments. Conversely, actual or anticipated reductions in Agency RMBS holdings by such entities would be expected to lead to lower values and wider spreads, thereby lowering our tangible net book value while improving the return potential on new investments.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Fed first implemented large-scale asset purchases, known as quantitative easing ("QE"), during the 2008-2009 financial crisis to stabilize financial markets and support economic recovery. In response to the COVID-19 financial crisis, the Fed's balance sheet more than doubled from $4.2 trillion in March 2020 to $8.9 trillion in May 2022, with its Agency RMBS holdings rising to over $2.7 trillion, or nearly one-third of all Agency RMBS outstanding at the time. Since 2022, the Fed has reduced its Agency RMBS holdings through prepayment runoff to approximately $2.1 trillion as of December 31, 2025. While the Fed currently favors a gradual reduction of its balance sheet through prepayment runoff, there is no assurance that it will not alter its approach, including by undertaking asset sales. A faster-than-expected reduction in the Fed's Agency RMBS holdings could increase market volatility, reduce liquidity, and widen RMBS spreads, which could materially adversely impact our tangible net book value and financial condition.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other government-related entities, including GSEs and U.S. government agencies, may be significant participants in the Agency RMBS market. In January 2026, President Trump announced he had instructed the GSEs to invest $200 billion in Agency RMBS; however, the pace, nature, scope and duration of this initiative are not known. Government entities may purchase or sell Agency RMBS for a variety of purposes, including implementing housing policy or other public policy objectives, supporting market liquidity, earning profits, responding to conditions in Agency RMBS markets or changes in public policy. The GSEs have also provided repo financing to Agency RMBS investors, and a reallocation of capital towards increased Agency RMBS purchases could reduce the availability of such financing and contribute to higher repo rates. Changes in the investment or lending activities of these entities, including increased sales, reduced purchases or funding, or other shifts in demand, could materially affect Agency RMBS prices, spreads, and market liquidity, and could adversely affect our tangible net book value, results of operations, liquidity,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Our active portfolio management strategy may expose us to greater losses and lower returns than compared to passive strategies.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employ an active management strategy, meaning our investment portfolio composition, leverage ratio, and hedge positions will fluctuate based on our assessment of market conditions. We may realize significant gains or losses when selling investments or adjusting hedge positions that we no longer believe offer attractive risk-adjusted returns or when reallocating to perceived better opportunities. However, our market assessments may be incorrect, leading to portfolio, leverage, or hedge decisions that underperform a more static strategy. Additionally, due to our active approach, investors may not be able to assess changes in our financial position solely by tracking changes in the mortgage market.</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 decline in the fair value of our assets may adversely affect our financial condition and make it costlier to finance our assets.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investment securities are reported at fair value on our consolidated balance sheet, with changes in fair value reported in net income or other comprehensive income. Therefore, a decline in the fair value of our assets reduces our total comprehensive income and adversely affects our financial position. We use our investments as collateral for our financing arrangements and certain hedge transactions; consequently, a decline in fair value or perceived market uncertainty about the value of our assets could reduce the amount of our unencumbered assets, subject us to margin calls or make it more difficult for us to maintain our compliance with the terms of our financing agreements. It could also reduce our ability to purchase additional investments or to renew or replace our existing borrowings as they mature. As a result, we could be required to sell assets at adverse prices and our ability to maintain or grow our total comprehensive income could be reduced.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value of our assets is influenced by multiple factors. In particular, the value of our long-term fixed-rate securities is highly sensitive to fluctuations in longer-term interest rates. Additionally, the amount of market liquidity can significantly impact asset values, as reduced liquidity may lead to wider mortgage spreads, price declines and increased volatility. Several factors can negatively impact market liquidity, including shifts in macro-economic conditions, market uncertainties, changes in investor sentiment, reduced or negative global money flows into U.S. fixed income markets, and regulatory capital requirements that constrain the market-making or funding capacity of banks and financial institutions. Liquidity could also be affected by the Fed's monetary policy, particularly if balance sheet reduction occurs more rapidly than expected, as well as by legislative, regulatory or other administrative actions that affect the Agency RMBS market, government entity participation in Agency RMBS or funding markets, or changes in fiscal policy that increase the federal budget deficit.</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Changes in prepayment rates may adversely affect the return on our investments.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investment portfolio largely consists of securities backed by pools of mortgage loans that receive payments related to the underlying mortgage loans. When borrowers prepay their mortgage loans at rates faster or slower than anticipated, we are exposed to prepayment or extension risk. Generally, prepayments increase during periods of falling mortgage interest rates and decrease during periods of rising mortgage interest rates; however, other factors can also affect prepayment rates, including loan age and size, loan-to-value ratios, housing price trends, general economic conditions, government policies that promote housing turnover or refinancings, and GSE buyouts of delinquent loans. If our assets prepay at a faster rate than anticipated, we may be unable to reinvest the resulting repayments at acceptable yields. If the proceeds are reinvested at lower yields than our existing assets, our net interest margins would be negatively impacted. We also amortize or accrete into interest income any premiums and discounts we pay or receive at purchase relative to the stated principal of our assets over their projected lives using the effective interest method. If the actual and estimated future prepayment experience differs from our prior estimates, we are required to record a current period adjustment to interest income for the impact of the cumulative difference in the effective yield, which could negatively affect our interest income.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our assets prepay at a slower rate than anticipated, they may extend beyond their expected maturity, and we may be required to finance our investments for longer periods at potentially higher costs, without the ability to reinvest principal into higher-yielding securities. Additionally, if prepayment rates decline more than expected due to a rising interest rate environment, the average life or duration of our fixed-rate assets would extend, while the maturities of our interest rate swaps would remain unchanged and, therefore, hedge a smaller portion of our funding exposure. At the same time, the market value of our assets could decline, and our hedging instruments may not generate sufficient offsetting gains to fully mitigate the decline in asset values.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 the extent actual prepayment rates differ from our expectations, our operating results could be adversely affected, and we could be forced to sell assets to maintain adequate liquidity, which could cause us to incur realized losses. In addition, should significant prepayments occur, there is no certainty that we will be able to identify acceptable new investments, which could reduce our invested capital or result in us making less favorable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Prepayment rates are difficult to predict, and market conditions and other factors impacting mortgage origination channels may disrupt the historical correlation between interest rate changes and prepayment trends.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success depends in part on our ability to predict prepayment behavior over a variety of economic conditions. As part of our overall portfolio risk management, we analyze interest rate changes and prepayment trends to assess their effects on our investment portfolio. Our analysis is largely based on predictive models that rely on historical correlations between interest rates and other factors that influence prepayment rates. However, unprecedented events, market dislocations, changes in housing or mortgage-related policies, advances in origination channel technologies, and other factors may impair the usefulness of these historical correlations or render them invalid, reducing our ability to accurately predict future prepayment activity. Other factors beyond interest rates also impact the rate of prepayments and may be difficult to predict, such as housing turnover, lending conditions, the availability of credit to homeowners, government or GSE policy actions, and GSE buyouts of delinquent loans from the underlying mortgage pool.</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The analytical models and third-party data that we rely on to manage our portfolio and conduct our business objectives may be incorrect, misleading or incomplete.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use analytical models, data and other information to value our assets and assess potential investment opportunities in connection with our risk management and hedging activities. We may source our models and data from third-parties or develop them internally. Models are dependent on multiple assumptions and inputs. Models typically also assume a static portfolio. If either the models, their underlying assumptions or data inputs prove to be incorrect, misleading or incomplete, any decisions we make in reliance on such information may be faulty and expose us to potential risks.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Many of the analytical models we use are predictive in nature, such as mortgage prepayment and default models. The use of predictive models has inherent risks and may incorrectly forecast future behavior, leading to potential losses. Furthermore, since predictive models are typically constructed based on historical trends using data supplied by third parties, the success of relying on such models depends heavily on the accuracy and reliability of the underlying historical data. Additionally, multiple factors could disrupt the relationships between data and historical trends, reducing the ability of our models to predict future outcomes or rendering them invalid. We are at greater risk of this occurring during periods of high volatility or during unanticipated or unprecedented financial or economic events, including any actual or anticipated shifts in monetary or fiscal policy resulting from these events. Further, the use of artificial intelligence ("AI")–based techniques associated with analytical models and third-party data may heighten these risks due to the rapidly evolving nature of AI technologies, including risks related to data quality or completeness, model accuracy, and bias. Consequently, actual results could differ materially from our projections. Moreover, the use of different models could result in materially different projections.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Analytical models and third-party data used to analyze credit sensitive assets also expose us to the risk that the (i) collateral cash flows and/or liability structures may be incorrectly modeled, or may be modeled based on simplifying assumptions that lead to errors; (ii) information about collateral may be incorrect, incomplete or misleading; (iii) collateral or bond historical performance (such as historical prepayments, defaults, cash flows, etc.) may be incorrectly reported, or subject to interpretation (e.g., different issuers may report delinquency statistics based on different definitions of what constitutes a delinquent loan); or (iv) collateral or bond information may be outdated, in which case the models may contain incorrect assumptions as to what has occurred since the date information was last updated.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The fair value of our investments may not be readily determinable or may be materially different from the value that we ultimately realize upon their disposal.</w:t>
      </w:r>
    </w:p>
    <w:p>
      <w:pPr>
        <w:pStyle w:val="TextBody"/>
        <w:bidi w:val="0"/>
        <w:spacing w:lineRule="auto" w:line="288" w:before="180" w:after="283"/>
        <w:ind w:left="0" w:right="0" w:firstLine="450"/>
        <w:jc w:val="both"/>
        <w:rPr/>
      </w:pPr>
      <w:r>
        <w:rPr>
          <w:rFonts w:ascii="Times New Roman;serif" w:hAnsi="Times New Roman;serif"/>
          <w:b w:val="false"/>
          <w:color w:val="000000"/>
          <w:sz w:val="20"/>
        </w:rPr>
        <w:t>We measure the fair value of our investments in accordance with guidance set forth in Accounting Standards Codification Topic 820,</w:t>
      </w:r>
      <w:r>
        <w:rPr>
          <w:color w:val="000000"/>
        </w:rPr>
        <w:t xml:space="preserve"> </w:t>
      </w:r>
      <w:r>
        <w:rPr>
          <w:rFonts w:ascii="Times New Roman;serif" w:hAnsi="Times New Roman;serif"/>
          <w:b w:val="false"/>
          <w:i/>
          <w:color w:val="000000"/>
          <w:sz w:val="20"/>
        </w:rPr>
        <w:t>Fair Value Measurements and Disclosures</w:t>
      </w:r>
      <w:r>
        <w:rPr>
          <w:rFonts w:ascii="Times New Roman;serif" w:hAnsi="Times New Roman;serif"/>
          <w:b w:val="false"/>
          <w:color w:val="000000"/>
          <w:sz w:val="20"/>
        </w:rPr>
        <w:t>. Fair value is only an estimate based on good faith judgment of the price at which an investment can be sold since market prices of investments can only be determined by negotiation between a willing buyer and seller. Our determination of the fair value of our investments includes inputs from pricing services and third-party dealers. Valuations of certain investments may be difficult to obtain or unreliable. In general, pricing services and dealers disclaim responsibility for the accuracy, completeness or usefulness of their valuations and we do not have recourse against them in the event of inaccurate price quotes or other inputs used to determine the fair value of our investments. Depending on the complexity and illiquidity of a security, valuations can vary substantially from one pricing source to another. Moreover, values can fluctuate significantly, even over short periods of time. As a result, the fair value at which our investments are recorded may not be an accurate indication of their realizable value. The ultimate realization of the value of an asset depends on economic and other conditions that are beyond our control. Consequently, if we were to sell an asset, particularly in a forced liquidation, the realized value may be less than the amount at which the asset is recorded, which would negatively affect our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The mortgage loans referenced by our CRT securities or that underlie our non-Agency securities may be or could become subject to delinquency or foreclosure, which could result in investment losses.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Investments in credit-oriented securities, such as CRT securities and non-Agency MBS, for which repayment of principal and interest is not guaranteed by a GSE or U.S. Government agency, expose us to the potential risk of loss of principal and/or interest due to delinquency, foreclosure and related losses on the underlying mortgage loans.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CRT securities are risk sharing instruments issued by Fannie Mae and Freddie Mac and similarly structured transactions arranged by third-party market participants that are designed to synthetically transfer mortgage credit risk from the issuing entity to private investors. The transactions are structured as unguaranteed bonds whose principal payments are determined by the delinquency and prepayment experience of a reference pool of mortgages guaranteed by Fannie Mae or Freddie Mac. An investor in CRT securities bears the risk that the borrowers in the reference pool of loans may default on their obligations to make full and timely payments of principal and interest.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Non-Agency RMBS are backed by residential mortgage loans, which carry the risk of delinquency, foreclosure and loss based on the borrower's ability to repay. The ability to repay is primarily influenced by the borrower's income and assets. Factors such as loss of employment, divorce, illness, acts of God, acts of war or terrorism, adverse changes in economic and market conditions, declining home values, changes in laws and regulations, changes in fiscal policies and zoning ordinances, environmental hazards such as mold, and property losses (insured or not) can impede repayment.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CMBS are backed by commercial loans, secured by multifamily or other commercial properties. These loans typically face higher risks of delinquency and loss compared to residential loans. Repayment largely depends on the operational performance of the underlying properties. Factors affecting a property's net operating income, such as occupancy rates, tenant mix, the success of tenant businesses, property management, location, condition, and economic conditions, can influence the borrower's repayment capacity.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Geographic concentration of our assets can heighten the risk of default and loss. Both borrower repayment and the market value of the assets underlying our investments are affected by national, local and regional economic conditions. As a result, concentrations of investments tied to geographic regions increase the risk that adverse conditions affecting a region could increase the frequency and severity of losses on our investments. Additionally, assets in certain regional areas may be more susceptible to certain environmental hazards (such as earthquakes, widespread fires, rising sea levels, disease, floods, drought, hurricanes and certain climate risks) than properties in other areas; for example, assets located in coastal states may be more susceptible to hurricanes or sea level rise than properties in other parts of the country. Areas affected by these types of events often experience disruptions in travel, transportation and tourism, loss of jobs, a decrease in consumer activity, and a decline in real estate-related investments, and their economies may not recover sufficiently to support income producing real estate at pre-event levels. These types of occurrences may increase over time or become more severe due to changes in weather patterns and other climate changes.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Private mortgage insurance may not cover losses on loans referenced by our CRT securities and underlying our non-Agency RMBS.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Certain mortgage loans referenced by our CRT securities or underlying our non-Agency RMBS may have private mortgage insurance; however, coverage is not guaranteed. Insurance may not fully protect against losses in the event of a loan default due to several factors, including coverage limits that absorb only a portion of the loss, the insurer rescinding or denying a claim, or the insurer failing to meet its obligations—whether due to breach of contract or insolvency. As a result, we may still incur losses despite the presence of mortgage insurance.</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Changes in credit spreads may adversely affect our profitability.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significant portion of the fair value of CRT and non-Agency securities, as well as other credit risk-oriented investments, is typically driven by the credit spread—the difference between the value of a credit instrument and a comparable financial instrument with similar interest rate exposure but no credit risk, such as a U.S. Treasury note. Credit spreads fluctuate due to changes in economic conditions, liquidity, investor demand and other factors and can be highly volatile.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Credit spreads typically widen during periods of market uncertainty or actual or anticipated economic deterioration. They may also widen due to actual or anticipated rating downgrades of the securities or similar instruments. Hedging fair value changes related to credit spreads is often inefficient, and our hedging strategies are generally not designed to mitigate credit spread risk. As a result, fluctuations in credit spreads could negatively impact our profitability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We may be unable to acquire desirable investments due to competition, a reduction in the supply of new production Agency RMBS having the specific attributes we seek, and other factors.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profitability depends on our ability to acquire our target assets at attractive prices. We may seek assets with specific attributes that influence their prepayment behavior under certain market conditions or that enable us to satisfy asset test requirements to maintain our REIT qualification status or exemption from regulation under the Investment Company Act (such as "whole pool" Agency RMBS). The supply of our target assets may be impacted by policies and procedures adopted by the GSEs, their regulator—the Federal Housing Finance Administration ("FHFA")—or other governmental agencies, such as policies impacting origination and pooling practices, as well as by legislative, regulatory or other administrative actions related to the GSEs' government-like status or changes to their federal conservatorships. As a result, our target assets may not be available in sufficient supply or at attractive prices. We may also compete for these assets with a variety of other investors, including other REITs, specialty finance companies, public and private funds, government entities, banks, insurance companies and other financial institutions, which may have a lower cost of funds, access to funding sources not available to us, or other competitive advantages over us. If we are unable to acquire a sufficient amount of target assets, we may be unable to achieve our investment objectives or maintain our REIT qualification status or exemption from regulation under the Investment Company Act.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We may change our targeted investments, investment guidelines and other operational policies without stockholder consent.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may change our targeted investments and investment guidelines at any time without the consent of our stockholders, which could result in our making investments that are different from, and possibly riskier than, those described in this Annual Report or under our current guidelines. We may also amend or revise our other operational policies, including our policies with respect to our REIT qualification, acquisitions, dispositions, operations, indebtedness and distributions without a vote of, or notice to, our stockholders. Any such change may increase our exposure to risks described herein or expose us to new risks that are not currently contemplated, which could materially impair our operations and financial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Risks Related to Our Financing and Hedging Activities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Our strategy involves the use of significant leverage, which increases the risk that we may incur substantial losses.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expect our leverage to vary with market conditions and our assessment of the tradeoffs between risk and return on investments. We generally expect to maintain our leverage between six to ten times the amount of our tangible stockholders' equity, but we may operate at levels outside of this range for extended periods. We incur this leverage by borrowing against a substantial portion of the market value of our assets. Leverage, which is fundamental to our investment strategy, creates significant risks and amplifies our risk exposure to higher borrowing costs, changes in underlying asset values, changes in mortgage spreads, and other market factors. Leverage also exposes us to the risk of margin calls and defaults under our funding agreements, which may result in forced sales of assets under adverse market conditions. The risks associated with leverage are more acute during volatile market environments and periods of reduced market liquidity. Because of our leverage, we may incur substantial losses.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We may be unable to procure or renew funding on favorable terms, or at all.</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rely primarily on short-term borrowings to finance our mortgage investments. Consequently, our ability to achieve our investment objectives depends not only on our ability to borrow sufficient amounts on favorable terms, but also on our ability to renew or replace our maturing short-term borrowings on a continuous basis. A variety of factors could prevent us from achieving our intended borrowing and leverage objectives, including:</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disruptions in the repo market generally or the infrastructure that supports it;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higher short-term interest rates;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 decline in the market value of our investments available to collateralize borrowings;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increases in the "haircut" lenders require on the value of our assets under repurchase agreements, resulting in higher collateral requirements;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increases in member-specific margin requirements assessed by the FICC for tri-party repo accessed by our wholly-owned captive broker-dealer subsidiary, BES, through the FICC's GCF Repo service;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regulatory capital requirements or other limitations imposed on our lenders that negatively impact their ability or willingness to lend to us;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 exit by lenders from the market;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circumstances that could result in our failure to satisfy covenants, leverage limits, or other requirements imposed by our lenders, as a result of which our lenders may terminate and cease entering into repurchase transactions with us;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inability of BES to continually meet FINRA and FICC regulatory and membership requirements, which may change over time.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Because of these and other factors, there is no assurance that we will be able to secure financing on terms that are acceptable to us. If we cannot obtain sufficient funding on acceptable terms, we may have to sell assets under adverse market conditions, and our ability to grow or execute our business strategy could be adversely affected.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Our borrowing costs may increase at a faster pace than the yield on our investments.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borrowing costs are particularly sensitive to changes in short-term interest rates, as well as overall funding availability and market liquidity, whereas the yield on our fixed rate assets is largely influenced by longer-term rates and conditions in the mortgage market. Consequently, our borrowing costs may rise at a faster pace or decline at a slower pace than the yield on our assets, negatively impacting our net interest margin.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It may be uneconomical to roll our TBA dollar roll transactions, which could require us to take physical delivery of the underlying securities and fund our obligations with cash or other financing sources.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We utilize TBA dollar roll transactions as an alternative means of investing in and financing Agency RMBS. These transactions represent a form of off-balance sheet financing, increase our "at risk" leverage, and subject us to margin requirements. Market conditions, including changes in the pace or manner of the Fed's runoff of its Agency RMBS portfolio or, if they occur, the Fed's, GSE's or other government-entity purchases or sales of Agency RMBS in the TBA market, may make it uneconomical for us to roll our TBA positions prior to their settlement dates. Because TBA dollar roll transactions include a deferred purchase price obligation, an inability or decision not to continue rolling forward our positions have effects similar to a termination of financing. In such circumstances, we would be required to settle our obligations in cash and take physical delivery of the underlying Agency RMBS. We may not have sufficient funds or alternative financing available to do so. Additionally, upon settlement, we would generally receive the "cheapest to deliver" securities that satisfy the TBA contract. "Cheapest to deliver" securities typically have the least favorable prepayment attributes and may include few, if any, "whole pool" securities. As a result, taking delivery could adversely affect our returns and could limit our ability to remain exempt from regulation as an investment company under the Investment Company Act (see "</w:t>
      </w:r>
      <w:r>
        <w:rPr>
          <w:rFonts w:ascii="Times New Roman;serif" w:hAnsi="Times New Roman;serif"/>
          <w:b w:val="false"/>
          <w:i/>
          <w:color w:val="000000"/>
          <w:sz w:val="20"/>
        </w:rPr>
        <w:t>Loss of our exemption from regulation pursuant to the Investment Company Act would adversely affect us</w:t>
      </w:r>
      <w:r>
        <w:rPr>
          <w:rFonts w:ascii="Times New Roman;serif" w:hAnsi="Times New Roman;serif"/>
          <w:b w:val="false"/>
          <w:color w:val="000000"/>
          <w:sz w:val="20"/>
        </w:rPr>
        <w:t xml:space="preserve">" below). Our inability to roll TBA positions, obtain adequate financing to settle our obligations, or meet margin calls could force us to sell assets under adverse market conditions, resulting in significant losses.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Our funding and derivative agreements subject us to margin calls that could result in defaults and force us to sell assets under adverse market conditions or through foreclosure.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funding and derivative agreements require that we maintain certain levels of collateral with our counterparties and may result in margin calls initiated against us if, for example, the value of our collateral declines. A margin call means that the counterparty requires us to pledge additional collateral to re-establish the required collateral level to protect it from loss in the event we default on our obligations. The requirement to meet margin calls can create liquidity risks. In the event of a margin call, we must generally provide additional collateral on the same business day. If we fail to meet the margin call, we would be in default, and our counterparty could terminate outstanding transactions, require us to settle our entire obligation under the agreement, and enforce their interests against existing collateral. Furthermore, we may also be subject to certain cross-default and acceleration rights, such that if we were to fail to meet a margin call under one agreement that failure could also lead to defaults, accelerations, or other adverse events under other agreements. The threat or occurrence of margin calls or the accelerated settlement of our obligations under our agreements could force us to sell our investments under adverse market conditions and result in substantial losses.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fixed-rate collateral is generally more susceptible to margin calls due to its price sensitivity to changes in interest rates. In addition, some collateral may be less liquid than other instruments, which could cause it to be more susceptible to margin calls during periods of heightened volatility. Furthermore, faster rates of prepayment may increase the magnitude of potential margin calls as there is a time lag between the effective date of the prepayment and the date we receive the principal payment.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derivative agreements also subject us to margin calls. Collateral requirements under our derivative agreements are typically dictated by contract or clearinghouse rules and regulations adopted by the U.S. Commodity Futures Trading Commission ("CFTC") and regulators of other countries. Thus, changes in clearinghouse rules and other regulations can increase our margin requirements and the cost of our hedges. Our counterparties typically have the sole discretion to determine eligible collateral, the value of our collateral and, in the case of our derivative counterparties, the value of our derivative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instruments. Additionally, for cleared swaps and futures, the futures commission merchant, or FCM, that we transact through typically has the right to require more collateral than the clearinghouse requires.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Changes to FICC margin requirements could limit our ability to enter tri-party repo transactions with the FICC's GCF Repo service and TBA transactions with the FICC's MBSD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finance a significant portion of our investments and execute TBA transactions through our wholly-owned captive broker-dealer subsidiary, BES. As an eligible institution, BES accesses repo funding through the FICC's GCF Repo service and central clearing in the TBA market through the FICC's Mortgage-Backed Securities Division (MBSD).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FICC continually assesses potential changes to rules governing the calculation of margin and minimum margin requirements. The FICC may also levy member specific margin requirements, including requirements related to a member's specific portfolio risk factors as a ratio to that member's net capital, requirements related to "back-testing" failures of collected FICC margin requirements to cover losses from a simulated liquidation of a member's portfolio, and other charges that the FICC has the ability to implement, in some cases without a significant notice period.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Increases in FICC margin requirements would have the effect of reducing our unencumbered assets and could potentially limit our ability to utilize tri-party repo funding through the FICC's GCF Repo service and engage in centrally-cleared TBA transactions through the FICC's MBSD. Furthermore, BES's inability to meet FICC margin requirements may result in the FICC declaring an event of default and ceasing to act for BES as a member along with a liquidation of any margin collateral and the portfolio of outstanding transactions for which the FICC serves as BES's central counterparty, potentially in adverse market conditions. If BES were to fail to continually meet FICC margin requirements and default on its obligations to the FICC it could have a material financial impact on our financial position.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Our repurchase agreements and agreements governing certain derivative instruments may contain financial and non-financial covenants subjecting us to the risk of default.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number of our bilateral repurchase agreements and derivative agreements require that we comply with certain financial and non-financial covenants. These financial covenants typically limit declines in our stockholders' equity for any given quarter, calendar year, or 12-month period and limit our leverage to a maximum amount. Compliance with these covenants depends on market factors and the strength of our business and operating results. In addition, a number of these agreements require, among other things, that we maintain our status as a publicly listed REIT and remain exempt from the provisions of the 1940 Act. Various risks, uncertainties and events beyond our control, including significant fluctuations in interest rates, market volatility and changes in market conditions, could affect our ability to comply with these covenants. Unless we were able to negotiate a waiver or forbearance of such covenants, failure to comply with them could result in an event of default and generally would give the counterparty the right to exercise certain other remedies under the agreement, including termination of one or more repo or hedging transactions, acceleration of all amounts owed under an agreement, and the right to sell the collateral held by that counterparty. Any waiver or forbearance, if granted, could carry additional conditions that may be unfavorable to us. Additionally, certain of our agreements contain cross-default, cross-acceleration or similar provisions, such that if we were to violate a covenant under one agreement, that violation could lead to defaults, accelerations, or other adverse events under other agreements.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Our rights under repurchase and derivative agreements in the event of bankruptcy or insolvency may be limited.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event of our bankruptcy or insolvency, our repurchase agreements and hedging arrangements may qualify for special treatment under the U.S. Bankruptcy Code, the effect of which, among other things, would be to allow the counterparty under the applicable agreement to be exempt from the automatic stay provisions of the U.S. Bankruptcy Code and to foreclose on the collateral without delay. In the event of the insolvency or bankruptcy of one of our repurchase agreement or derivative counterparties, the counterparty may be permitted, under applicable insolvency laws, to repudiate the contract with us, and our claim against the counterparty for damages may be treated as unsecured. In addition, if the counterparty is a broker or dealer subject to the Securities Investor Protection Act of 1970, or an insured depository institution subject to the Federal Deposit Insurance Act, our ability to recover assets under our agreements or to be compensated for damages resulting from the counterparty's insolvency may be further limited by those statutes. Any recoveries on such claims could be subject to significant delay and, if received, could be substantially less than the damages incurred.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Our funding and derivative agreement counterparties may not fulfill their obligations to us when due.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If a repurchase agreement counterparty defaults on its obligation to resell collateral to us, we could incur a loss on the transaction equal to the difference between the value of our collateral and the amount of our borrowing. Similarly, if a derivative agreement counterparty fails to return collateral to us at the conclusion of the derivative transaction or fails to pledge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collateral to us or to make other payments we are entitled to under the terms of our agreement when due, we could incur a loss equal to the value of our collateral and other amounts due to us.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attempt to limit our counterparty exposure by diversifying our funding across multiple counterparties and limiting our counterparties to registered central clearing exchanges and major financial institutions with acceptable credit ratings. However, these measures may not sufficiently reduce our risk of loss. Central clearing exchanges typically attempt to reduce the risk of default by requiring initial and daily variation margin from their clearinghouse members and maintaining guarantee funds and other resources that are available in the event of default. Nonetheless, we could be exposed to the risk of loss if an exchange or one or more of its clearing members defaults on their obligations. Most of the swaps and futures transactions that we enter into must be cleared by a Derivatives Clearing Organization, or DCO. DCOs are subject to regulatory oversight, use extensive risk management processes, and might receive "too big to fail" support from the government in the case of insolvency. We access the DCO through several FCMs, which may establish their own collateral requirements beyond those of the DCO. Consequently, for any cleared swap or futures transaction, we bear the credit risk of both the DCO and the relevant FCM as to obligations under our swap and futures agreements. The enforceability of our derivative and repurchase agreements may also depend on compliance with applicable statutory, commodity and other regulatory requirements and, depending on the domicile of the counterparty, applicable international requirements.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Our hedging strategies may be ineffective.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attempt to limit, or hedge against, the adverse effect of changes in interest rates on the value of our assets and financing costs, subject to complying with REIT tax requirements. Hedging strategies are complex and do not fully protect against adverse changes under all circumstances. Our business model also calls for accepting certain amounts of risk. Consequently, our hedging activities are generally designed to limit interest rate exposure, but not to eliminate it, and they are generally not designed to hedge against spread risk and other risks inherent to our business model.</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hedging strategies may vary in scope based on our portfolio composition, liabilities and our assessment of the level and volatility of interest rates, expected prepayments, credit and other market conditions, and they are expected to change over time. We could inaccurately assess a risk or fail to recognize a risk entirely, leaving us exposed to losses without the benefit of any offsetting hedges. Furthermore, the techniques and derivative instruments we select may not have the effect of reducing our risk. Poorly designed hedging strategies or improperly executed transactions could increase our risk of loss. Hedging activities could also result in losses if the hedged event does not occur. Numerous other factors can impact the effectiveness of our hedging strategies, including the following:</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cost of interest rate hedges;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degree to which the interest rate hedge benchmark rate correlates with the interest rate risk being hedged;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degree to which the duration of the hedge matches that of the related asset or liability, particularly as interest rates change;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amount of income that a REIT may earn from hedging transactions that do not satisfy certain requirements of the Internal Revenue Code and that are not conducted through a TRS;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degree to which the value of our interest rate hedges changes relative to our assets as a result of fluctuations in interest rates, the passage of time, or other factors.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Additionally, regulations adopted by the CFTC and regulators of other countries could adversely affect our ability to engage in derivative transactions or impose increased margin requirements and result in additional operational and compliance costs. Consequently, our hedging strategies may fail to protect us from loss and could even result in greater losses than if we had not entered into the hedge transaction.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Risks Related to Our Business Operations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Our executive officers and other key personnel are critical to our success and the loss of any executive officer or key employee may materially adversely affect our business.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operate in a highly specialized industry and our success is dependent upon the efforts, experience, diligence, skill and network of business contacts of our executive officers and key personnel. The departure of any of our executive officers and/or key personnel could have a material adverse effect on our operations and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We are highly dependent on information systems and third-party service providers to conduct our operations, and system failures, cybersecurity incidents or failure of our providers to fulfill their obligations to us could significantly disrupt our ability to operate our business.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business heavily depends on information and communication systems, including services provided by third parties and cloud-based platforms. A failure in these systems, or a failure by a third-party provider, could significantly disrupt our operations. These systems may be subject to damage or interruption from, among other things, natural disasters, public health issues such as pandemics or epidemics, terrorist attacks, rogue employees, power loss, telecommunications failures, internet disruptions, and other interruptions beyond our control. Additionally, our reliance on these systems exposes us to risks of disruption or damage from cybersecurity risks, such as malware, viruses, hacking, denial of service, ransomware, physical or electronic break-ins, insider threats, and phishing attacks, all of which are increasingly sophisticated and prevalent. Our systems may be misconfigured or configured in a way that exacerbates our exposure to these risks. Despite having no significant breaches detected to date, we regularly are targeted by threat actors, and completely preventing or detecting such incidents promptly is increasingly challenging.</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complex nature of cybersecurity threats means a breach could go undetected for a long time, if ever, and responding to such incidents may not always be immediate or sufficient. Moreover, we depend on third-party vendors to implement security programs commensurate with their own risk. Such vendors may not be successful at defending against or detecting cybersecurity threats, and they may not be obligated to inform us of such incidents. The consequences of a cyber-attack may include operational disruption, unauthorized access to sensitive data, regulatory fines, reputational damage, liability to third parties, and financial losses.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impact of cybersecurity incidents is difficult to predict, and legal and regulatory requirements around data privacy and security could lead to increased costs and stricter compliance requirements. During an investigation of a cybersecurity incident, or a series of events, it is possible we may not know the extent of the harm or how to remediate it, which could further adversely impact us, and we may be compelled to disclose information about a material cybersecurity incident before it has been mitigated or resolved, or even fully investigated. Furthermore, whether a single cyber event or series of events is material is often a matter of judgment rather than quantitative measures and might only be determinable well after the fact. Despite our efforts to enhance our cybersecurity defenses, we cannot assure complete protection against all cybersecurity threats. A cybersecurity incident, if one were to occur, could adversely affect our business, results of operations, or financial condition.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The use of artificial intelligence by us or our third-party vendors could expose us to additional risks.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currently make limited use of AI technologies in our operations; however, we may expand our use of AI over time, and certain third-party service providers on which we rely may also utilize AI in providing services to us. AI technologies are rapidly evolving and may present risks related to data quality or completeness, model accuracy, cybersecurity, bias, explainability, intellectual property, and other operational, legal and business risks. Increased use of AI, whether by us or our vendors, could require additional governance, controls, and oversight and may increase our reliance on third-party data and technology.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If AI-driven tools, models, or outputs are inaccurate, unreliable, misconfigured, or misused, or if we fail to appropriately manage risks associated with the use of AI by us or our vendors, our operations, results of operations, or financial condition could be adversely affected.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Risks Related to Our Taxation as a REIT</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Our failure to qualify as a REIT would have adverse tax consequences.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we qualify as a REIT for U.S. federal income tax purposes under Sections 856–860 of the Internal Revenue Code of 1986, as amended, and related Treasury Regulations, and we intend to maintain our REIT status. The determination that we are a REIT requires an analysis of various factual matters and circumstances that may not be entirely within our control. Qualification and taxation as a REIT also depend on our ability to continually meet requirements imposed on REITs by the Internal Revenue Code, including satisfying certain organizational requirements, an annual distribution requirement, and quarterly asset and annual income tests. These tests depend on our ability to effectively manage the composition of our income and assets on an ongoing basis. At least 75% of our gross income must come from real estate sources, and 95% must come from real estate and certain other qualifying sources. Our ability to satisfy the asset tests depends on determining the characterization and fair market value of our assets, which may not be precisely measurable or may lack independent appraisals. Additionally, the classification of certain instruments as debt or equity for tax purposes may be uncertain, which could adversely impact the application of the REIT asset requirements. The distribution requirement mandates that we distribute at least 90% of our REIT taxable income to stockholders annually, determined without regard to the dividends paid deduction and excluding net capital gains.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Failure to qualify as a REIT would have significant consequences. We would lose the ability to deduct dividends paid to stockholders when computing our taxable income and would be subject to U.S. federal and state corporate income tax as a regular C corporation for any taxable year for which we did not qualify. This could result in substantial tax liabilities and reduce funds available for investments and distributions, likely adversely impacting our stock price. Additionally, we would no longer be required to make stockholder distributions. Unless the IRS granted us relief under certain statutory provisions, we would remain disqualified as a REIT for four years following the year in which we first fail to qualify.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Relief provisions may be available if we fail to meet the REIT requirements, provided the failure was due to reasonable cause, not willful neglect, and we satisfy other requirements, including the timely completion of applicable IRS filings. It is not possible to predict whether we would be entitled to benefit from such provisions. Even if we were to qualify for relief, we may still incur penalty taxes. The penalty for failing an asset test is the greater of $50,000 per failure or the net income from non-qualifying assets that resulted in the failure multiplied by the highest U.S. federal corporate tax rate. For failing one or both gross income tests, the penalty equals 100% of the net profit from non-qualifying income that resulted in the failure, as determined under the Internal Revenue Code.</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REIT distribution requirements could adversely affect our ability to execute our business plan.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generally must distribute annually at least 90% of our taxable income, subject to certain adjustments and excluding any net capital gain, for U.S. federal and state corporate income tax not to apply to earnings that we distribute and to retain our REIT status. Distributions of our taxable income must generally occur in the taxable year to which they relate, or in the following taxable year if declared before we timely file our tax return for the year and -paid with or before the first regular dividend payment after such declaration. We may also elect to retain, rather than distribute, our net long-term capital gains and pay tax on such gains if required, in which case, we could designate for our stockholders to include their proportionate share of such undistributed long-term capital gains in income, and to receive a corresponding credit for their share of the tax that we paid. Our stockholders would then increase the adjusted basis of their stock by the difference between (a) the amounts of capital gain dividends that we designated and that they include in their taxable income, minus (b) the tax that we paid on their behalf with respect to that income. We intend to make distributions to our stockholders to comply with the REIT qualification requirements of the Internal Revenue Code, which limits our ability to retain earnings and thereby replenish or increase capital from operations.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 the extent that we satisfy this distribution requirement, but distribute less than 100% of our taxable income, we will be subject to U.S. federal and state corporate income tax on our undistributed taxable income. Furthermore, if we failed to distribute during each calendar year at least the sum of (a) 85% of our REIT ordinary income for such year, (b) 95% of our REIT capital gain net income for such year, and (c) any undistributed taxable income from prior periods, we would be subject to a non-deductible 4% excise tax on the excess of such required distribution over the sum of (x) the amounts actually distributed, (y) the amounts of income we retained and on which we have paid corporate income tax and (z) any excess distributions from prior periods.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taxable income will typically differ from income prepared in accordance with GAAP due to temporary and permanent differences. For example, realized gains and losses on our hedging instruments, such as interest rate swaps, may be deferred for income tax purposes and amortized into taxable income over the remaining contract term of the instrument even if we have exited the instrument and settled such gains or losses for cash. We are also not allowed to reduce our taxable income for net capital losses incurred; instead, the capital losses may be carried forward for a period of up to five years and applied against future capital gains subject to our ability to generate sufficient capital gains, which cannot be assured. Therefore, it is possible that our taxable income could be in excess of the net cash generated from our operations. If we do not have funds available in these situations to meet our REIT distribution requirements or to avoid corporate and excise taxes altogether, we could be required to borrow funds on unfavorable terms, sell investments at disadvantageous prices or distribute amounts that would otherwise be invested in future acquisitions.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We may choose to pay dividends in our own stock, in which case stockholders may be required to pay income taxes in excess of cash dividends received.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may in the future distribute taxable dividends that are payable at least in part in shares of our common stock. Taxable stockholders receiving such dividends would be required to include the full amount of the distribution as income to the extent of our current and accumulated earnings and profits for U.S. federal income tax purposes. As a result, stockholders may be required to pay income taxes with respect to such dividends in excess of the cash dividends received. If a U.S. stockholder sells the stock received as a dividend to pay these taxes, the sales proceeds may be less than the amount included in income with respect to the dividend, depending on the market price of our stock at the time of sale. Furthermore, with respect to certain non-U.S. stockholders, we may be required to withhold U.S. tax on such dividends, including on all or a portion of any dividend that is payable in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Even if we remain qualified as a REIT, we may face other tax liabilities that reduce our cash flow.</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Even if we remain qualified for taxation as a REIT, we may nonetheless be subject to certain federal, state and local taxes on our income and assets, including the following items. Any of these or other taxes we may incur would decrease cash available for distribution to our stockholders.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Regular U.S. federal and state corporate income taxes on any undistributed taxable income, including undistributed net capital gains.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 non-deductible 4% excise tax if the amount distributed to our stockholders in a calendar year is less than the required amount specified under federal tax law.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Corporate income taxes on the earnings of subsidiaries, to the extent that such subsidiaries are subchapter C corporations and are not qualified REIT subsidiaries or other disregarded entities for federal income tax purposes.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 100% tax on certain transactions between us and our TRSs that do not reflect arm's-length terms.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If we acquire appreciated assets from a corporation that is not a REIT (i.e., a corporation taxable under subchapter C of the Internal Revenue Code) in a nontaxable transaction, we may be subject to tax on such appreciation at the highest applicable corporate income tax rate if we were to dispose of the assets in a taxable transaction during the five-year period following the acquisition.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100% tax on net income and gains from "prohibited transactions."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Penalty taxes and other fines for failure to satisfy one or more requirements for REIT qualification.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Complying with REIT requirements may cause us to liquidate or forgo attractive investment opportunities.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 remain qualified as a REIT, we must ensure that, at the end of each calendar quarter, at least 75% of the value of our assets consists of cash, cash items, government securities, and qualified real estate assets. The remainder of our investments in securities (other than government securities and qualified real estate assets) generally cannot include securities possessing more than 10% of the outstanding voting power of any one issuer or having a value of more than 10% of the total value of the outstanding securities of any one issuer. In addition, in general, no more than 5% of the value of our assets (other than government securities and qualified real estate assets) can consist of the securities of any one issuer, and no more than 25% of the value of our total assets can be represented by securities of one or more TRSs. If we fail to comply with these requirements at the end of any calendar quarter, we must correct the failure within 30 days after the end of the calendar quarter or qualify for certain statutory relief provisions to avoid losing our REIT qualification and suffering adverse tax consequences. We must also satisfy tests concerning the sources of our income and the amounts that we distribute to our stockholders. Complying with these requirements may prevent us from acquiring certain attractive investments or may require us to sell otherwise attractive investments. Thus, the potential returns on our investment portfolio may be lower than they would be if we were not subject to such requirements. Additionally, if we must liquidate our investments to repay our lenders or to satisfy other obligations, we may be unable to comply with these requirements, potentially jeopardizing our qualification as a REIT.</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Complying with REIT requirements may limit our ability to hedge effectively and may cause us to incur tax liabilities.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REIT provisions of the Internal Revenue Code could substantially limit our ability to hedge our risks. Any income from a properly designated hedging transaction to manage the risk of interest rate changes with respect to borrowings made or to be made, or ordinary obligations incurred or to be incurred, to acquire or carry real estate assets generally does not constitute "gross income" for purposes of the 75% or 95% gross income tests ("qualified hedges"). To the extent that we enter into other types of hedging transactions, or fail to properly designate qualified hedges, the income from those transactions is likely to be treated as non-qualifying income for purposes of both gross income tests. As such, we may have to limit our use of advantageous hedging techniques or implement those hedges through a TRS. This could increase the cost of our hedging activities as our TRS would be subject to tax on gains or expose us to greater risks than we would otherwise want to bear. In addition, losses in a TRS will generally not provide any tax benefit, except for being carried forward against future taxable income in the TRS.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Uncertainty exists with respect to the treatment of our TBAs for purposes of the REIT asset and income tests.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There is no direct authority with respect to the qualification of TBAs as real estate assets or U.S. Government securities for purposes of the 75% asset test or the qualification of income or gains from dispositions of TBAs as gains from the sale of real property or other qualifying income for purposes of the 75% gross income test. However, we treat our TBAs as qualifying assets for purposes of the REIT 75% asset test, and we treat income and gains from our TBAs as qualifying income for purposes of the 75% gross income test, based on a legal opinion of Skadden, Arps, Slate, Meagher &amp; Flom LLP ("Skadden") substantially to the effect that (i) for purposes of the REIT asset tests, our ownership of a TBA should be treated as ownership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of the underlying Agency RMBS (i.e., real estate assets), and (ii) for purposes of the 75% REIT gross income test, any gain recognized by us in connection with the settlement of our TBAs should be treated as gain from the sale or disposition of the underlying Agency RMBS. Opinions of counsel are not binding on the IRS, and no assurance can be given that the IRS will not successfully challenge the conclusions set forth in such opinions. In addition, it must be emphasized that Skadden's opinion is based on various assumptions relating to our TBAs and is conditioned upon fact-based representations and covenants made by our management regarding our TBAs. Accordingly, no assurance can be given that the IRS would not assert that such assets or income are not qualifying assets or income. If the IRS were to successfully challenge Skadden's opinion, we could be subject to a penalty tax or we could fail to remain qualified as a REIT if a sufficient portion of our assets consists of TBAs or a sufficient portion of our income consists of income or gains from the disposition of TBAs.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Qualifying as a REIT involves highly technical and complex provisions of the Internal Revenue Code.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Qualification as a REIT involves the application of highly technical and complex Internal Revenue Code provisions on a continuous basis for which only limited judicial and administrative authorities exist. Our application of such provisions may be dependent on interpretations of the provisions by the Internal Revenue Service, which may change over time. Even a technical or inadvertent violation of the Internal Revenue Code provisions could jeopardize our REIT qualification.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The tax on prohibited transactions could limit our ability to engage in certain transactions.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Net income that we derive from a "prohibited transaction" is subject to a 100% tax. The term "prohibited transaction" generally includes a sale or other disposition of property that is held primarily for sale to customers in the ordinary course of a trade or business by us or by a borrower that has issued a shared appreciation mortgage or similar debt instrument to us. We could be subject to this tax if we were to dispose of assets or structure transactions in a manner that is treated as a prohibited transaction for federal income tax purposes.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intend to structure our activities to avoid classification as prohibited transactions. As a result, we may choose not to engage in certain transactions at the REIT level that might otherwise be beneficial to us. In addition, whether property is held "primarily for sale to customers in the ordinary course of a trade or business" depends on the particular facts and circumstances. Thus, no assurance can be given that any property that we sell will not be treated as such or that we can comply with certain safe-harbor provisions of the Internal Revenue Code that would prevent such treatment. The 100% tax does not apply to gains from the sale of property that is held through a TRS or other taxable corporation, although such income will be subject to tax at the entity's regular corporate rates.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Distributions to tax-exempt investors may be classified as unrelated business taxable income.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Although distributions with respect to our common stock generally do not constitute unrelated business taxable income, there are some circumstances where they may. If (i) we generate "excess inclusion income" as a result of all or a portion of our assets being subject to rules relating to "taxable mortgage pools" or as a result of holding residual interests in a REMIC or (ii) we become a "pension held REIT," then a portion of the distributions to tax exempt investors may be subject to U.S. federal income tax as unrelated business taxable income under the Internal Revenue Code.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Legislative and Regulatory Risks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Federal housing finance reform and potential changes to the Federal conservatorship of Fannie Mae and Freddie Mac or to laws or regulations affecting the relationship between the GSEs and the U.S. Government may adversely affect our business.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payments of principal and interest we receive on our Agency RMBS are guaranteed by Fannie Mae, Freddie Mac or Ginnie Mae. The guarantees on Agency securities created by Ginnie Mae are explicitly backed by the full faith and credit of the U.S. Government, whereas the guarantees on Agency securities created by Fannie Mae and Freddie Mac are not.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2008, Fannie Mae and Freddie Mac were placed into conservatorship under the FHFA. In addition, the U.S. Treasury Department provided a liquidity backstop to ensure their financial stability. Over time, efforts to end the conservatorships and modify the existing guarantee-payment structure have garnered attention from U.S. Government policymakers. During the final year of the first Trump Administration, FHFA established new regulatory capital requirements for an exit from conservatorship, and the Treasury Department amended the terms of its liquidity backstop to enable Fannie Mae and Freddie Mac to retain additional capital to meet these requirements, subject to certain conditions. In late 2020 and early 2021, the Director of the FHFA was reported to have considered various actions to bring a prompt end to the conservatorships. The Biden Administration and the FHFA delayed implementation or reversed many of these initiatives and took steps intended to advance other housing finance policy objectives. In the final month of the Biden Administration, the FHFA and the Treasury Department further amended the liquidity backstop, among other things, to require the written consent of the Treasury Department after a period of public notice and opportunity to comment prior to terminating the conservatorships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(other than through receivership) and to require that Fannie Mae and Freddie Mac achieve sufficient capital levels prior to being released from conservatorship. During 2025, the Trump Administration indicated that it was actively considering the capital structure and status of the GSEs, which could include stock offerings, a recapitalization, or a re-listing of their common stock, and expressed a desire to end the conservatorships at some time in the future. Nonetheless, Administration officials have stated that any such actions would be pursued in a manner intended to preserve mortgage market stability and not lead to higher mortgage rates. It is unclear what actions, if any, may be taken, or the form, nature, scope, timing, or the effects of any such actions.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Administrative or legislative actions affecting the GSEs or the housing finance system could alter the amount or nature of the credit support provided by the U.S. Treasury to Fannie Mae and Freddie Mac, modify their roles in housing finance or otherwise affect the value or relative fungibility of Agency RMBS issued by each GSE. Such actions could create market uncertainty, reduce the actual or perceived credit quality of GSE securities, limit the ability of banks, foreign investors, mutual funds or others to own Agency RMBS, or otherwise adversely impact the liquidity, size and scope of the Agency RMBS market. Actions that terminate the conservatorships without providing sufficiently robust U.S. government support to preserve their government-like status or otherwise retain the functionality, scale, or efficiency of the primary and secondary mortgage markets as they exist today could redefine what constitutes an Agency security. Such actions could subject Agency RMBS to greater credit risk, make them more difficult to finance or less liquid, and cause their values to decline, all of which could have broad adverse implications for primary and secondary mortgage markets and our business.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Actions of the U.S. Government, including the U.S. Congress, Fed, U.S. Treasury, FHFA and other governmental and regulatory bodies may adversely affect our business.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U.S. Government legislative and administrative actions may have an adverse impact on financial markets for Agency RMBS. To the extent the markets do not respond favorably to any such actions or such actions do not function as intended, they could have broad and adverse market implications and could negatively impact our financial condition and results of operations.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recent years, the U.S. Government has sought to advance housing policy objectives through the GSEs. In 2025, the Trump Administration increased its focus on housing affordability, including the cost of home mortgages. In January 2026, President Trump stated that he had instructed the GSEs to acquire approximately $200 billion of Agency MBS to lower mortgage rates and improve housing affordability. The Administration has also solicited input from industry groups, think tanks, and other market participants regarding potential measures to reduce the cost of homeownership. A number of these proposals would be expected to have a benign or only modest effect on the Agency RMBS market or on our business, financial condition, or results of operations. However, certain of these proposals (or other future proposals), if implemented, could have broad adverse implications for Agency RMBS markets and our business by significantly changing prepayment speeds, artificially altering mortgage spreads on an unsustainable basis, or purporting to modify the terms of existing mortgages and existing Agency RMBS in a manner unfavorable to holders of Agency RMBS. Such proposals (or other future proposals), if adopted, could lead to reduced investor interest in Agency RMBS, lower market liquidity, increased Agency RMBS volatility, wider mortgage spreads, and as a result higher mortgage lending rates for homeowners. It is unclear whether the Trump Administration or Congress will seek to implement any of these or any other proposals or what the form, nature, scope, implementation timeline or effects of such actions could be.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Actual or anticipated actions or inaction on U.S. fiscal policy matters, including the amount and tenor of U.S. Treasury debt required to fund the government and the U.S. debt ceiling, could result in a wide range of negative economic effects, including increased financial market and interest rate volatility and wider mortgage spreads.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Additionally, new regulatory requirements, including changes to the manner and timing of clearing U.S. Treasury and Agency RMBS transactions or the imposition of greater regulatory constraints on banks, could adversely affect the availability or terms of financing from our lending counterparties, reduce market liquidity or demand for Agency RMBS, restrict the origination of residential mortgage loans and the formation of new issuances of mortgage-backed securities, or limit the trading activities of certain banking entities and other systemically significant organizations that are important to our business. In 2023, the FDIC and Fed proposed revisions to bank capital rules that would have applied risk weights (and costs) to Agency RMBS that, if adopted, might have impacted the source, pricing, volume, financing, and nature of Agency RMBS. Although these proposals are not expected to be finally adopted in their original form, they have not yet been withdrawn, and aspects of them may be re-proposed or adopted in the future. In addition, SEC regulations that mandate the central clearing of U.S. Treasury and U.S. Treasury repurchase agreement ("U.S. Treasury Repo") transactions will necessitate significant changes to trading operations and have the potential to adversely impact liquidity, funding and efficiency of these markets. Such changes could adversely affect the cost and other terms or availability of financing and hedging arrangements for our business. Together or individually new regulatory requirements could materially affect our financial condition or results of operations in adverse ways.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Failure to satisfy regulatory requirements of our captive broker-dealer subsidiary could result in our inability to access tri-party repo funding through the FICC's GCF Repo service and could be harmful to our business operations.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BES is subject to ongoing membership and regulatory requirements as a member of the FICC and FINRA and as an SEC registered broker-dealer that include but are not limited to trade practices, use and safekeeping of funds and securities, capital structure, recordkeeping and conduct of directors, officers and employees. Additionally, as a self-clearing, registered broker-dealer, BES is subject to minimum net capital requirements. Our ability to access tri-party repo funding through the FICC's GCF Repo service, which represents a significant portion of our total borrowing capacity, and our ability to conduct self-clearing of our investment and funding activity through BES are reliant on BES's ability to continually meet these regulatory and membership requirements. If BES were to lose its memberships in FICC and FINRA or its status as a self-clearing registered broker-dealer, we may be unable to find alternative sources of financing on favorable terms and we may experience business interruptions as we attempt to transfer custody and clearing activities to alternative providers that would be harmful to our business.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Loss of our exemption from regulation pursuant to the Investment Company Act would adversely affect us.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conduct our business so as not to become regulated as an investment company under the Investment Company Act in reliance on the exemption provided by Section 3(c)(5)(C) of the Investment Company Act. Section 3(c)(5)(C), as interpreted by the staff of the SEC, requires that: (i) at least 55% of our investment portfolio consists of "mortgages and other liens on and interest in real estate," or "qualifying real estate interests," and (ii) at least 80% of our investment portfolio consists of qualifying real estate interests plus "real estate-related assets."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specific real estate related assets that we acquire are limited by the provisions of the Investment Company Act and the rules and regulations promulgated thereunder. In satisfying the 55% requirement, we treat Agency RMBS issued with respect to an underlying pool of mortgage loans in which we directly or indirectly hold all the certificates issued by the pool ("whole pool" securities) as qualifying real estate interests based on pronouncements of the SEC staff. We treat partial pool securities, CRT and other mortgage related securities as real estate-related assets. Consequently, our ability to satisfy the exemption under the Investment Company Act is dependent upon our ability to acquire and hold on a continuous basis a sufficient amount of whole pool securities. The availability of whole pool securities may be adversely impacted by a variety of factors, including GSE pooling practices, which can change over time, housing finance reform initiatives and competition for whole pool securities with other mortgage REITs.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Additionally, if the SEC determines that any of our securities are not qualifying interests in real estate or real estate-related assets, otherwise believes we do not satisfy the above exceptions or changes its interpretation with respect to these securities or the above exceptions, we could be required to restructure our activities or sell certain of our assets. As such, we cannot guarantee that we will be able to acquire or hold enough whole pool securities to maintain our exemption under the Investment Company Act, and our compliance with these requirements may at times lead us to adopt less efficient methods of investing in certain securities or to forego acquiring more desirable securities. Importantly, if we fail to qualify for this exemption, our ability to use leverage would be substantially reduced and we would be unable to conduct our business as we currently conduct it, which could materially and adversely affect our business.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New legislation or administrative or judicial action could make it more difficult or impossible for us to remain qualified as a REIT or it could otherwise adversely affect REITs and their stockholders.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present U.S. federal income tax treatment of REITs may be modified, possibly with retroactive effect, by legislative, judicial or administrative action at any time, which could affect our ability to maintain our REIT status and/or the federal income tax treatment of an investment in us. The federal income tax rules dealing with REITs constantly are under review by persons involved in the legislative process, the IRS and the U.S. Treasury Department, which results in statutory changes as well as frequent revisions to regulations and interpretations. Revisions in Federal tax laws and interpretations thereof could affect or cause us to change our investments and affect the tax considerations of an investment in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Risks Related to Our Common Stock</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The market price and trading volume of our common stock may be volatile.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market price and trading volume of our common stock may be highly volatile and subject to wide fluctuations. If the market price of our common stock declines significantly, stockholders may be unable to resell shares at a gain. Furthermore, fluctuations in the trading price of our common stock may adversely affect the liquidity of our common stock and our ability to raise additional equity capital. Price fluctuations may result in our stock trading below our reported net tangible book value per share for extended periods of time. Variations in the price of our common stock can be affected by any one of the risk factors described herein. Variations may also occur due to a variety of factors unrelated to our financial performance, such as: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270"/>
        <w:jc w:val="both"/>
        <w:rPr/>
      </w:pPr>
      <w:r>
        <w:rPr>
          <w:color w:val="000000"/>
        </w:rPr>
        <w:t>•</w:t>
      </w:r>
      <w:r>
        <w:rPr>
          <w:rFonts w:ascii="Times New Roman;serif" w:hAnsi="Times New Roman;serif"/>
          <w:b w:val="false"/>
          <w:color w:val="000000"/>
          <w:sz w:val="20"/>
        </w:rPr>
        <w:t>general market and economic conditions, including actual and anticipated changes in interest rates and mortgage spreads;</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changes in government policy, rules and regulations applicable to mortgage REITs, including tax laws, financial accounting and reporting standards, and exemptions from the Investment Company Act of 1940, as amended;</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actual or anticipated variations in our quarterly operating results as well as relative to levels expected by securities analysts;</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issuance of shares of common stock or securities convertible into common stock, which may be issued at a price below tangible net book value per share of common stock;</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changes in market valuations of similar companies;</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adverse market reaction to any increased indebtedness we incur in the future or issuance of preferred stock senior in priority to our common stock;</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actions by stockholders, individually or collectively;</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additions or departures of key management personnel;</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speculation in the press or investment community;</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actual or anticipated changes in our dividend policy; and</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changes to our targeted investments or investment guidelines.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We have not established a minimum dividend payment level and may be unable to pay dividends in the future.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intend to pay monthly dividends to our common stockholders in an amount that all or substantially all our taxable income is distributed within the limits prescribed by the Internal Revenue Code. However, we have not established a minimum dividend payment level and the amount of our dividend may fluctuate. Our ability to pay dividends may be adversely affected by the risk factors described herein. All distributions will be made at the discretion of our Board and will depend on our earnings and financial condition, the requirements for REIT qualification and such other factors as our Board deems relevant from time to time. Additionally, our preferred stock has a preference on dividend payments and liquidating distributions that could limit our ability to pay dividends to the holders of our common stock. Therefore, we may not be able to make distributions in the future or our Board may change our dividend policy.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Our certificate of incorporation generally does not permit ownership of more than 9.8% of our common or capital stock and attempts to acquire amounts above this limit will be ineffective unless an exemption is granted by our Board of Directors.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purpose of complying with REIT ownership limitations under the Internal Revenue Code, our amended and restated certificate of incorporation generally prohibits beneficial or constructive ownership by any person of more than 9.8% of our common or capital stock (by value or by number of shares, whichever is more restrictive), unless such person is exempted by our Board. Such constructive ownership rules are complex and may cause the outstanding stock owned by a group of related individuals or entities to be deemed to be constructively owned by one individual or entity. As a result, the acquisition of 9.8% or less of the outstanding stock by an individual, entity or group could result in constructive ownership greater than 9.8% and thus be subject to our amended and restated certificate of incorporation's ownership limit. Any attempt to own or transfer shares of our common or preferred stock more than the ownership limit without the consent of the Board will result in the shares being automatically transferred to a charitable trust or, if the transfer to a charitable trust would not be effective, the transfer will be treated as invalid from the outset. This ownership limit could also delay or prevent a transaction or a change in our control that might involve a premium price for our common stock or otherwise be in the best interest of our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color w:val="000000"/>
          <w:sz w:val="20"/>
        </w:rPr>
        <w:t xml:space="preserve">Item 1B. </w:t>
      </w:r>
      <w:r>
        <w:rPr>
          <w:rFonts w:ascii="Times New Roman;serif" w:hAnsi="Times New Roman;serif"/>
          <w:b/>
          <w:i/>
          <w:color w:val="000000"/>
          <w:sz w:val="18"/>
        </w:rPr>
        <w:t>Unresolved Staff Comments</w:t>
      </w:r>
      <w:r>
        <w:rPr>
          <w:color w:val="000000"/>
        </w:rPr>
        <w:t xml:space="preserv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color w:val="000000"/>
          <w:sz w:val="20"/>
        </w:rPr>
        <w:t xml:space="preserve">Item 1C. </w:t>
      </w:r>
      <w:r>
        <w:rPr>
          <w:rFonts w:ascii="Times New Roman;serif" w:hAnsi="Times New Roman;serif"/>
          <w:b/>
          <w:i/>
          <w:color w:val="000000"/>
          <w:sz w:val="20"/>
        </w:rPr>
        <w:t>Cybersecurity</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Risk Management and Strategy</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maintain an active cybersecurity risk management and strategy program to address the risks of cybersecurity threats to our business. Our cybersecurity program aligns with the NIST Cybersecurity Framework, and we conduct reviews of its effectiveness on a regular basis through annual testing, periodic third-party evaluations of our processes and controls, and ongoing surveillance. This program involves the use of cybersecurity tools to identify, protect, detect, respond, and recover from cybersecurity threats. Additionally, we engage with third-party cybersecurity consultants and other professional advisors to gain insight and knowledge into emerging threats, industry trends and emerging practices. Annually, we review cybersecurity risk in the context of our overall enterprise risk management assessment. As a component of these processes, our management team, including our Senior Vice President and Chief Technology Officer, identifies and assesses the likelihood and magnitude of risks, on both inherent and residual basis. These evaluations inform our overall cybersecurity strategy.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business operations depend significantly on third party service providers. We have processes in place to evaluate the operational and cybersecurity risks posed to us by third parties on whom we are reliant for these services at the inception of our engagement, and we continuously monitor third-party firms that pose the greatest risks to our business and operations from cybersecurity threats. Nonetheless, we rely on the third parties we use to implement security programs commensurate with their own risk, and we cannot ensure that their efforts will be successful.</w:t>
      </w:r>
    </w:p>
    <w:p>
      <w:pPr>
        <w:pStyle w:val="TextBody"/>
        <w:bidi w:val="0"/>
        <w:spacing w:lineRule="auto" w:line="268" w:before="0" w:after="0"/>
        <w:ind w:left="0" w:right="0" w:firstLine="450"/>
        <w:jc w:val="both"/>
        <w:rPr/>
      </w:pPr>
      <w:r>
        <w:rPr>
          <w:rFonts w:ascii="Times New Roman;serif" w:hAnsi="Times New Roman;serif"/>
          <w:b w:val="false"/>
          <w:color w:val="000000"/>
          <w:sz w:val="20"/>
        </w:rPr>
        <w:t xml:space="preserve">Our primary business involves investments in mortgages and mortgage instruments, but we do not perform mortgage servicing, maintain customer accounts, or provide any direct mortgage lending. Nor do we receive personal information on individual mortgage borrowers as part of our regular operations. However, our business is highly dependent on the availability of information systems, and a cybersecurity incident, if one were to occur, could have the potential to disrupt our operations. To date, the Company has not identified any cybersecurity incidents which have materially affected, or are reasonably likely to materially affect, our operations, business strategy, or financial condition. As discussed more fully under </w:t>
      </w:r>
      <w:r>
        <w:rPr>
          <w:rFonts w:ascii="Times New Roman;serif" w:hAnsi="Times New Roman;serif"/>
          <w:b w:val="false"/>
          <w:i/>
          <w:color w:val="000000"/>
          <w:sz w:val="20"/>
        </w:rPr>
        <w:t>Risks Related to Our Business Operations</w:t>
      </w:r>
      <w:r>
        <w:rPr>
          <w:color w:val="000000"/>
        </w:rPr>
        <w:t xml:space="preserve"> </w:t>
      </w:r>
      <w:r>
        <w:rPr>
          <w:rFonts w:ascii="Times New Roman;serif" w:hAnsi="Times New Roman;serif"/>
          <w:b w:val="false"/>
          <w:color w:val="000000"/>
          <w:sz w:val="20"/>
        </w:rPr>
        <w:t xml:space="preserve">in Item 1A.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of this Form 10-K, given the evolving nature and increasing sophistication of cyber threats, there is no guarantee that future incidents will not have a material impact. While we continuously assess, identify, and mitigate cybersecurity risks through policies, procedures, and industry-standard security measures, cyber threats remain dynamic and could potentially disrupt our operations, expose us to legal or regulatory liabilities, or cause reputational harm.</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Governance and Oversight</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Audit Committee of the Board has responsibility to oversee management's strategy to address risks from cybersecurity threats. The Audit Committee periodically reviews with management the Company's policies, controls, and procedures used to identify, mitigate, and manage cybersecurity risks. To accomplish this objective, we have established processes for reporting cybersecurity risks to the Audit Committee of the Board on a quarterly basis. This report, which is prepared by our Senior Vice President and Chief Technology Officer, includes performance as against key performance indicators (KPIs) and service level objectives specifically defined to measure the effectiveness of our cybersecurity controls and risk management efforts, current threat landscape, and strategy. In addition, on at least a bi-annual basis the Company's Senior Vice President and Chief Technology Officer presents to the Audit Committee on cybersecurity matters, including material changes to the Company's information systems, policies and controls, the results of penetration and other testing and findings from any third-party reviews. Our Audit Committee is committed to maintaining a well-informed and cybersecurity-aware posture, regularly engaging by receiving scheduled and requested updates on our strategy to address risks from cybersecurity threats and the evolving threat landscape. The Board also is apprised of cybersecurity risks as part of its review of management's annual enterprise risk management assessment. </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plays a pivotal role in identifying, assessing, and managing material risks from cybersecurity threats. This involves continuous monitoring, analyzing emerging threats, and developing and implementing risk mitigation strategies. The Company, led by our Senior Vice President and Chief Technology Officer—who holds the Certified Information Systems Security Professional (CISSP) designation and has over 20 years of cyber and risk management experience—actively implements and enforces cybersecurity policies, procedures, and strategies, including employee training programs, security assessments, and updates to ensure alignment with our evolving threat landscape.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erif" w:hAnsi="Times New Roman;serif"/>
          <w:b/>
          <w:color w:val="000000"/>
          <w:sz w:val="20"/>
        </w:rPr>
        <w:t xml:space="preserve">Item 2. </w:t>
      </w:r>
      <w:r>
        <w:rPr>
          <w:rFonts w:ascii="Times New Roman;serif" w:hAnsi="Times New Roman;serif"/>
          <w:b/>
          <w:i/>
          <w:color w:val="000000"/>
          <w:sz w:val="18"/>
        </w:rPr>
        <w:t>Properties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erif" w:hAnsi="Times New Roman;serif"/>
          <w:b/>
          <w:color w:val="000000"/>
          <w:sz w:val="20"/>
        </w:rPr>
        <w:t xml:space="preserve">Item 3. </w:t>
      </w:r>
      <w:r>
        <w:rPr>
          <w:rFonts w:ascii="Times New Roman;serif" w:hAnsi="Times New Roman;serif"/>
          <w:b/>
          <w:i/>
          <w:color w:val="000000"/>
          <w:sz w:val="20"/>
        </w:rPr>
        <w:t>Legal Proceedings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Neither we, nor any of our consolidated subsidiaries, are currently subject to any material litigation nor, to our knowledge, is any material litigation threatened against us or any consolidated subsidiary, other than routine litigation and administrative proceedings arising in the ordinary course of business. Such proceedings are not expected to have a material adverse effect on the business, financial conditions, or results of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erif" w:hAnsi="Times New Roman;serif"/>
          <w:b/>
          <w:color w:val="000000"/>
          <w:sz w:val="20"/>
        </w:rPr>
        <w:t xml:space="preserve">Item 4. </w:t>
      </w:r>
      <w:r>
        <w:rPr>
          <w:rFonts w:ascii="Times New Roman;serif" w:hAnsi="Times New Roman;serif"/>
          <w:b/>
          <w:i/>
          <w:color w:val="000000"/>
          <w:sz w:val="20"/>
        </w:rPr>
        <w:t>Mine Safety Disclosures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PART II.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 xml:space="preserve">Item 5. </w:t>
      </w:r>
      <w:r>
        <w:rPr>
          <w:rFonts w:ascii="Times New Roman;serif" w:hAnsi="Times New Roman;serif"/>
          <w:b/>
          <w:i/>
          <w:color w:val="000000"/>
          <w:sz w:val="20"/>
        </w:rPr>
        <w:t xml:space="preserve">Market for Registrant's Common Equity, Related Stockholder Matters and Issuer Purchases of Equity Securities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common stock is listed on the Nasdaq Global Select Market under the symbol "AGNC." As of January 31, 2026, 1,108,770,670 shares of common stock were issued and outstanding, which were held by 1,523 stockholders of record. Most of the shares of our common stock are held by brokers and other institutions on behalf of stockholders.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intend to pay dividends monthly to our common stockholders and to continue to qualify for the tax benefits accorded to a REIT under the Internal Revenue Code. We have not established a minimum dividend payment level and our ability to pay dividends may be adversely affected for the reasons described under the caption "Risk Factors." Additionally, holders of depositary shares underlying our preferred stock are entitled to receive cumulative cash dividends before holders of our common stock are entitled to receive any dividends. See Note 9 to our Consolidated Financial Statements in this Form 10-K for a description of our preferred stock and for common and preferred stock dividends paid for the three years ended December 31, 2025. All distributions to stockholders will be made at the discretion of our Board and will depend on our earnings, financial condition, maintenance of our REIT status and other factors as our Board may deem relevant from time to time. </w:t>
      </w:r>
    </w:p>
    <w:p>
      <w:pPr>
        <w:pStyle w:val="TextBody"/>
        <w:bidi w:val="0"/>
        <w:spacing w:lineRule="auto" w:line="288" w:before="270" w:after="283"/>
        <w:jc w:val="both"/>
        <w:rPr/>
      </w:pPr>
      <w:r>
        <w:rPr>
          <w:color w:val="000000"/>
        </w:rPr>
        <w:t> </w:t>
      </w:r>
      <w:r>
        <w:rPr>
          <w:rFonts w:ascii="Times New Roman;serif" w:hAnsi="Times New Roman;serif"/>
          <w:b/>
          <w:color w:val="000000"/>
          <w:sz w:val="20"/>
        </w:rPr>
        <w:t xml:space="preserve">Equity Compensation Plan Information </w:t>
      </w:r>
    </w:p>
    <w:p>
      <w:pPr>
        <w:pStyle w:val="TextBody"/>
        <w:bidi w:val="0"/>
        <w:spacing w:lineRule="auto" w:line="288" w:before="180" w:after="283"/>
        <w:ind w:left="0" w:right="0" w:firstLine="450"/>
        <w:jc w:val="both"/>
        <w:rPr>
          <w:color w:val="000000"/>
        </w:rPr>
      </w:pPr>
      <w:r>
        <w:rPr>
          <w:color w:val="000000"/>
        </w:rPr>
        <w:t> </w:t>
      </w:r>
      <w:r>
        <w:rPr>
          <w:rFonts w:ascii="Times New Roman;serif" w:hAnsi="Times New Roman;serif"/>
          <w:b w:val="false"/>
          <w:color w:val="000000"/>
          <w:sz w:val="20"/>
        </w:rPr>
        <w:t>The following table summarizes information, as of December 31, 2025, concerning shares of our common stock authorized for issuance under our equity compensation plans, pursuant to which grants of equity-based awards, namely restricted stock units ("RSUs"), may be granted from time to time. See Notes 2 and 11 to our Consolidated Financial Statements in this Form 10-K for a description of our equity compensation plans.</w:t>
      </w:r>
    </w:p>
    <w:tbl>
      <w:tblPr>
        <w:tblW w:w="10205" w:type="dxa"/>
        <w:jc w:val="left"/>
        <w:tblInd w:w="0" w:type="dxa"/>
        <w:tblLayout w:type="fixed"/>
        <w:tblCellMar>
          <w:top w:w="28" w:type="dxa"/>
          <w:left w:w="28" w:type="dxa"/>
          <w:bottom w:w="28" w:type="dxa"/>
          <w:right w:w="28" w:type="dxa"/>
        </w:tblCellMar>
      </w:tblPr>
      <w:tblGrid>
        <w:gridCol w:w="670"/>
        <w:gridCol w:w="589"/>
        <w:gridCol w:w="521"/>
        <w:gridCol w:w="109"/>
        <w:gridCol w:w="109"/>
        <w:gridCol w:w="109"/>
        <w:gridCol w:w="664"/>
        <w:gridCol w:w="664"/>
        <w:gridCol w:w="666"/>
        <w:gridCol w:w="109"/>
        <w:gridCol w:w="109"/>
        <w:gridCol w:w="109"/>
        <w:gridCol w:w="531"/>
        <w:gridCol w:w="1102"/>
        <w:gridCol w:w="299"/>
        <w:gridCol w:w="178"/>
        <w:gridCol w:w="178"/>
        <w:gridCol w:w="180"/>
        <w:gridCol w:w="966"/>
        <w:gridCol w:w="966"/>
        <w:gridCol w:w="1377"/>
      </w:tblGrid>
      <w:tr>
        <w:trPr/>
        <w:tc>
          <w:tcPr>
            <w:tcW w:w="670"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r>
      <w:tr>
        <w:trPr/>
        <w:tc>
          <w:tcPr>
            <w:tcW w:w="1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Number of securities to be issued upon exercise of outstanding options, warrants </w:t>
            </w:r>
          </w:p>
          <w:p>
            <w:pPr>
              <w:pStyle w:val="TableContents"/>
              <w:bidi w:val="0"/>
              <w:spacing w:lineRule="auto" w:line="240" w:before="0" w:after="0"/>
              <w:jc w:val="center"/>
              <w:rPr/>
            </w:pPr>
            <w:r>
              <w:rPr>
                <w:rFonts w:ascii="Times New Roman;serif" w:hAnsi="Times New Roman;serif"/>
                <w:b/>
                <w:color w:val="000000"/>
                <w:sz w:val="16"/>
              </w:rPr>
              <w:t xml:space="preserve">and rights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exercise price of outstanding options, warrants and rights</w:t>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Number of securities remaining available for future issuance under equity compensation plans (excluding securities reflected in the first column of this table) </w:t>
            </w:r>
            <w:r>
              <w:rPr>
                <w:rFonts w:ascii="Times New Roman;serif" w:hAnsi="Times New Roman;serif"/>
                <w:b/>
                <w:color w:val="000000"/>
                <w:sz w:val="10"/>
              </w:rPr>
              <w:t>2</w:t>
            </w:r>
          </w:p>
        </w:tc>
      </w:tr>
      <w:tr>
        <w:trPr/>
        <w:tc>
          <w:tcPr>
            <w:tcW w:w="1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compensation plans approved by security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11,283,273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33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23,057,448</w:t>
            </w:r>
          </w:p>
        </w:tc>
      </w:tr>
      <w:tr>
        <w:trPr/>
        <w:tc>
          <w:tcPr>
            <w:tcW w:w="1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compensation plans not approved by security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11,283,273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23,057,448</w:t>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1.Includes (i) unvested time and performance-based RSU awards (unvested performance-based awards assume the maximum payout under the terms of the award); (ii) outstanding previously vested awards, if distribution of such awards has been deferred beyond the vesting date; and (iii) accrued dividend equivalent units on items (i) and (ii) through December 31, 2025.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2.Available shares are reduced by items (i), (ii) and (iii) noted above and by shares issued for vested awards, net of units withheld to cover minimum statutory tax withholding requirements paid by us in cash on behalf of the employee.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Performance Graph </w:t>
      </w:r>
    </w:p>
    <w:p>
      <w:pPr>
        <w:pStyle w:val="TextBody"/>
        <w:bidi w:val="0"/>
        <w:spacing w:before="0" w:after="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graph and table compare a stockholder's cumulative total return, assuming $100 invested at December 31, 2020, with the reinvestment of all dividends, as if such amounts had been invested in: (i) our common stock; (ii) the stocks included in the Standard &amp; Poor's 500 Stock Index ("S&amp;P 500"); and (iii) the stocks included in the FTSE NAREIT Mortgage REIT Index.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before="180" w:after="283"/>
        <w:ind w:left="0" w:right="0" w:firstLine="450"/>
        <w:jc w:val="both"/>
        <w:rPr/>
      </w:pPr>
      <w:r>
        <w:rPr/>
        <w:drawing>
          <wp:inline distT="0" distB="0" distL="0" distR="0">
            <wp:extent cx="5715000" cy="4476750"/>
            <wp:effectExtent l="0" t="0" r="0" b="0"/>
            <wp:docPr id="2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 descr=""/>
                    <pic:cNvPicPr>
                      <a:picLocks noChangeAspect="1" noChangeArrowheads="1"/>
                    </pic:cNvPicPr>
                  </pic:nvPicPr>
                  <pic:blipFill>
                    <a:blip r:embed="rId3"/>
                    <a:stretch>
                      <a:fillRect/>
                    </a:stretch>
                  </pic:blipFill>
                  <pic:spPr bwMode="auto">
                    <a:xfrm>
                      <a:off x="0" y="0"/>
                      <a:ext cx="5715000" cy="4476750"/>
                    </a:xfrm>
                    <a:prstGeom prst="rect">
                      <a:avLst/>
                    </a:prstGeom>
                  </pic:spPr>
                </pic:pic>
              </a:graphicData>
            </a:graphic>
          </wp:inline>
        </w:drawing>
      </w:r>
      <w:bookmarkStart w:id="1" w:name="i-2"/>
      <w:bookmarkEnd w:id="1"/>
    </w:p>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firstLine="450"/>
        <w:jc w:val="both"/>
        <w:rPr/>
      </w:pPr>
      <w:r>
        <w:rPr>
          <w:rFonts w:ascii="Times New Roman;serif" w:hAnsi="Times New Roman;serif"/>
          <w:b w:val="false"/>
          <w:color w:val="000000"/>
          <w:sz w:val="16"/>
        </w:rPr>
        <w:t>*</w:t>
      </w:r>
      <w:r>
        <w:rPr>
          <w:rFonts w:ascii="Times New Roman;serif" w:hAnsi="Times New Roman;serif"/>
          <w:b w:val="false"/>
          <w:color w:val="000000"/>
          <w:sz w:val="16"/>
        </w:rPr>
        <w:t xml:space="preserve">$100 invested on 12/31/20 in stock or index, including reinvestment of dividends. </w:t>
      </w:r>
    </w:p>
    <w:p>
      <w:pPr>
        <w:pStyle w:val="TextBody"/>
        <w:bidi w:val="0"/>
        <w:spacing w:lineRule="auto" w:line="288" w:before="0" w:after="0"/>
        <w:jc w:val="both"/>
        <w:rPr/>
      </w:pPr>
      <w:r>
        <w:rPr>
          <w:rFonts w:ascii="Times New Roman;serif" w:hAnsi="Times New Roman;serif"/>
          <w:b w:val="false"/>
          <w:color w:val="000000"/>
          <w:sz w:val="16"/>
        </w:rPr>
        <w:t>Fiscal year ending December 31.</w:t>
      </w:r>
      <w:r>
        <w:rPr>
          <w:color w:val="000000"/>
        </w:rPr>
        <w:t> </w:t>
      </w:r>
    </w:p>
    <w:p>
      <w:pPr>
        <w:pStyle w:val="TextBody"/>
        <w:bidi w:val="0"/>
        <w:spacing w:before="0" w:after="0"/>
        <w:jc w:val="both"/>
        <w:rPr/>
      </w:pPr>
      <w:r>
        <w:rPr/>
      </w:r>
    </w:p>
    <w:tbl>
      <w:tblPr>
        <w:tblW w:w="8805" w:type="dxa"/>
        <w:jc w:val="left"/>
        <w:tblInd w:w="0" w:type="dxa"/>
        <w:tblLayout w:type="fixed"/>
        <w:tblCellMar>
          <w:top w:w="28" w:type="dxa"/>
          <w:left w:w="28" w:type="dxa"/>
          <w:bottom w:w="28" w:type="dxa"/>
          <w:right w:w="28" w:type="dxa"/>
        </w:tblCellMar>
      </w:tblPr>
      <w:tblGrid>
        <w:gridCol w:w="859"/>
        <w:gridCol w:w="754"/>
        <w:gridCol w:w="757"/>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8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2021</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AGNC Investment 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S&amp;P 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FTSE NAREIT Mortgage REITs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495"/>
        <w:jc w:val="both"/>
        <w:rPr>
          <w:color w:val="000000"/>
        </w:rPr>
      </w:pPr>
      <w:r>
        <w:rPr>
          <w:color w:val="000000"/>
        </w:rPr>
        <w:t> </w:t>
      </w:r>
      <w:r>
        <w:rPr>
          <w:rFonts w:ascii="Times New Roman;serif" w:hAnsi="Times New Roman;serif"/>
          <w:b w:val="false"/>
          <w:color w:val="000000"/>
          <w:sz w:val="20"/>
        </w:rPr>
        <w:t xml:space="preserve">The information in the share performance graph and table has been obtained from sources believed to be reliable, but neither its accuracy nor its completeness can be guaranteed. The historical information set forth above is not necessarily indicative of future performance. Accordingly, we do not make or endorse any predictions as to future share performance.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pPr>
      <w:r>
        <w:rPr>
          <w:rFonts w:ascii="Times New Roman;serif" w:hAnsi="Times New Roman;serif"/>
          <w:b/>
          <w:color w:val="000000"/>
          <w:sz w:val="20"/>
        </w:rPr>
        <w:t>Item 7.</w:t>
      </w:r>
      <w:r>
        <w:rPr>
          <w:color w:val="000000"/>
        </w:rPr>
        <w:t xml:space="preserve"> </w:t>
      </w:r>
      <w:r>
        <w:rPr>
          <w:rFonts w:ascii="Times New Roman;serif" w:hAnsi="Times New Roman;serif"/>
          <w:b/>
          <w:i/>
          <w:color w:val="000000"/>
          <w:sz w:val="20"/>
        </w:rPr>
        <w:t>Management's Discussion and Analysis of Financial Condition and Results of Operations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 ("MD&amp;A") is designed to provide a reader of AGNC Investment Corp.'s consolidated financial statements with a narrative from the perspective of management and should be read in conjunction with the consolidated financial statements and accompanying notes included in this Annual Report on Form 10-K. Our MD&amp;A is presented in the following sections: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Executive Overview</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Financial Condition</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Summary of Critical Accounting Estimates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Results of Operations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Liquidity and Capital Resources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Off-Balance Sheet Arrangements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Forward-Looking Statements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Website and Social Media Disclosure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EXECUTIVE OVERVIEW</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a leading provider of private capital to the U.S. housing market, enhancing liquidity in the residential real estate mortgage markets and, in turn, facilitating home ownership in the U.S. We invest primarily in Agency RMBS on a leveraged basis. These investments consist of residential mortgage pass-through securities and collateralized mortgage obligations for which the principal and interest payments are guaranteed by a U.S. Government-sponsored enterprise, such as Fannie Mae and Freddie Mac, or by a U.S. Government agency, such as Ginnie Mae. We may also invest in Agency multifamily MBS that are similarly guaranteed by a GSE and in other assets related to the housing, mortgage or real estate markets that are not guaranteed by a GSE or U.S. Government agency.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are internally managed with the principal objective of generating favorable long-term stockholder returns with a substantial yield component. We generate income from the interest earned on our investments, net of associated borrowing and hedging costs, and net realized gains and losses on our investment and hedging activities. We fund our investments primarily through collateralized borrowings structured as repurchase agreements. We operate in a manner to qualify to be taxed as a REIT under the Internal Revenue Code.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employ an active management strategy that is dynamic and responsive to evolving market conditions. The composition of our portfolio and our investment, funding, and hedging strategies are tailored to reflect our analysis of market conditions and the relative values of available options. Market conditions are influenced by a variety of factors, including interest rates, prepayment expectations, liquidity, housing prices, unemployment rates, general economic conditions, government participation in the mortgage market, regulations and relative returns on other assets. </w:t>
      </w:r>
    </w:p>
    <w:p>
      <w:pPr>
        <w:pStyle w:val="TextBody"/>
        <w:bidi w:val="0"/>
        <w:spacing w:before="0" w:after="0"/>
        <w:ind w:left="0" w:right="0" w:firstLine="495"/>
        <w:jc w:val="both"/>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Trends and Recent Market Impacts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Market Trends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Agency RMBS outperformed domestic fixed income alternatives in 2025, and this favorable asset class performance, coupled with AGNC's active portfolio management strategies, drove AGNC's best-in-class economic return for the year.</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In 2025, the Bloomberg US Mortgage Backed Securities Index (the "Agency MBS Index"), which represents the entire Agency RMBS market, generated a total return of 8.6% for the year, its best annual performance since 2002. Also notable, given the similar credit profile, the Agency MBS Index outperformed the Bloomberg US Treasury Index by 2.3 percentage points, or 36%.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number of factors that materialized over the course of the year catalyzed the strong performance of Agency RMBS, including:</w:t>
      </w:r>
    </w:p>
    <w:p>
      <w:pPr>
        <w:pStyle w:val="TextBody"/>
        <w:bidi w:val="0"/>
        <w:spacing w:lineRule="auto" w:line="288" w:before="180" w:after="283"/>
        <w:ind w:left="0" w:right="0" w:hanging="270"/>
        <w:jc w:val="both"/>
        <w:rPr/>
      </w:pPr>
      <w:r>
        <w:rPr>
          <w:color w:val="000000"/>
        </w:rPr>
        <w:t>•</w:t>
      </w:r>
      <w:r>
        <w:rPr>
          <w:rFonts w:ascii="Times New Roman;serif" w:hAnsi="Times New Roman;serif"/>
          <w:b w:val="false"/>
          <w:color w:val="000000"/>
          <w:sz w:val="20"/>
        </w:rPr>
        <w:t xml:space="preserve">The Federal Reserve (the "Fed") shifted monetary policy toward lower short-term interest rates and greater accommodation, which contributed to the positive performance of all domestic fixed income asset classes. </w:t>
      </w:r>
    </w:p>
    <w:p>
      <w:pPr>
        <w:pStyle w:val="TextBody"/>
        <w:bidi w:val="0"/>
        <w:spacing w:lineRule="auto" w:line="288" w:before="180" w:after="283"/>
        <w:ind w:left="0" w:right="0" w:hanging="270"/>
        <w:jc w:val="both"/>
        <w:rPr/>
      </w:pPr>
      <w:r>
        <w:rPr>
          <w:color w:val="000000"/>
        </w:rPr>
        <w:t>•</w:t>
      </w:r>
      <w:r>
        <w:rPr>
          <w:rFonts w:ascii="Times New Roman;serif" w:hAnsi="Times New Roman;serif"/>
          <w:b w:val="false"/>
          <w:color w:val="000000"/>
          <w:sz w:val="20"/>
        </w:rPr>
        <w:t>Greater fiscal policy clarity and the stable supply outlook for U.S. Treasury securities contributed to reduced interest rate volatility.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270"/>
        <w:jc w:val="both"/>
        <w:rPr/>
      </w:pPr>
      <w:r>
        <w:rPr>
          <w:color w:val="000000"/>
        </w:rPr>
        <w:t>•</w:t>
      </w:r>
      <w:r>
        <w:rPr>
          <w:rFonts w:ascii="Times New Roman;serif" w:hAnsi="Times New Roman;serif"/>
          <w:b w:val="false"/>
          <w:color w:val="000000"/>
          <w:sz w:val="20"/>
        </w:rPr>
        <w:t xml:space="preserve">Improved conditions in short-term funding markets, particularly late in the year, benefited Agency RMBS, as the Fed announced an expansion of its balance sheet through reserve management purchases of short-term Treasury bills, as well as other actions that improved the functionality and accessibility of its Standing Repo Program. </w:t>
      </w:r>
    </w:p>
    <w:p>
      <w:pPr>
        <w:pStyle w:val="TextBody"/>
        <w:bidi w:val="0"/>
        <w:spacing w:lineRule="auto" w:line="288" w:before="180" w:after="283"/>
        <w:ind w:left="0" w:right="0" w:hanging="270"/>
        <w:jc w:val="both"/>
        <w:rPr/>
      </w:pPr>
      <w:r>
        <w:rPr>
          <w:color w:val="000000"/>
        </w:rPr>
        <w:t>•</w:t>
      </w:r>
      <w:r>
        <w:rPr>
          <w:rFonts w:ascii="Times New Roman;serif" w:hAnsi="Times New Roman;serif"/>
          <w:b w:val="false"/>
          <w:color w:val="000000"/>
          <w:sz w:val="20"/>
        </w:rPr>
        <w:t xml:space="preserve">The Administration articulated a framework for GSE reform that focused on reducing Agency mortgage spreads, maintaining mortgage market stability, and improving housing affordability.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Collectively, these factors—along with sizable Agency MBS purchases by the GSEs later in the year—led to lower Agency RMBS spread volatility, tighter mortgage spreads to benchmark rates, and the outperformance of Agency RMBS relative to other fixed income asset classes.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we enter 2026, many of these favorable dynamics remain in place, and the Administration's focus on housing affordability and maintaining mortgage market stability provide a favorable backdrop for mortgage spreads. Looking ahead, the supply and demand outlook for Agency RMBS appears well balanced. At current interest rate levels, the net supply of new Agency RMBS in 2026 is expected to be approximately $200 billion, which, when coupled with $200 billion of anticipated runoff of the Fed's Agency RMBS holdings, yields approximately $400 billion of total net supply to be absorbed by the market in 2026, an amount comparable to the prior two years. Offsetting this supply, demand for Agency RMBS should remain robust, assuming conditions remain generally consistent with current expectations. GSE purchases have the potential to account for approximately half of the projected 2026 supply, and banks, money managers, foreign investors, and REITs are expected to continue to be active purchasers of Agency RMBS.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Taken together, this favorable fundamental and technical backdrop for Agency RMBS is supportive of our positive outlook. </w:t>
      </w:r>
    </w:p>
    <w:p>
      <w:pPr>
        <w:pStyle w:val="TextBody"/>
        <w:bidi w:val="0"/>
        <w:spacing w:lineRule="auto" w:line="276" w:before="180" w:after="283"/>
        <w:jc w:val="both"/>
        <w:rPr>
          <w:rFonts w:ascii="Times New Roman;serif" w:hAnsi="Times New Roman;serif"/>
          <w:b/>
          <w:i/>
          <w:color w:val="000000"/>
          <w:sz w:val="20"/>
        </w:rPr>
      </w:pPr>
      <w:r>
        <w:rPr>
          <w:rFonts w:ascii="Times New Roman;serif" w:hAnsi="Times New Roman;serif"/>
          <w:b/>
          <w:i/>
          <w:color w:val="000000"/>
          <w:sz w:val="20"/>
        </w:rPr>
        <w:t>Portfolio and Summary Financial Highlights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2025, AGNC generated total comprehensive income of $1.74 per diluted common share and an economic return of 22.7% on tangible common equity, comprised of $1.44 in dividends declared and a $0.47 increase in tangible net book value per common share. This compares to total comprehensive income of $0.84 per diluted common share and an economic return of 13.2% for 2024, comprised of $1.44 in dividends and a $0.29 decline in tangible net book value per common share.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spread and dollar roll income (a non-GAAP measure) per diluted common share decreased to $1.50 in 2025 from $1.88 in 2024. The decline was primarily driven by lower swap income resulting from the maturity of legacy interest rate swaps with low fixed pay rates, as well as a timing mismatch between the issuance and deployment of $345 million and $2.0 billion of new preferred and common equity capital, respectively, during the year.</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Another driver of net spread and dollar roll income in 2025 was the level of unhedged short-term debt in our funding mix. As of December 31, 2025, our hedge ratio was 77%, reflecting the level of interest rate swap and U.S. Treasury hedges (excluding option based-hedges) relative to total funding liabilities, compared to 88% as of December 31, 2024. Our average hedge ratio for 2025 (excluding option based-hedges) was approximately 82%, compared to 93% for 2024. This decline reflects the shift toward a more accommodative monetary policy environment and moderately reduced our net spread and dollar roll income in the near term, while positioning AGNC's earnings profile to benefit from rate cuts as they occur.</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investment portfolio totaled $94.8 billion as of December 31, 2025, an increase of $21.5 billion for the year, including a $6.1 billion increase in our TBA position to $13.0 billion. As of December 31, 2025, 30-year fixed-rate Agency RMBS and TBAs represented 95% of our investment portfolio, largely unchanged from December 31, 2024.</w:t>
      </w:r>
    </w:p>
    <w:p>
      <w:pPr>
        <w:pStyle w:val="TextBody"/>
        <w:bidi w:val="0"/>
        <w:spacing w:lineRule="auto" w:line="288" w:before="180" w:after="283"/>
        <w:ind w:left="0" w:right="0" w:firstLine="450"/>
        <w:jc w:val="both"/>
        <w:rPr/>
      </w:pPr>
      <w:r>
        <w:rPr>
          <w:rFonts w:ascii="Times New Roman;serif" w:hAnsi="Times New Roman;serif"/>
          <w:b w:val="false"/>
          <w:color w:val="000000"/>
          <w:sz w:val="20"/>
        </w:rPr>
        <w:t>The weighted average coupon of our portfolio, excluding TBAs, increased to 5.19% as of December 31, 2025, compared to 5.03% as of December 31, 2024. Including TBAs, the weighted average coupon of our fixed-rate portfolio increased to 5.12%, compared to 5.02% as of December 31, 2024. At the same time, the portion of our fixed-rate investment portfolio, including TBAs, with favorable prepayment attributes</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increased to 76% as of December 31, 2025, compared to 74% as of December 31, 2024.</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average projected life Constant Prepayment Rate ("CPR") for our portfolio increased to 9.6% as of December 31, 2025, from 7.7% as of December 31, 2024, largely reflecting a 70 basis point decline in the average 30-year mortgage rate, which was 6.16% at year end. Actual CPRs averaged 8.4% for the year, compared to 7.5% for the prior year.</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December 31, 2025, our "at risk" leverage was 7.2x tangible equity, unchanged from December 31, 2024. Average leverage for the year was 7.4x, compared to 7.2x for the prior year. We ended the year with a large liquidity position of $7.6 billion in unencumbered cash and Agency RMBS, representing 64% of tangible equity, compared to $6.1 billion and 66%, respectively, as of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Lastly, given the convexity profile of our assets and the significant decline in interest rate volatility, we increased our receiver swaption position by $6.9 billion during the year to provide additional protection in a declining rate environment. Our duration gap, which measures the estimated difference between the interest rate sensitivity of our assets and liabilities including hedges, extended slightly to 0.4 years as of year end, compared to 0.3 years as of December 31, 2024.</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Looking ahead, in addition to the favorable fundamental and technical backdrop for Agency RMBS, we expect net spread and dollar roll income to benefit from several factors, including lower funding costs resulting from the September, October and December 2025 rate cuts totaling 75 basis points, potential future rate cuts, greater stability in funding markets, and a shift in our hedge mix toward a greater share of swap-based hedges in the fourth quarter of 2025. Notwithstanding these favorable factors, higher hedging costs due to the maturity of legacy lower pay-rate swaps, as well as reduced mortgage spreads, if they materialize in 2026, could offset some or all of these benefits. </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For information regarding non-GAAP financial measures, including reconciliations to the most comparable GAAP measure, please refer to Results of Operations included in this MD&amp;A below. For information regarding the sensitivity of our tangible net book value per common share to changes in interest rates and mortgage spreads, please refer to Item 7A. </w:t>
      </w:r>
      <w:r>
        <w:rPr>
          <w:rFonts w:ascii="Times New Roman;serif" w:hAnsi="Times New Roman;serif"/>
          <w:b w:val="false"/>
          <w:i/>
          <w:color w:val="000000"/>
          <w:sz w:val="20"/>
        </w:rPr>
        <w:t>Quantitative and Qualitative Disclosures about Market Risk</w:t>
      </w:r>
      <w:r>
        <w:rPr>
          <w:color w:val="000000"/>
        </w:rPr>
        <w:t xml:space="preserve"> </w:t>
      </w:r>
      <w:r>
        <w:rPr>
          <w:rFonts w:ascii="Times New Roman;serif" w:hAnsi="Times New Roman;serif"/>
          <w:b w:val="false"/>
          <w:color w:val="000000"/>
          <w:sz w:val="20"/>
        </w:rPr>
        <w:t>in this form 10-K.</w:t>
      </w:r>
    </w:p>
    <w:p>
      <w:pPr>
        <w:pStyle w:val="TextBody"/>
        <w:bidi w:val="0"/>
        <w:spacing w:lineRule="auto" w:line="288" w:before="180" w:after="2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1.Economic return represents the sum of the change in tangible net book value per common share and dividends declared per share of common stock during the period over beginning tangible net book value per common share. Peer group includes Annaly Capital Management, Inc. ("NLY"), ARMOUR Residential REIT, Inc. ("ARR"), Dynex Capital, Inc. ("DX"), Invesco Mortgage Capital Inc. ("IVR"), Orchid Island Capital, Inc. ("ORC"), and Two Harbors Investment Corp. ("TWO")</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2.Agency RMBS with favorable prepayment attributes include: (i) specified pools backed by lower balance loans with original loan balances of up to $200K, HARP pools (defined as pools that were issued between May 2009 and December 2018 and backed by 100% refinance loans with original LTVs ≥ 80%), and pools backed by loans 100% originated in New York and Puerto Rico and (ii) other pools backed by loans with credit, loan balances, geographies, occupancy types, and other characteristics that exhibit favorable prepayment behavior.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60"/>
        <w:jc w:val="both"/>
        <w:rPr>
          <w:rFonts w:ascii="Times New Roman;serif" w:hAnsi="Times New Roman;serif"/>
          <w:b/>
          <w:i/>
          <w:color w:val="000000"/>
          <w:sz w:val="20"/>
        </w:rPr>
      </w:pPr>
      <w:r>
        <w:rPr>
          <w:rFonts w:ascii="Times New Roman;serif" w:hAnsi="Times New Roman;serif"/>
          <w:b/>
          <w:i/>
          <w:color w:val="000000"/>
          <w:sz w:val="20"/>
        </w:rPr>
        <w:t>Market Information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benchmark interest rates and prices of generic fixed rate Agency RMBS as of each date presented below: </w:t>
      </w:r>
    </w:p>
    <w:tbl>
      <w:tblPr>
        <w:tblW w:w="10205" w:type="dxa"/>
        <w:jc w:val="left"/>
        <w:tblInd w:w="0" w:type="dxa"/>
        <w:tblLayout w:type="fixed"/>
        <w:tblCellMar>
          <w:top w:w="28" w:type="dxa"/>
          <w:left w:w="28" w:type="dxa"/>
          <w:bottom w:w="28" w:type="dxa"/>
          <w:right w:w="28" w:type="dxa"/>
        </w:tblCellMar>
      </w:tblPr>
      <w:tblGrid>
        <w:gridCol w:w="835"/>
        <w:gridCol w:w="659"/>
        <w:gridCol w:w="665"/>
        <w:gridCol w:w="109"/>
        <w:gridCol w:w="109"/>
        <w:gridCol w:w="109"/>
        <w:gridCol w:w="364"/>
        <w:gridCol w:w="287"/>
        <w:gridCol w:w="269"/>
        <w:gridCol w:w="109"/>
        <w:gridCol w:w="109"/>
        <w:gridCol w:w="109"/>
        <w:gridCol w:w="379"/>
        <w:gridCol w:w="282"/>
        <w:gridCol w:w="283"/>
        <w:gridCol w:w="109"/>
        <w:gridCol w:w="109"/>
        <w:gridCol w:w="109"/>
        <w:gridCol w:w="374"/>
        <w:gridCol w:w="284"/>
        <w:gridCol w:w="278"/>
        <w:gridCol w:w="109"/>
        <w:gridCol w:w="109"/>
        <w:gridCol w:w="109"/>
        <w:gridCol w:w="379"/>
        <w:gridCol w:w="282"/>
        <w:gridCol w:w="283"/>
        <w:gridCol w:w="109"/>
        <w:gridCol w:w="109"/>
        <w:gridCol w:w="109"/>
        <w:gridCol w:w="364"/>
        <w:gridCol w:w="287"/>
        <w:gridCol w:w="269"/>
        <w:gridCol w:w="109"/>
        <w:gridCol w:w="109"/>
        <w:gridCol w:w="109"/>
        <w:gridCol w:w="150"/>
        <w:gridCol w:w="150"/>
        <w:gridCol w:w="150"/>
        <w:gridCol w:w="209"/>
        <w:gridCol w:w="212"/>
        <w:gridCol w:w="150"/>
        <w:gridCol w:w="114"/>
        <w:gridCol w:w="114"/>
        <w:gridCol w:w="171"/>
      </w:tblGrid>
      <w:tr>
        <w:trPr/>
        <w:tc>
          <w:tcPr>
            <w:tcW w:w="83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Interest Rate/Security Price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 31, 2025</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vs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 31, 2024</w:t>
            </w:r>
          </w:p>
        </w:tc>
        <w:tc>
          <w:tcPr>
            <w:tcW w:w="399" w:type="dxa"/>
            <w:gridSpan w:val="3"/>
            <w:tcBorders/>
          </w:tcPr>
          <w:p>
            <w:pPr>
              <w:pStyle w:val="TableContents"/>
              <w:bidi w:val="0"/>
              <w:spacing w:before="0" w:after="283"/>
              <w:jc w:val="left"/>
              <w:rPr>
                <w:sz w:val="4"/>
                <w:szCs w:val="4"/>
              </w:rPr>
            </w:pPr>
            <w:r>
              <w:rPr>
                <w:sz w:val="4"/>
                <w:szCs w:val="4"/>
              </w:rPr>
            </w:r>
          </w:p>
        </w:tc>
      </w:tr>
      <w:tr>
        <w:trPr/>
        <w:tc>
          <w:tcPr>
            <w:tcW w:w="21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Target Federal Funds Rate: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Target Federal Funds Rate - Upper Band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SOFR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3.87%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SOFR Interest Rate Swap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2-Year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5-Year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10-Year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3.80%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30-Year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U.S. Treasury Security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2-Year U.S.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5-Year U.S.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10-Year U.S.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30-Year U.S.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30-Year Fixed Rate Agency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$83.05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$82.98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$84.25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$84.63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+$3.25</w:t>
            </w:r>
          </w:p>
        </w:tc>
        <w:tc>
          <w:tcPr>
            <w:tcW w:w="399" w:type="dxa"/>
            <w:gridSpan w:val="3"/>
            <w:tcBorders/>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$84.88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$86.58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$86.55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$87.85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$88.50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+$3.62</w:t>
            </w:r>
          </w:p>
        </w:tc>
        <w:tc>
          <w:tcPr>
            <w:tcW w:w="399" w:type="dxa"/>
            <w:gridSpan w:val="3"/>
            <w:tcBorders/>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$88.38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$92.53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+$4.15</w:t>
            </w:r>
          </w:p>
        </w:tc>
        <w:tc>
          <w:tcPr>
            <w:tcW w:w="399" w:type="dxa"/>
            <w:gridSpan w:val="3"/>
            <w:tcBorders/>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$94.27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$94.95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erif" w:hAnsi="Times New Roman;serif"/>
                <w:b w:val="false"/>
                <w:color w:val="000000"/>
                <w:sz w:val="16"/>
              </w:rPr>
            </w:pPr>
            <w:r>
              <w:rPr>
                <w:rFonts w:ascii="Times New Roman;serif" w:hAnsi="Times New Roman;serif"/>
                <w:b w:val="false"/>
                <w:color w:val="000000"/>
                <w:sz w:val="16"/>
              </w:rPr>
              <w:t>+$3.63</w:t>
            </w:r>
          </w:p>
        </w:tc>
        <w:tc>
          <w:tcPr>
            <w:tcW w:w="399" w:type="dxa"/>
            <w:gridSpan w:val="3"/>
            <w:tcBorders/>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$95.55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$95.67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$97.70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erif" w:hAnsi="Times New Roman;serif"/>
                <w:b w:val="false"/>
                <w:color w:val="000000"/>
                <w:sz w:val="16"/>
              </w:rPr>
            </w:pPr>
            <w:r>
              <w:rPr>
                <w:rFonts w:ascii="Times New Roman;serif" w:hAnsi="Times New Roman;serif"/>
                <w:b w:val="false"/>
                <w:color w:val="000000"/>
                <w:sz w:val="16"/>
              </w:rPr>
              <w:t>+$3.72</w:t>
            </w:r>
          </w:p>
        </w:tc>
        <w:tc>
          <w:tcPr>
            <w:tcW w:w="399" w:type="dxa"/>
            <w:gridSpan w:val="3"/>
            <w:tcBorders/>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$96.44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$99.83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erif" w:hAnsi="Times New Roman;serif"/>
                <w:b w:val="false"/>
                <w:color w:val="000000"/>
                <w:sz w:val="16"/>
              </w:rPr>
            </w:pPr>
            <w:r>
              <w:rPr>
                <w:rFonts w:ascii="Times New Roman;serif" w:hAnsi="Times New Roman;serif"/>
                <w:b w:val="false"/>
                <w:color w:val="000000"/>
                <w:sz w:val="16"/>
              </w:rPr>
              <w:t>+$3.39</w:t>
            </w:r>
          </w:p>
        </w:tc>
        <w:tc>
          <w:tcPr>
            <w:tcW w:w="399" w:type="dxa"/>
            <w:gridSpan w:val="3"/>
            <w:tcBorders/>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$101.45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erif" w:hAnsi="Times New Roman;serif"/>
                <w:b w:val="false"/>
                <w:color w:val="000000"/>
                <w:sz w:val="16"/>
              </w:rPr>
            </w:pPr>
            <w:r>
              <w:rPr>
                <w:rFonts w:ascii="Times New Roman;serif" w:hAnsi="Times New Roman;serif"/>
                <w:b w:val="false"/>
                <w:color w:val="000000"/>
                <w:sz w:val="16"/>
              </w:rPr>
              <w:t>+$2.84</w:t>
            </w:r>
          </w:p>
        </w:tc>
        <w:tc>
          <w:tcPr>
            <w:tcW w:w="399" w:type="dxa"/>
            <w:gridSpan w:val="3"/>
            <w:tcBorders/>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$102.69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erif" w:hAnsi="Times New Roman;serif"/>
                <w:b w:val="false"/>
                <w:color w:val="000000"/>
                <w:sz w:val="16"/>
              </w:rPr>
            </w:pPr>
            <w:r>
              <w:rPr>
                <w:rFonts w:ascii="Times New Roman;serif" w:hAnsi="Times New Roman;serif"/>
                <w:b w:val="false"/>
                <w:color w:val="000000"/>
                <w:sz w:val="16"/>
              </w:rPr>
              <w:t>+$2.24</w:t>
            </w:r>
          </w:p>
        </w:tc>
        <w:tc>
          <w:tcPr>
            <w:tcW w:w="399" w:type="dxa"/>
            <w:gridSpan w:val="3"/>
            <w:tcBorders/>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$103.94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+$1.84</w:t>
            </w:r>
          </w:p>
        </w:tc>
        <w:tc>
          <w:tcPr>
            <w:tcW w:w="399" w:type="dxa"/>
            <w:gridSpan w:val="3"/>
            <w:tcBorders/>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15-Year Fixed Rate Agency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$85.80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$87.69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$88.84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$89.48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$90.39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erif" w:hAnsi="Times New Roman;serif"/>
                <w:b w:val="false"/>
                <w:color w:val="000000"/>
                <w:sz w:val="16"/>
              </w:rPr>
            </w:pPr>
            <w:r>
              <w:rPr>
                <w:rFonts w:ascii="Times New Roman;serif" w:hAnsi="Times New Roman;serif"/>
                <w:b w:val="false"/>
                <w:color w:val="000000"/>
                <w:sz w:val="16"/>
              </w:rPr>
              <w:t>+$4.59</w:t>
            </w:r>
          </w:p>
        </w:tc>
        <w:tc>
          <w:tcPr>
            <w:tcW w:w="399" w:type="dxa"/>
            <w:gridSpan w:val="3"/>
            <w:tcBorders/>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$88.34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$92.52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+$4.18</w:t>
            </w:r>
          </w:p>
        </w:tc>
        <w:tc>
          <w:tcPr>
            <w:tcW w:w="399" w:type="dxa"/>
            <w:gridSpan w:val="3"/>
            <w:tcBorders/>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$90.83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$94.05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$94.55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+$3.72</w:t>
            </w:r>
          </w:p>
        </w:tc>
        <w:tc>
          <w:tcPr>
            <w:tcW w:w="399" w:type="dxa"/>
            <w:gridSpan w:val="3"/>
            <w:tcBorders/>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$94.55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$95.34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$95.83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$96.23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+$3.11</w:t>
            </w:r>
          </w:p>
        </w:tc>
        <w:tc>
          <w:tcPr>
            <w:tcW w:w="399" w:type="dxa"/>
            <w:gridSpan w:val="3"/>
            <w:tcBorders/>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$94.56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$96.16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$96.53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$96.89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+$2.67</w:t>
            </w:r>
          </w:p>
        </w:tc>
        <w:tc>
          <w:tcPr>
            <w:tcW w:w="399" w:type="dxa"/>
            <w:gridSpan w:val="3"/>
            <w:tcBorders/>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$96.01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$98.67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+$2.66</w:t>
            </w:r>
          </w:p>
        </w:tc>
        <w:tc>
          <w:tcPr>
            <w:tcW w:w="399"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288" w:before="180" w:after="2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1.Price information is for generic instruments only and is not reflective of our specific portfolio holdings. Price information is as of 3:00 p.m. (EST) on such date and can vary by source. Price information is sourced from Barclays. Interest rate information is sourced from Bloomberg.</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mortgage and credit spreads as of each date presented below: </w:t>
      </w:r>
    </w:p>
    <w:tbl>
      <w:tblPr>
        <w:tblW w:w="10205" w:type="dxa"/>
        <w:jc w:val="left"/>
        <w:tblInd w:w="0" w:type="dxa"/>
        <w:tblLayout w:type="fixed"/>
        <w:tblCellMar>
          <w:top w:w="28" w:type="dxa"/>
          <w:left w:w="28" w:type="dxa"/>
          <w:bottom w:w="28" w:type="dxa"/>
          <w:right w:w="28" w:type="dxa"/>
        </w:tblCellMar>
      </w:tblPr>
      <w:tblGrid>
        <w:gridCol w:w="1066"/>
        <w:gridCol w:w="939"/>
        <w:gridCol w:w="943"/>
        <w:gridCol w:w="109"/>
        <w:gridCol w:w="109"/>
        <w:gridCol w:w="109"/>
        <w:gridCol w:w="242"/>
        <w:gridCol w:w="242"/>
        <w:gridCol w:w="244"/>
        <w:gridCol w:w="109"/>
        <w:gridCol w:w="109"/>
        <w:gridCol w:w="109"/>
        <w:gridCol w:w="257"/>
        <w:gridCol w:w="257"/>
        <w:gridCol w:w="258"/>
        <w:gridCol w:w="109"/>
        <w:gridCol w:w="109"/>
        <w:gridCol w:w="109"/>
        <w:gridCol w:w="252"/>
        <w:gridCol w:w="252"/>
        <w:gridCol w:w="253"/>
        <w:gridCol w:w="109"/>
        <w:gridCol w:w="109"/>
        <w:gridCol w:w="109"/>
        <w:gridCol w:w="257"/>
        <w:gridCol w:w="257"/>
        <w:gridCol w:w="258"/>
        <w:gridCol w:w="109"/>
        <w:gridCol w:w="109"/>
        <w:gridCol w:w="109"/>
        <w:gridCol w:w="242"/>
        <w:gridCol w:w="242"/>
        <w:gridCol w:w="244"/>
        <w:gridCol w:w="109"/>
        <w:gridCol w:w="109"/>
        <w:gridCol w:w="109"/>
        <w:gridCol w:w="142"/>
        <w:gridCol w:w="142"/>
        <w:gridCol w:w="142"/>
        <w:gridCol w:w="195"/>
        <w:gridCol w:w="196"/>
        <w:gridCol w:w="142"/>
        <w:gridCol w:w="167"/>
        <w:gridCol w:w="167"/>
        <w:gridCol w:w="245"/>
      </w:tblGrid>
      <w:tr>
        <w:trPr/>
        <w:tc>
          <w:tcPr>
            <w:tcW w:w="106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Mortgage Rate/Credit Spread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 31, 2025</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vs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 31, 2024</w:t>
            </w:r>
          </w:p>
        </w:tc>
        <w:tc>
          <w:tcPr>
            <w:tcW w:w="579" w:type="dxa"/>
            <w:gridSpan w:val="3"/>
            <w:tcBorders/>
          </w:tcPr>
          <w:p>
            <w:pPr>
              <w:pStyle w:val="TableContents"/>
              <w:bidi w:val="0"/>
              <w:spacing w:before="0" w:after="283"/>
              <w:jc w:val="left"/>
              <w:rPr>
                <w:sz w:val="4"/>
                <w:szCs w:val="4"/>
              </w:rPr>
            </w:pPr>
            <w:r>
              <w:rPr>
                <w:sz w:val="4"/>
                <w:szCs w:val="4"/>
              </w:rPr>
            </w:r>
          </w:p>
        </w:tc>
      </w:tr>
      <w:tr>
        <w:trPr/>
        <w:tc>
          <w:tcPr>
            <w:tcW w:w="29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Mortgage Rate: </w:t>
            </w:r>
            <w:r>
              <w:rPr>
                <w:rFonts w:ascii="Times New Roman;serif" w:hAnsi="Times New Roman;serif"/>
                <w:b/>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30-Year Agency Current Coupon Yield to 5-Year U.S. Treasury 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w:t>
            </w:r>
          </w:p>
        </w:tc>
        <w:tc>
          <w:tcPr>
            <w:tcW w:w="579" w:type="dxa"/>
            <w:gridSpan w:val="3"/>
            <w:tcBorders/>
          </w:tcPr>
          <w:p>
            <w:pPr>
              <w:pStyle w:val="TableContents"/>
              <w:bidi w:val="0"/>
              <w:spacing w:before="0" w:after="283"/>
              <w:jc w:val="left"/>
              <w:rPr>
                <w:sz w:val="4"/>
                <w:szCs w:val="4"/>
              </w:rPr>
            </w:pPr>
            <w:r>
              <w:rPr>
                <w:sz w:val="4"/>
                <w:szCs w:val="4"/>
              </w:rPr>
            </w:r>
          </w:p>
        </w:tc>
      </w:tr>
      <w:tr>
        <w:trPr/>
        <w:tc>
          <w:tcPr>
            <w:tcW w:w="2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30-Year Agency Current Coupon Yield to 10-Year U.S. Treasury Spread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w:t>
            </w:r>
          </w:p>
        </w:tc>
        <w:tc>
          <w:tcPr>
            <w:tcW w:w="579" w:type="dxa"/>
            <w:gridSpan w:val="3"/>
            <w:tcBorders/>
          </w:tcPr>
          <w:p>
            <w:pPr>
              <w:pStyle w:val="TableContents"/>
              <w:bidi w:val="0"/>
              <w:spacing w:before="0" w:after="283"/>
              <w:jc w:val="left"/>
              <w:rPr>
                <w:sz w:val="4"/>
                <w:szCs w:val="4"/>
              </w:rPr>
            </w:pPr>
            <w:r>
              <w:rPr>
                <w:sz w:val="4"/>
                <w:szCs w:val="4"/>
              </w:rPr>
            </w:r>
          </w:p>
        </w:tc>
      </w:tr>
      <w:tr>
        <w:trPr/>
        <w:tc>
          <w:tcPr>
            <w:tcW w:w="2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30-Year Agency Current Coupon Yield to 5/10-Year U.S. Treasury 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w:t>
            </w:r>
          </w:p>
        </w:tc>
        <w:tc>
          <w:tcPr>
            <w:tcW w:w="579" w:type="dxa"/>
            <w:gridSpan w:val="3"/>
            <w:tcBorders/>
          </w:tcPr>
          <w:p>
            <w:pPr>
              <w:pStyle w:val="TableContents"/>
              <w:bidi w:val="0"/>
              <w:spacing w:before="0" w:after="283"/>
              <w:jc w:val="left"/>
              <w:rPr>
                <w:sz w:val="4"/>
                <w:szCs w:val="4"/>
              </w:rPr>
            </w:pPr>
            <w:r>
              <w:rPr>
                <w:sz w:val="4"/>
                <w:szCs w:val="4"/>
              </w:rPr>
            </w:r>
          </w:p>
        </w:tc>
      </w:tr>
      <w:tr>
        <w:trPr/>
        <w:tc>
          <w:tcPr>
            <w:tcW w:w="2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30-Year Agency Current Coupon Yield to 5/10-Year Swap Spread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w:t>
            </w:r>
          </w:p>
        </w:tc>
        <w:tc>
          <w:tcPr>
            <w:tcW w:w="579" w:type="dxa"/>
            <w:gridSpan w:val="3"/>
            <w:tcBorders/>
          </w:tcPr>
          <w:p>
            <w:pPr>
              <w:pStyle w:val="TableContents"/>
              <w:bidi w:val="0"/>
              <w:spacing w:before="0" w:after="283"/>
              <w:jc w:val="left"/>
              <w:rPr>
                <w:sz w:val="4"/>
                <w:szCs w:val="4"/>
              </w:rPr>
            </w:pPr>
            <w:r>
              <w:rPr>
                <w:sz w:val="4"/>
                <w:szCs w:val="4"/>
              </w:rPr>
            </w:r>
          </w:p>
        </w:tc>
      </w:tr>
      <w:tr>
        <w:trPr/>
        <w:tc>
          <w:tcPr>
            <w:tcW w:w="2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30-Year Agency Current Coupon Yield to 3/5/10-Year U.S. Treasury 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w:t>
            </w:r>
          </w:p>
        </w:tc>
        <w:tc>
          <w:tcPr>
            <w:tcW w:w="579" w:type="dxa"/>
            <w:gridSpan w:val="3"/>
            <w:tcBorders/>
          </w:tcPr>
          <w:p>
            <w:pPr>
              <w:pStyle w:val="TableContents"/>
              <w:bidi w:val="0"/>
              <w:spacing w:before="0" w:after="283"/>
              <w:jc w:val="left"/>
              <w:rPr>
                <w:sz w:val="4"/>
                <w:szCs w:val="4"/>
              </w:rPr>
            </w:pPr>
            <w:r>
              <w:rPr>
                <w:sz w:val="4"/>
                <w:szCs w:val="4"/>
              </w:rPr>
            </w:r>
          </w:p>
        </w:tc>
      </w:tr>
      <w:tr>
        <w:trPr/>
        <w:tc>
          <w:tcPr>
            <w:tcW w:w="2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30-Year Agency Current Coupon Yield to 3/5/10-Year Swap Spread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erif" w:hAnsi="Times New Roman;serif"/>
                <w:b w:val="false"/>
                <w:color w:val="000000"/>
                <w:sz w:val="16"/>
              </w:rPr>
            </w:pPr>
            <w:r>
              <w:rPr>
                <w:rFonts w:ascii="Times New Roman;serif" w:hAnsi="Times New Roman;serif"/>
                <w:b w:val="false"/>
                <w:color w:val="000000"/>
                <w:sz w:val="16"/>
              </w:rPr>
              <w:t>-26</w:t>
            </w:r>
          </w:p>
        </w:tc>
        <w:tc>
          <w:tcPr>
            <w:tcW w:w="579" w:type="dxa"/>
            <w:gridSpan w:val="3"/>
            <w:tcBorders/>
          </w:tcPr>
          <w:p>
            <w:pPr>
              <w:pStyle w:val="TableContents"/>
              <w:bidi w:val="0"/>
              <w:spacing w:before="0" w:after="283"/>
              <w:jc w:val="left"/>
              <w:rPr>
                <w:sz w:val="4"/>
                <w:szCs w:val="4"/>
              </w:rPr>
            </w:pPr>
            <w:r>
              <w:rPr>
                <w:sz w:val="4"/>
                <w:szCs w:val="4"/>
              </w:rPr>
            </w:r>
          </w:p>
        </w:tc>
      </w:tr>
      <w:tr>
        <w:trPr/>
        <w:tc>
          <w:tcPr>
            <w:tcW w:w="2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30-Year Agency Current Coupon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2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30-Year Mortgage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2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Credit Spread (in bps): </w:t>
            </w:r>
            <w:r>
              <w:rPr>
                <w:rFonts w:ascii="Times New Roman;serif" w:hAnsi="Times New Roman;serif"/>
                <w:b/>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CRT M2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erif" w:hAnsi="Times New Roman;serif"/>
                <w:b w:val="false"/>
                <w:color w:val="000000"/>
                <w:sz w:val="16"/>
              </w:rPr>
            </w:pPr>
            <w:r>
              <w:rPr>
                <w:rFonts w:ascii="Times New Roman;serif" w:hAnsi="Times New Roman;serif"/>
                <w:b w:val="false"/>
                <w:color w:val="000000"/>
                <w:sz w:val="16"/>
              </w:rPr>
              <w:t>+13</w:t>
            </w:r>
          </w:p>
        </w:tc>
        <w:tc>
          <w:tcPr>
            <w:tcW w:w="579" w:type="dxa"/>
            <w:gridSpan w:val="3"/>
            <w:tcBorders/>
          </w:tcPr>
          <w:p>
            <w:pPr>
              <w:pStyle w:val="TableContents"/>
              <w:bidi w:val="0"/>
              <w:spacing w:before="0" w:after="283"/>
              <w:jc w:val="left"/>
              <w:rPr>
                <w:sz w:val="4"/>
                <w:szCs w:val="4"/>
              </w:rPr>
            </w:pPr>
            <w:r>
              <w:rPr>
                <w:sz w:val="4"/>
                <w:szCs w:val="4"/>
              </w:rPr>
            </w:r>
          </w:p>
        </w:tc>
      </w:tr>
      <w:tr>
        <w:trPr/>
        <w:tc>
          <w:tcPr>
            <w:tcW w:w="2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CMBS AAA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erif" w:hAnsi="Times New Roman;serif"/>
                <w:b w:val="false"/>
                <w:color w:val="000000"/>
                <w:sz w:val="16"/>
              </w:rPr>
            </w:pPr>
            <w:r>
              <w:rPr>
                <w:rFonts w:ascii="Times New Roman;serif" w:hAnsi="Times New Roman;serif"/>
                <w:b w:val="false"/>
                <w:color w:val="000000"/>
                <w:sz w:val="16"/>
              </w:rPr>
              <w:t>+6</w:t>
            </w:r>
          </w:p>
        </w:tc>
        <w:tc>
          <w:tcPr>
            <w:tcW w:w="579" w:type="dxa"/>
            <w:gridSpan w:val="3"/>
            <w:tcBorders/>
          </w:tcPr>
          <w:p>
            <w:pPr>
              <w:pStyle w:val="TableContents"/>
              <w:bidi w:val="0"/>
              <w:spacing w:before="0" w:after="283"/>
              <w:jc w:val="left"/>
              <w:rPr>
                <w:sz w:val="4"/>
                <w:szCs w:val="4"/>
              </w:rPr>
            </w:pPr>
            <w:r>
              <w:rPr>
                <w:sz w:val="4"/>
                <w:szCs w:val="4"/>
              </w:rPr>
            </w:r>
          </w:p>
        </w:tc>
      </w:tr>
      <w:tr>
        <w:trPr/>
        <w:tc>
          <w:tcPr>
            <w:tcW w:w="2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CDX IG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color w:val="000000"/>
              </w:rPr>
            </w:pPr>
            <w:r>
              <w:rPr>
                <w:color w:val="000000"/>
              </w:rPr>
              <w:t>—</w:t>
            </w:r>
          </w:p>
        </w:tc>
        <w:tc>
          <w:tcPr>
            <w:tcW w:w="579" w:type="dxa"/>
            <w:gridSpan w:val="3"/>
            <w:tcBorders/>
          </w:tcPr>
          <w:p>
            <w:pPr>
              <w:pStyle w:val="TableContents"/>
              <w:bidi w:val="0"/>
              <w:spacing w:before="0" w:after="283"/>
              <w:jc w:val="left"/>
              <w:rPr>
                <w:sz w:val="4"/>
                <w:szCs w:val="4"/>
              </w:rPr>
            </w:pPr>
            <w:r>
              <w:rPr>
                <w:sz w:val="4"/>
                <w:szCs w:val="4"/>
              </w:rPr>
            </w:r>
          </w:p>
        </w:tc>
      </w:tr>
      <w:tr>
        <w:trPr/>
        <w:tc>
          <w:tcPr>
            <w:tcW w:w="2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CDX HY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c>
          <w:tcPr>
            <w:tcW w:w="579"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8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1.30-Year Current Coupon Yield represents the yield on new production Agency RMBS. 30-Year Current Coupon Yields are sourced from Bloomberg and 30-Year Mortgage Rates are sourced from Clear Blue.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2.CRT and CDX spreads sourced from JP Morgan. CMBS spreads are the average of spreads sourced from Bank of America, JP Morgan and Wells Fargo.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FINANCIAL CONDITION</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2024, our investment portfolio totaled $94.8 billion and $73.3 billion, respectively, consisting of: $81.1 billion and $65.5 billion Agency RMBS, at fair value, respectively; $13.0 billion and $6.9 billion net TBA securities, at fair value, respectively; $0.6 billion and $0.9 billion CRT, non-Agency RMBS and CMBS, at fair value, respectively; and other mortgage credit investments of $70 million and $64 million, respectively, which we account for under the equity method of accounting. The following table is a summary of our investment securities (including TBA securities) as of December 31, 2025 and 2024 (dollars in millions): </w:t>
      </w:r>
    </w:p>
    <w:tbl>
      <w:tblPr>
        <w:tblW w:w="10770" w:type="dxa"/>
        <w:jc w:val="center"/>
        <w:tblInd w:w="0" w:type="dxa"/>
        <w:tblLayout w:type="fixed"/>
        <w:tblCellMar>
          <w:top w:w="28" w:type="dxa"/>
          <w:left w:w="28" w:type="dxa"/>
          <w:bottom w:w="28" w:type="dxa"/>
          <w:right w:w="28" w:type="dxa"/>
        </w:tblCellMar>
      </w:tblPr>
      <w:tblGrid>
        <w:gridCol w:w="527"/>
        <w:gridCol w:w="291"/>
        <w:gridCol w:w="293"/>
        <w:gridCol w:w="109"/>
        <w:gridCol w:w="109"/>
        <w:gridCol w:w="109"/>
        <w:gridCol w:w="196"/>
        <w:gridCol w:w="646"/>
        <w:gridCol w:w="109"/>
        <w:gridCol w:w="109"/>
        <w:gridCol w:w="109"/>
        <w:gridCol w:w="109"/>
        <w:gridCol w:w="196"/>
        <w:gridCol w:w="646"/>
        <w:gridCol w:w="109"/>
        <w:gridCol w:w="109"/>
        <w:gridCol w:w="109"/>
        <w:gridCol w:w="109"/>
        <w:gridCol w:w="316"/>
        <w:gridCol w:w="240"/>
        <w:gridCol w:w="379"/>
        <w:gridCol w:w="109"/>
        <w:gridCol w:w="109"/>
        <w:gridCol w:w="109"/>
        <w:gridCol w:w="210"/>
        <w:gridCol w:w="211"/>
        <w:gridCol w:w="241"/>
        <w:gridCol w:w="109"/>
        <w:gridCol w:w="109"/>
        <w:gridCol w:w="109"/>
        <w:gridCol w:w="196"/>
        <w:gridCol w:w="646"/>
        <w:gridCol w:w="109"/>
        <w:gridCol w:w="109"/>
        <w:gridCol w:w="109"/>
        <w:gridCol w:w="109"/>
        <w:gridCol w:w="196"/>
        <w:gridCol w:w="646"/>
        <w:gridCol w:w="109"/>
        <w:gridCol w:w="109"/>
        <w:gridCol w:w="109"/>
        <w:gridCol w:w="109"/>
        <w:gridCol w:w="316"/>
        <w:gridCol w:w="240"/>
        <w:gridCol w:w="379"/>
        <w:gridCol w:w="109"/>
        <w:gridCol w:w="109"/>
        <w:gridCol w:w="109"/>
        <w:gridCol w:w="210"/>
        <w:gridCol w:w="211"/>
        <w:gridCol w:w="286"/>
      </w:tblGrid>
      <w:tr>
        <w:trPr/>
        <w:tc>
          <w:tcPr>
            <w:tcW w:w="52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Investment Securities (Includes TBAs)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Coupon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Coupon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rate Agency RMBS and TBA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color w:val="000000"/>
              </w:rPr>
            </w:pPr>
            <w:r>
              <w:rPr>
                <w:color w:val="000000"/>
              </w:rPr>
              <w:t xml:space="preserve"> ≤ </w:t>
            </w:r>
            <w:r>
              <w:rPr>
                <w:rFonts w:ascii="Times New Roman;serif" w:hAnsi="Times New Roman;serif"/>
                <w:b w:val="false"/>
                <w:color w:val="000000"/>
                <w:sz w:val="16"/>
              </w:rPr>
              <w:t>15-year: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 </w:t>
            </w:r>
            <w:r>
              <w:rPr>
                <w:rFonts w:ascii="Times New Roman;serif" w:hAnsi="Times New Roman;serif"/>
                <w:b w:val="false"/>
                <w:color w:val="000000"/>
                <w:sz w:val="16"/>
              </w:rPr>
              <w:t>15-year RMBS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15-year TBA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Total ≤ 15-year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20-year RMBS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30-year: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30-year RMBS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30-year TBA securities, net </w:t>
            </w:r>
            <w:r>
              <w:rPr>
                <w:rFonts w:ascii="Times New Roman;serif" w:hAnsi="Times New Roman;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Total 30-year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89,920 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89,845 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5.12 </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5.04 </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fixed rate Agency RMBS and TBA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90,560 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Adjustable rate Agency RMBS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4.87 </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4.85 </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CMO Agency RMBS: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CMO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Interest-only strips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0.52 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Principal-only strips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Total CMO Agency RMBS </w:t>
            </w:r>
            <w:r>
              <w:rPr>
                <w:rFonts w:ascii="Times New Roman;serif" w:hAnsi="Times New Roman;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3.27 </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3.34 </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Total Agency RMBS and TBA securities </w:t>
            </w:r>
            <w:r>
              <w:rPr>
                <w:rFonts w:ascii="Times New Roman;serif" w:hAnsi="Times New Roman;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Non-Agency RMBS </w:t>
            </w:r>
            <w:r>
              <w:rPr>
                <w:rFonts w:ascii="Times New Roman;serif" w:hAnsi="Times New Roman;serif"/>
                <w:b w:val="false"/>
                <w:color w:val="000000"/>
                <w:sz w:val="1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5.12 </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5.29 </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CMBS </w:t>
            </w:r>
            <w:r>
              <w:rPr>
                <w:rFonts w:ascii="Times New Roman;serif" w:hAnsi="Times New Roman;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6.59 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Total investment securities </w:t>
            </w:r>
            <w:r>
              <w:rPr>
                <w:rFonts w:ascii="Times New Roman;serif" w:hAnsi="Times New Roman;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5.12 </w:t>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76,333 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5.06 </w:t>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1.Table excludes other mortgage credit investments of $70 million and $64 million as of December 31, 2025 and 2024, respectively.</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2.TBA securities are presented net of long and short positions. For further details of our TBA securities refer to Note 5 of our Consolidated Financial Statements in this Form 10-K</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3.Average coupon excludes interest-only and principal-only securities.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TBA securities are recorded as derivative instruments in our accompanying consolidated financial statements, and our TBA dollar roll transactions represent a form of off-balance sheet financing. As of December 31, 2025 and 2024, our TBA securities had a net carrying value of $71 million and $(26) million, respectively, reported in derivative assets/(liabilities) on our accompanying consolidated balance sheets. The net carrying value represents the difference between the fair value of the underlying security in the TBA contract and the price to be paid or received for the underlying security.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the weighted average yield on our investment securities (excluding TBA and forward settling securities) was 4.93% and 4.77%,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summarize certain characteristics of our fixed rate Agency RMBS portfolio, inclusive of TBA securities, as of December 31, 2025 and 2024 (dollars in millions): </w:t>
      </w:r>
    </w:p>
    <w:tbl>
      <w:tblPr>
        <w:tblW w:w="11226"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250"/>
        <w:gridCol w:w="250"/>
        <w:gridCol w:w="251"/>
        <w:gridCol w:w="109"/>
        <w:gridCol w:w="109"/>
        <w:gridCol w:w="109"/>
        <w:gridCol w:w="265"/>
        <w:gridCol w:w="265"/>
        <w:gridCol w:w="266"/>
        <w:gridCol w:w="109"/>
        <w:gridCol w:w="109"/>
        <w:gridCol w:w="109"/>
        <w:gridCol w:w="290"/>
        <w:gridCol w:w="290"/>
        <w:gridCol w:w="291"/>
        <w:gridCol w:w="109"/>
        <w:gridCol w:w="109"/>
        <w:gridCol w:w="109"/>
        <w:gridCol w:w="161"/>
        <w:gridCol w:w="161"/>
        <w:gridCol w:w="161"/>
        <w:gridCol w:w="161"/>
        <w:gridCol w:w="161"/>
        <w:gridCol w:w="161"/>
        <w:gridCol w:w="231"/>
        <w:gridCol w:w="231"/>
        <w:gridCol w:w="244"/>
        <w:gridCol w:w="109"/>
        <w:gridCol w:w="109"/>
        <w:gridCol w:w="109"/>
        <w:gridCol w:w="250"/>
        <w:gridCol w:w="250"/>
        <w:gridCol w:w="356"/>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8" w:type="dxa"/>
            <w:gridSpan w:val="5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Includes Net TBA Position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Excludes Net TBA Position</w:t>
            </w:r>
          </w:p>
        </w:tc>
      </w:tr>
      <w:tr>
        <w:trPr/>
        <w:tc>
          <w:tcPr>
            <w:tcW w:w="8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Fixed Rate Agency RMBS and TBA Securities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Specified Pool % </w:t>
            </w:r>
            <w:r>
              <w:rPr>
                <w:rFonts w:ascii="Times New Roman;serif" w:hAnsi="Times New Roman;serif"/>
                <w:b/>
                <w:color w:val="000000"/>
                <w:sz w:val="10"/>
              </w:rPr>
              <w:t>1</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Coupon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Projected </w:t>
            </w:r>
          </w:p>
          <w:p>
            <w:pPr>
              <w:pStyle w:val="TableContents"/>
              <w:bidi w:val="0"/>
              <w:spacing w:lineRule="auto" w:line="240" w:before="0" w:after="0"/>
              <w:jc w:val="center"/>
              <w:rPr/>
            </w:pPr>
            <w:r>
              <w:rPr>
                <w:rFonts w:ascii="Times New Roman;serif" w:hAnsi="Times New Roman;serif"/>
                <w:b/>
                <w:color w:val="000000"/>
                <w:sz w:val="16"/>
              </w:rPr>
              <w:t xml:space="preserve">CPR </w:t>
            </w:r>
            <w:r>
              <w:rPr>
                <w:rFonts w:ascii="Times New Roman;serif" w:hAnsi="Times New Roman;serif"/>
                <w:b/>
                <w:color w:val="000000"/>
                <w:sz w:val="10"/>
              </w:rPr>
              <w:t>2</w:t>
            </w:r>
          </w:p>
        </w:tc>
      </w:tr>
      <w:tr>
        <w:trPr/>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Yield </w:t>
            </w:r>
            <w:r>
              <w:rPr>
                <w:rFonts w:ascii="Times New Roman;serif" w:hAnsi="Times New Roman;serif"/>
                <w:b/>
                <w:color w:val="000000"/>
                <w:sz w:val="10"/>
              </w:rPr>
              <w:t>2</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Age (Months)</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Fixed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 </w:t>
            </w:r>
            <w:r>
              <w:rPr>
                <w:rFonts w:ascii="Times New Roman;serif" w:hAnsi="Times New Roman;serif"/>
                <w:b w:val="false"/>
                <w:color w:val="000000"/>
                <w:sz w:val="16"/>
              </w:rPr>
              <w:t>15-year: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1.34%</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2.79%</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2.37%</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2.62%</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2.08%</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68%</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4.66%</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w:t>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 15-year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3.98%</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1.75%</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2.29%</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2.97%</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3.09%</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3.42%</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20-year: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2.93%</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2.80%</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2.89%</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3.06%</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4.11%</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5.13%</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5.40%</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5.59%</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5.43%</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30-year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89,920 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89,845 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4.91%</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fixed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89,892 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90,560 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4.91%</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w:t>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1.Specified pools include pools backed by lower balance loans with original loan balances of up to $200K, HARP pools (defined as pools that were issued between May 2009 and December 2018 and backed by 100% refinance loans with original LTVs ≥ 80%), and pools backed by loans 100% originated in New York and Puerto Rico. As of December 31, 2025, lower balance specified pools had a weighted average original loan balance of $181,000 and $142,000 for 15-year and 30-year securities, respectively, and HARP pools had a weighted average original LTV of 128% and 142% for 15-year and 30-year securities, respectively.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2.Portfolio yield incorporates a projected life CPR based on forward rate assumptions as of December 31, 2025.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tbl>
      <w:tblPr>
        <w:tblW w:w="11226"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250"/>
        <w:gridCol w:w="250"/>
        <w:gridCol w:w="251"/>
        <w:gridCol w:w="109"/>
        <w:gridCol w:w="109"/>
        <w:gridCol w:w="109"/>
        <w:gridCol w:w="265"/>
        <w:gridCol w:w="265"/>
        <w:gridCol w:w="266"/>
        <w:gridCol w:w="109"/>
        <w:gridCol w:w="109"/>
        <w:gridCol w:w="109"/>
        <w:gridCol w:w="290"/>
        <w:gridCol w:w="290"/>
        <w:gridCol w:w="291"/>
        <w:gridCol w:w="109"/>
        <w:gridCol w:w="109"/>
        <w:gridCol w:w="109"/>
        <w:gridCol w:w="161"/>
        <w:gridCol w:w="161"/>
        <w:gridCol w:w="161"/>
        <w:gridCol w:w="161"/>
        <w:gridCol w:w="161"/>
        <w:gridCol w:w="161"/>
        <w:gridCol w:w="231"/>
        <w:gridCol w:w="231"/>
        <w:gridCol w:w="244"/>
        <w:gridCol w:w="109"/>
        <w:gridCol w:w="109"/>
        <w:gridCol w:w="109"/>
        <w:gridCol w:w="250"/>
        <w:gridCol w:w="250"/>
        <w:gridCol w:w="356"/>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8" w:type="dxa"/>
            <w:gridSpan w:val="5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Includes Net TBA Position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Excludes Net TBA Position</w:t>
            </w:r>
          </w:p>
        </w:tc>
      </w:tr>
      <w:tr>
        <w:trPr/>
        <w:tc>
          <w:tcPr>
            <w:tcW w:w="8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Fixed Rate Agency RMBS and TBA Securities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Specified Pool % </w:t>
            </w:r>
            <w:r>
              <w:rPr>
                <w:rFonts w:ascii="Times New Roman;serif" w:hAnsi="Times New Roman;serif"/>
                <w:b/>
                <w:color w:val="000000"/>
                <w:sz w:val="10"/>
              </w:rPr>
              <w:t>1</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Coupon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Projected </w:t>
            </w:r>
          </w:p>
          <w:p>
            <w:pPr>
              <w:pStyle w:val="TableContents"/>
              <w:bidi w:val="0"/>
              <w:spacing w:lineRule="auto" w:line="240" w:before="0" w:after="0"/>
              <w:jc w:val="center"/>
              <w:rPr/>
            </w:pPr>
            <w:r>
              <w:rPr>
                <w:rFonts w:ascii="Times New Roman;serif" w:hAnsi="Times New Roman;serif"/>
                <w:b/>
                <w:color w:val="000000"/>
                <w:sz w:val="16"/>
              </w:rPr>
              <w:t xml:space="preserve">CPR </w:t>
            </w:r>
            <w:r>
              <w:rPr>
                <w:rFonts w:ascii="Times New Roman;serif" w:hAnsi="Times New Roman;serif"/>
                <w:b/>
                <w:color w:val="000000"/>
                <w:sz w:val="10"/>
              </w:rPr>
              <w:t>2</w:t>
            </w:r>
          </w:p>
        </w:tc>
      </w:tr>
      <w:tr>
        <w:trPr/>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Yield </w:t>
            </w:r>
            <w:r>
              <w:rPr>
                <w:rFonts w:ascii="Times New Roman;serif" w:hAnsi="Times New Roman;serif"/>
                <w:b/>
                <w:color w:val="000000"/>
                <w:sz w:val="10"/>
              </w:rPr>
              <w:t>2</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Age (Months)</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Fixed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15-year: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1.34%</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2.80%</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2.38%</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2.61%</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1.96%</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2.71%</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w:t>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 15-year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2.05%</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1.74%</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2.29%</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2.97%</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3.09%</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3.42%</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20-year: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2.33%</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2.73%</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2.84%</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3.10%</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3.92%</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5.03%</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5.44%</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5.72%</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5.97%</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30-year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72,445 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4.74%</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fixed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70,910 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4.71%</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r>
    </w:tbl>
    <w:p>
      <w:pPr>
        <w:pStyle w:val="TextBody"/>
        <w:bidi w:val="0"/>
        <w:spacing w:lineRule="auto" w:line="288" w:before="80" w:after="283"/>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1.See Note 1 of the preceding table for specified pool composition. As of December 31, 2024, lower balance specified pools had a weighted average original loan balance of $188,000 and $148,000 for 15-year and 30-year securities, respectively, and HARP pools had a weighted average original LTV of 128% and 141% for 15-year and 30-year securities, respectively.</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2.Portfolio yield incorporates a projected life CPR based on forward rate assumptions as of December 31, 2024.</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For additional details regarding our CRT and non-Agency securities, including credit ratings, as of December 31, 2025 and 2024, please refer to Note 3 of our Consolidated Financial Statements included under Item 8 of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SUMMARY OF CRITICAL ACCOUNTING ESTIMATES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critical accounting estimates involve estimates that require management to make judgments that are subjective in nature. We rely on our experience and analysis of historical and current market data to arrive at what we believe to be reasonable estimates. Under different conditions, we could report materially different amounts based on such estimates. For additional information regarding our significant accounting policies please refer to Note 2 of our Consolidated Financial Statements included under Item 8 of this Form 10-K.</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effective yield on our Agency RMBS and non-Agency securities of high credit quality is highly impacted by our estimate of future prepayments. We accrue interest income based on the outstanding principal amount and contractual terms of these securities, and we amortize or accrete premiums and discounts associated with our purchase of these securities into interest income over their projected lives, incorporating scheduled contractual payments and estimated prepayments, using the effective interest method. The weighted average cost basis of our securities as of December 31, 2025 was 101.2% of par value and may vary materially across different securities; therefore, changes in our actual or projected prepayments can significantly alter the effective yield on our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Future prepayment rates are difficult to predict, and we rely on a third-party service provider and our experience and analysis of historical and current market data to arrive at what we believe to be reasonable estimates. Our third-party service provider estimates prepayment rates over the remaining life of our securities using models that incorporate the forward yield curve, current mortgage rates, mortgage rates on the outstanding loans, age and size of the outstanding loans, loan-to-value ratios, interest rate volatility and other factors. We review the estimated prepayment rates for reasonableness, giving consideration to historical prepayment rates, current market conditions and other factors we believe are likely to impact the rate of prepayments on our portfolio, and based on our judgment we may adjust the third-party estimates.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review our actual and anticipated prepayment experience on at least a quarterly basis, and effective yields are recalculated when differences arise between (i) our previous prepayment estimates and (ii) actual prepayments to date and current estimates of future prepayments. When the actual and estimated future prepayment experience differs from our prior estimates, we are required to record a current-period adjustment to the amortization or accretion of premiums and discounts for the cumulative difference in the effective yield from inception through the reporting date. We commonly refer to this adjustment as "catch-up" premium amortization cost/benefit. </w:t>
      </w:r>
    </w:p>
    <w:p>
      <w:pPr>
        <w:pStyle w:val="TextBody"/>
        <w:bidi w:val="0"/>
        <w:spacing w:lineRule="auto" w:line="288" w:before="180" w:after="283"/>
        <w:ind w:left="0" w:right="0" w:firstLine="495"/>
        <w:jc w:val="both"/>
        <w:rPr/>
      </w:pPr>
      <w:r>
        <w:rPr>
          <w:rFonts w:ascii="Times New Roman;serif" w:hAnsi="Times New Roman;serif"/>
          <w:b w:val="false"/>
          <w:color w:val="000000"/>
          <w:sz w:val="20"/>
        </w:rPr>
        <w:t>The most significant factor impacting prepayment rates on our securities is changes to long-term interest rates. Prepayment rates generally increase when interest rates fall and decrease when interest rates rise. Item 7A.</w:t>
      </w:r>
      <w:r>
        <w:rPr>
          <w:color w:val="000000"/>
        </w:rPr>
        <w:t xml:space="preserve"> </w:t>
      </w:r>
      <w:r>
        <w:rPr>
          <w:rFonts w:ascii="Times New Roman;serif" w:hAnsi="Times New Roman;serif"/>
          <w:b w:val="false"/>
          <w:i/>
          <w:color w:val="000000"/>
          <w:sz w:val="20"/>
        </w:rPr>
        <w:t xml:space="preserve">Quantitative and Qualitative Disclosures About Market Risk </w:t>
      </w:r>
      <w:r>
        <w:rPr>
          <w:rFonts w:ascii="Times New Roman;serif" w:hAnsi="Times New Roman;serif"/>
          <w:b w:val="false"/>
          <w:color w:val="000000"/>
          <w:sz w:val="20"/>
        </w:rPr>
        <w:t>in this Form 10-K includes the estimated weighted average projected CPR of our investments and the corresponding weighted average yield on our investments should interest rates instantaneously go up or down by 25, 50, and 75 basis points. However, there are a variety of other factors that may impact the rate of prepayments on our securities. Consequently, our actual experience and future estimates of prepayments could differ materially from our estimates.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At the time we purchase CRT and non-Agency securities that are not of high credit quality, we determine an effective interest rate based on our estimate of the timing and amount of cash flows and our cost basis. On at least a quarterly basis, we review the estimated cash flows and make appropriate adjustments based on input and analysis received from external sources, internal models, our judgment about interest rates, prepayment rates, including collateral call provisions, timing and amount of estimated credit losses, and other factors. Any resulting changes in effective yield are recognized prospectively based on the current amortized cost of the investment as adjusted for credit impairment, if 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Non-GAAP Financial Measures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to the results presented in accordance with GAAP, our results of operations discussed below include certain non-GAAP financial information, including "economic interest income," "economic interest expense," and "net spread and dollar roll income available to common stockholders" and the related per common share measures and certain financial metrics derived from such non-GAAP information.</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"Economic interest income" is measured as interest income (GAAP measure), adjusted to (i) exclude retrospective "catch-up" adjustments to premium amortization cost associated with changes in projected CPR estimates and (ii) include TBA dollar roll implied interest income. "Economic interest expense" is measured as interest expense (GAAP measure) adjusted to include TBA dollar roll implied interest expense/benefit and interest rate swap periodic cost/income. "Net spread and dollar roll income available to common stockholders" is measured as comprehensive income (loss) available (attributable) to common stockholders (GAAP measure) adjusted to: (i) exclude gains/losses on investment securities recognized through net income and other comprehensive income and gains/losses on derivative instruments and other securities (GAAP measures); (ii) exclude retrospective "catch-up" adjustments to premium amortization cost associated with changes in projected CPR estimates; and (iii) include interest rate swap periodic income/cost, TBA dollar roll income and other interest income/expense. As defined, "Net spread and dollar roll income available to common stockholders" includes (i) the components of "economic interest income" and "economic interest expense", plus (ii) other interest income/expense, and less (iii) total operating expenses and dividends on preferred stock (GAAP measures).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By providing such measures, in addition to the related GAAP measures, we believe we give greater transparency into the information used by our management in its financial and operational decision-making. We also believe it is important for users of our financial information to consider information related to our current financial performance without the effects of certain measures and one-time events that are not necessarily indicative of our current investment portfolio performance and operations.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Specifically, with respect to "net spread and dollar roll income available to common stockholders" and its components, "economic interest income" and "economic interest expense," we believe the inclusion of TBA dollar roll income is meaningful because TBAs, which are accounted for under GAAP as derivative instruments with gains and losses recognized in other gain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(loss) in our consolidated statement of comprehensive income, are economically equivalent to holding and financing generic Agency RMBS using short-term repurchase agreements. Similarly, we believe that the inclusion of periodic interest rate swap settlements is meaningful because interest rate swaps are the primary instruments we use to economically hedge against fluctuations in our borrowing costs, and their inclusion is more indicative of our total cost of funds than interest expense alone. Additionally, we believe the exclusion of "catch-up" premium amortization adjustments is meaningful because it excludes the cumulative effect from prior reporting periods due to current changes in future prepayment expectations and, therefore, is more indicative of the current earnings potential of our investment portfolio.</w:t>
      </w:r>
    </w:p>
    <w:p>
      <w:pPr>
        <w:pStyle w:val="TextBody"/>
        <w:bidi w:val="0"/>
        <w:spacing w:lineRule="auto" w:line="288" w:before="180" w:after="6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However, because such measures are incomplete measures of our financial performance and involve differences from results computed in accordance with GAAP, they should be considered as supplementary to, and not as a substitute for, results computed in accordance with GAAP. In addition, because not all companies use identical calculations, our presentation of such non-GAAP measures may not be comparable to other similarly titled measures of other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Selected Financial Data</w:t>
      </w:r>
    </w:p>
    <w:p>
      <w:pPr>
        <w:pStyle w:val="TextBody"/>
        <w:bidi w:val="0"/>
        <w:spacing w:before="0" w:after="0"/>
        <w:jc w:val="both"/>
        <w:rPr/>
      </w:pPr>
      <w:r>
        <w:rPr/>
      </w:r>
    </w:p>
    <w:p>
      <w:pPr>
        <w:pStyle w:val="TextBody"/>
        <w:bidi w:val="0"/>
        <w:spacing w:lineRule="auto" w:line="268" w:before="0" w:after="0"/>
        <w:ind w:left="0" w:right="0" w:firstLine="495"/>
        <w:jc w:val="both"/>
        <w:rPr/>
      </w:pPr>
      <w:r>
        <w:rPr>
          <w:rFonts w:ascii="Times New Roman;serif" w:hAnsi="Times New Roman;serif"/>
          <w:b w:val="false"/>
          <w:color w:val="000000"/>
          <w:sz w:val="20"/>
        </w:rPr>
        <w:t xml:space="preserve">The following selected financial data is derived from our annual financial statements for the three years ended December 31, 2025. The selected financial data should be read in conjunction with the more detailed information contained in Item 8. </w:t>
      </w:r>
      <w:r>
        <w:rPr>
          <w:rFonts w:ascii="Times New Roman;serif" w:hAnsi="Times New Roman;serif"/>
          <w:b w:val="false"/>
          <w:i/>
          <w:color w:val="000000"/>
          <w:sz w:val="20"/>
        </w:rPr>
        <w:t>Financial Statements</w:t>
      </w:r>
      <w:r>
        <w:rPr>
          <w:color w:val="000000"/>
        </w:rPr>
        <w:t xml:space="preserve"> </w:t>
      </w:r>
      <w:r>
        <w:rPr>
          <w:rFonts w:ascii="Times New Roman;serif" w:hAnsi="Times New Roman;serif"/>
          <w:b w:val="false"/>
          <w:color w:val="000000"/>
          <w:sz w:val="20"/>
        </w:rPr>
        <w:t xml:space="preserve">and in this Item 7. </w:t>
      </w:r>
      <w:r>
        <w:rPr>
          <w:rFonts w:ascii="Times New Roman;serif" w:hAnsi="Times New Roman;serif"/>
          <w:b w:val="false"/>
          <w:i/>
          <w:color w:val="000000"/>
          <w:sz w:val="20"/>
        </w:rPr>
        <w:t xml:space="preserve">Management's Discussion and Analysis of Financial Condition and Results of Operations </w:t>
      </w:r>
      <w:r>
        <w:rPr>
          <w:rFonts w:ascii="Times New Roman;serif" w:hAnsi="Times New Roman;serif"/>
          <w:b w:val="false"/>
          <w:color w:val="000000"/>
          <w:sz w:val="20"/>
        </w:rPr>
        <w:t>(in millions, except per share amounts):</w:t>
      </w:r>
    </w:p>
    <w:tbl>
      <w:tblPr>
        <w:tblW w:w="10205" w:type="dxa"/>
        <w:jc w:val="center"/>
        <w:tblInd w:w="0" w:type="dxa"/>
        <w:tblLayout w:type="fixed"/>
        <w:tblCellMar>
          <w:top w:w="28" w:type="dxa"/>
          <w:left w:w="28" w:type="dxa"/>
          <w:bottom w:w="28" w:type="dxa"/>
          <w:right w:w="28" w:type="dxa"/>
        </w:tblCellMar>
      </w:tblPr>
      <w:tblGrid>
        <w:gridCol w:w="2326"/>
        <w:gridCol w:w="1950"/>
        <w:gridCol w:w="1958"/>
        <w:gridCol w:w="109"/>
        <w:gridCol w:w="109"/>
        <w:gridCol w:w="109"/>
        <w:gridCol w:w="196"/>
        <w:gridCol w:w="736"/>
        <w:gridCol w:w="109"/>
        <w:gridCol w:w="109"/>
        <w:gridCol w:w="109"/>
        <w:gridCol w:w="109"/>
        <w:gridCol w:w="196"/>
        <w:gridCol w:w="646"/>
        <w:gridCol w:w="109"/>
        <w:gridCol w:w="109"/>
        <w:gridCol w:w="109"/>
        <w:gridCol w:w="109"/>
        <w:gridCol w:w="196"/>
        <w:gridCol w:w="646"/>
        <w:gridCol w:w="156"/>
      </w:tblGrid>
      <w:tr>
        <w:trPr/>
        <w:tc>
          <w:tcPr>
            <w:tcW w:w="2326"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6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6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Sheet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62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Investment securities, at fair value of $81,719, $66,348 and 54,824, respectively, and other mortgage credit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54,868 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agreements and other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Net book value per common share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Tangible net book value per common share </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799" w:type="dxa"/>
        <w:jc w:val="center"/>
        <w:tblInd w:w="0" w:type="dxa"/>
        <w:tblLayout w:type="fixed"/>
        <w:tblCellMar>
          <w:top w:w="28" w:type="dxa"/>
          <w:left w:w="28" w:type="dxa"/>
          <w:bottom w:w="28" w:type="dxa"/>
          <w:right w:w="28" w:type="dxa"/>
        </w:tblCellMar>
      </w:tblPr>
      <w:tblGrid>
        <w:gridCol w:w="1722"/>
        <w:gridCol w:w="1514"/>
        <w:gridCol w:w="1518"/>
        <w:gridCol w:w="109"/>
        <w:gridCol w:w="109"/>
        <w:gridCol w:w="109"/>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1722"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1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Fiscal Year </w:t>
            </w:r>
          </w:p>
        </w:tc>
        <w:tc>
          <w:tcPr>
            <w:tcW w:w="1233" w:type="dxa"/>
            <w:gridSpan w:val="6"/>
            <w:tcBorders/>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 xml:space="preserve">Statement of Comprehensive Income Data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7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gain,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on preferred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available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on preferred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 available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number of common shares outstanding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number of common shares outstanding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619.6 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per common share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per common share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 per common share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0.30 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 per common share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0.30 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tbl>
      <w:tblPr>
        <w:tblW w:w="9600" w:type="dxa"/>
        <w:jc w:val="center"/>
        <w:tblInd w:w="0" w:type="dxa"/>
        <w:tblLayout w:type="fixed"/>
        <w:tblCellMar>
          <w:top w:w="28" w:type="dxa"/>
          <w:left w:w="28" w:type="dxa"/>
          <w:bottom w:w="28" w:type="dxa"/>
          <w:right w:w="28" w:type="dxa"/>
        </w:tblCellMar>
      </w:tblPr>
      <w:tblGrid>
        <w:gridCol w:w="1721"/>
        <w:gridCol w:w="1510"/>
        <w:gridCol w:w="1523"/>
        <w:gridCol w:w="109"/>
        <w:gridCol w:w="109"/>
        <w:gridCol w:w="109"/>
        <w:gridCol w:w="109"/>
        <w:gridCol w:w="109"/>
        <w:gridCol w:w="109"/>
        <w:gridCol w:w="109"/>
        <w:gridCol w:w="196"/>
        <w:gridCol w:w="736"/>
        <w:gridCol w:w="256"/>
        <w:gridCol w:w="109"/>
        <w:gridCol w:w="109"/>
        <w:gridCol w:w="109"/>
        <w:gridCol w:w="196"/>
        <w:gridCol w:w="646"/>
        <w:gridCol w:w="256"/>
        <w:gridCol w:w="109"/>
        <w:gridCol w:w="109"/>
        <w:gridCol w:w="109"/>
        <w:gridCol w:w="196"/>
        <w:gridCol w:w="646"/>
        <w:gridCol w:w="301"/>
      </w:tblGrid>
      <w:tr>
        <w:trPr/>
        <w:tc>
          <w:tcPr>
            <w:tcW w:w="1721"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1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Fiscal Year </w:t>
            </w:r>
          </w:p>
        </w:tc>
        <w:tc>
          <w:tcPr>
            <w:tcW w:w="1470" w:type="dxa"/>
            <w:gridSpan w:val="6"/>
            <w:tcBorders/>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Other Data (Unaudited)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7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investment securities - at par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71,766 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61,613 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50,878 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investment securities - at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72,737 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62,698 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52,262 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Net TBA portfolio - at par (as of period end) </w:t>
            </w:r>
            <w:r>
              <w:rPr>
                <w:rFonts w:ascii="Times New Roman;serif" w:hAnsi="Times New Roman;serif"/>
                <w:b w:val="false"/>
                <w:color w:val="000000"/>
                <w:sz w:val="10"/>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13,180 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Net TBA portfolio - at cost (as of period end) </w:t>
            </w:r>
            <w:r>
              <w:rPr>
                <w:rFonts w:ascii="Times New Roman;serif" w:hAnsi="Times New Roman;serif"/>
                <w:b w:val="false"/>
                <w:color w:val="000000"/>
                <w:sz w:val="10"/>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Net TBA portfolio - at market value (as of period end) </w:t>
            </w:r>
            <w:r>
              <w:rPr>
                <w:rFonts w:ascii="Times New Roman;serif" w:hAnsi="Times New Roman;serif"/>
                <w:b w:val="false"/>
                <w:color w:val="000000"/>
                <w:sz w:val="10"/>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Net TBA portfolio - at carrying value (as of period end) </w:t>
            </w:r>
            <w:r>
              <w:rPr>
                <w:rFonts w:ascii="Times New Roman;serif" w:hAnsi="Times New Roman;serif"/>
                <w:b w:val="false"/>
                <w:color w:val="000000"/>
                <w:sz w:val="10"/>
              </w:rPr>
              <w:t>3,4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net TBA dollar roll position - at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10,853 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total assets - at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100,770 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79,058 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63,409 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Average repurchase agreements and other debt outstanding </w:t>
            </w:r>
            <w:r>
              <w:rPr>
                <w:rFonts w:ascii="Times New Roman;serif" w:hAnsi="Times New Roman;serif"/>
                <w:b w:val="false"/>
                <w:color w:val="000000"/>
                <w:sz w:val="10"/>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64,472 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54,658 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44,027 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Average stockholders' equity </w:t>
            </w:r>
            <w:r>
              <w:rPr>
                <w:rFonts w:ascii="Times New Roman;serif" w:hAnsi="Times New Roman;serif"/>
                <w:b w:val="false"/>
                <w:color w:val="000000"/>
                <w:sz w:val="10"/>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Average tangible net book value "at risk" leverage </w:t>
            </w:r>
            <w:r>
              <w:rPr>
                <w:rFonts w:ascii="Times New Roman;serif" w:hAnsi="Times New Roman;serif"/>
                <w:b w:val="false"/>
                <w:color w:val="000000"/>
                <w:sz w:val="10"/>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w:t>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Tangible net book value "at risk" leverage </w:t>
            </w:r>
            <w:r>
              <w:rPr>
                <w:rFonts w:ascii="Times New Roman;serif" w:hAnsi="Times New Roman;serif"/>
                <w:b w:val="false"/>
                <w:i/>
                <w:color w:val="000000"/>
                <w:sz w:val="16"/>
              </w:rPr>
              <w:t>(as of period end)</w:t>
            </w:r>
            <w:r>
              <w:rPr>
                <w:color w:val="000000"/>
              </w:rPr>
              <w:t xml:space="preserve"> </w:t>
            </w:r>
            <w:r>
              <w:rPr>
                <w:rFonts w:ascii="Times New Roman;serif" w:hAnsi="Times New Roman;serif"/>
                <w:b w:val="false"/>
                <w:color w:val="000000"/>
                <w:sz w:val="10"/>
              </w:rPr>
              <w:t>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Economic return on tangible common equity </w:t>
            </w:r>
            <w:r>
              <w:rPr>
                <w:rFonts w:ascii="Times New Roman;serif" w:hAnsi="Times New Roman;serif"/>
                <w:b w:val="false"/>
                <w:color w:val="000000"/>
                <w:sz w:val="10"/>
              </w:rPr>
              <w:t>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Expenses % of average total assets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Expenses % of average assets, including average net TBA position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Expenses % of average stockholders' equity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 Except as noted below, average numbers for each period are weighted based on days on our books and records.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1.Net book value per common share is calculated as total stockholders' equity, less preferred stock liquidation preference, divided by number of common shares outstanding as of period end.</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2.Tangible net book value per common share excludes goodwill.</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3.Includes net TBA dollar roll position and, if applicable, forward settling securities.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4.The carrying value of our net TBA position represents the difference between the market value and the cost basis of the TBA contract as of period-end and is reported in derivative assets/(liabilities), at fair value on our accompanying consolidated balances sheets.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5.Amount represents the daily weighted average repurchase agreements outstanding for the period used to fund our investment securities and other debt. Amount excludes U.S. Treasury repurchase agreements and TBA contracts. Other debt includes debt of consolidated VIEs.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6.Average stockholders' equity calculated as average month-ended stockholders' equity during the period.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7.Average tangible net book value "at risk" leverage is calculated by dividing the sum of daily weighted average repurchase agreements used to fund our investment securities, other debt, and TBA and forward settling securities (at cost) (collectively "mortgage borrowings") outstanding for the period by the sum of average stockholders' equity adjusted to exclude goodwill for the period. Leverage excludes U.S. Treasury repurchase agreements.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8.Tangible net book value "at risk" leverage as of period end is calculated by dividing the sum of mortgage borrowings outstanding and receivable/payable for unsettled investment securities as of period end by the sum of total stockholders' equity adjusted to exclude goodwill as of period end. Leverage excludes U.S. Treasury repurchase agreements.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9.Economic return on tangible common equity represents the sum of the change in tangible net book value per common share and dividends declared per share of common stock during the period over beginning tangible net book value per common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Economic Interest Income and Asset Yields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economic interest income (a non-GAAP measure) for fiscal years 2025, 2024 and 2023, which includes the combination of interest income (a GAAP measure) on our holdings reported as investment securities on our consolidated balance sheets, adjusted to exclude estimated "catch-up" premium amortization adjustments for the cumulative effect from prior reporting periods due to changes in our CPR forecast, and implied interest income on our TBA securities (dollars in millions): </w:t>
      </w:r>
    </w:p>
    <w:tbl>
      <w:tblPr>
        <w:tblW w:w="10205" w:type="dxa"/>
        <w:jc w:val="center"/>
        <w:tblInd w:w="0" w:type="dxa"/>
        <w:tblLayout w:type="fixed"/>
        <w:tblCellMar>
          <w:top w:w="28" w:type="dxa"/>
          <w:left w:w="28" w:type="dxa"/>
          <w:bottom w:w="28" w:type="dxa"/>
          <w:right w:w="28" w:type="dxa"/>
        </w:tblCellMar>
      </w:tblPr>
      <w:tblGrid>
        <w:gridCol w:w="882"/>
        <w:gridCol w:w="508"/>
        <w:gridCol w:w="510"/>
        <w:gridCol w:w="109"/>
        <w:gridCol w:w="109"/>
        <w:gridCol w:w="109"/>
        <w:gridCol w:w="109"/>
        <w:gridCol w:w="109"/>
        <w:gridCol w:w="155"/>
        <w:gridCol w:w="155"/>
        <w:gridCol w:w="156"/>
        <w:gridCol w:w="109"/>
        <w:gridCol w:w="109"/>
        <w:gridCol w:w="109"/>
        <w:gridCol w:w="196"/>
        <w:gridCol w:w="556"/>
        <w:gridCol w:w="241"/>
        <w:gridCol w:w="109"/>
        <w:gridCol w:w="109"/>
        <w:gridCol w:w="109"/>
        <w:gridCol w:w="244"/>
        <w:gridCol w:w="245"/>
        <w:gridCol w:w="253"/>
        <w:gridCol w:w="109"/>
        <w:gridCol w:w="109"/>
        <w:gridCol w:w="109"/>
        <w:gridCol w:w="196"/>
        <w:gridCol w:w="556"/>
        <w:gridCol w:w="241"/>
        <w:gridCol w:w="109"/>
        <w:gridCol w:w="109"/>
        <w:gridCol w:w="109"/>
        <w:gridCol w:w="244"/>
        <w:gridCol w:w="245"/>
        <w:gridCol w:w="253"/>
        <w:gridCol w:w="109"/>
        <w:gridCol w:w="109"/>
        <w:gridCol w:w="109"/>
        <w:gridCol w:w="196"/>
        <w:gridCol w:w="556"/>
        <w:gridCol w:w="241"/>
        <w:gridCol w:w="109"/>
        <w:gridCol w:w="109"/>
        <w:gridCol w:w="109"/>
        <w:gridCol w:w="244"/>
        <w:gridCol w:w="245"/>
        <w:gridCol w:w="380"/>
      </w:tblGrid>
      <w:tr>
        <w:trPr/>
        <w:tc>
          <w:tcPr>
            <w:tcW w:w="882"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3" w:type="dxa"/>
            <w:gridSpan w:val="2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Fiscal Year </w:t>
            </w:r>
          </w:p>
        </w:tc>
        <w:tc>
          <w:tcPr>
            <w:tcW w:w="3585" w:type="dxa"/>
            <w:gridSpan w:val="18"/>
            <w:tcBorders/>
          </w:tcPr>
          <w:p>
            <w:pPr>
              <w:pStyle w:val="TableContents"/>
              <w:bidi w:val="0"/>
              <w:spacing w:before="0" w:after="283"/>
              <w:jc w:val="left"/>
              <w:rPr>
                <w:sz w:val="4"/>
                <w:szCs w:val="4"/>
              </w:rPr>
            </w:pPr>
            <w:r>
              <w:rPr>
                <w:sz w:val="4"/>
                <w:szCs w:val="4"/>
              </w:rPr>
            </w:r>
          </w:p>
        </w:tc>
      </w:tr>
      <w:tr>
        <w:trPr/>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2516" w:type="dxa"/>
            <w:gridSpan w:val="12"/>
            <w:tcBorders/>
          </w:tcPr>
          <w:p>
            <w:pPr>
              <w:pStyle w:val="TableContents"/>
              <w:bidi w:val="0"/>
              <w:spacing w:before="0" w:after="283"/>
              <w:jc w:val="left"/>
              <w:rPr>
                <w:sz w:val="4"/>
                <w:szCs w:val="4"/>
              </w:rPr>
            </w:pPr>
            <w:r>
              <w:rPr>
                <w:sz w:val="4"/>
                <w:szCs w:val="4"/>
              </w:rPr>
            </w:r>
          </w:p>
        </w:tc>
      </w:tr>
      <w:tr>
        <w:trPr/>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Yield</w:t>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Cash/coupon 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9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premium amortization benefit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(0.31)</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(0.29)</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(0.50)</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 (GAAP measure)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Estimated "catch-up" premium amortization cost (benefit) due to change in CPR forecast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0.02 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(0.08)</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 excluding "catch-up" premium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pPr>
            <w:r>
              <w:rPr>
                <w:rFonts w:ascii="Times New Roman;serif" w:hAnsi="Times New Roman;serif"/>
                <w:b w:val="false"/>
                <w:color w:val="000000"/>
                <w:sz w:val="16"/>
              </w:rPr>
              <w:t xml:space="preserve">TBA dollar roll income - implied interest income </w:t>
            </w:r>
            <w:r>
              <w:rPr>
                <w:rFonts w:ascii="Times New Roman;serif" w:hAnsi="Times New Roman;serif"/>
                <w:b w:val="false"/>
                <w:color w:val="000000"/>
                <w:sz w:val="10"/>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Economic interest income (non-GAAP measure) </w:t>
            </w:r>
            <w:r>
              <w:rPr>
                <w:rFonts w:ascii="Times New Roman;serif" w:hAnsi="Times New Roman;serif"/>
                <w:b w:val="false"/>
                <w:color w:val="000000"/>
                <w:sz w:val="10"/>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actual portfolio CPR for investment securities held during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projected CPR for the remaining life of investment securities held as of period end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30-year fixed rate mortgage rate as of period end </w:t>
            </w:r>
            <w:r>
              <w:rPr>
                <w:rFonts w:ascii="Times New Roman;serif" w:hAnsi="Times New Roman;serif"/>
                <w:b w:val="false"/>
                <w:color w:val="000000"/>
                <w:sz w:val="10"/>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10-year U.S. Treasury rate as of period end </w:t>
            </w:r>
            <w:r>
              <w:rPr>
                <w:rFonts w:ascii="Times New Roman;serif" w:hAnsi="Times New Roman;serif"/>
                <w:b w:val="false"/>
                <w:color w:val="000000"/>
                <w:sz w:val="10"/>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1.Reported in gain (loss) on derivatives instruments and other securities, net in the accompanying consolidated statements of operations.</w:t>
      </w:r>
    </w:p>
    <w:p>
      <w:pPr>
        <w:pStyle w:val="TextBody"/>
        <w:bidi w:val="0"/>
        <w:spacing w:lineRule="auto" w:line="288" w:before="0" w:after="0"/>
        <w:ind w:left="0" w:right="0" w:hanging="360"/>
        <w:jc w:val="both"/>
        <w:rPr/>
      </w:pPr>
      <w:r>
        <w:rPr>
          <w:rFonts w:ascii="Times New Roman;serif" w:hAnsi="Times New Roman;serif"/>
          <w:b w:val="false"/>
          <w:color w:val="000000"/>
          <w:sz w:val="16"/>
        </w:rPr>
        <w:t xml:space="preserve">2.Implied interest income from TBA dollar roll transactions is computed as the sum of (i) TBA dollar roll income and (ii) estimated TBA implied funding cost (see </w:t>
      </w:r>
      <w:r>
        <w:rPr>
          <w:rFonts w:ascii="Times New Roman;serif" w:hAnsi="Times New Roman;serif"/>
          <w:b w:val="false"/>
          <w:i/>
          <w:color w:val="000000"/>
          <w:sz w:val="16"/>
        </w:rPr>
        <w:t>Economic Interest Expense and Aggregate Cost of Funds</w:t>
      </w:r>
      <w:r>
        <w:rPr>
          <w:color w:val="000000"/>
        </w:rPr>
        <w:t xml:space="preserve"> </w:t>
      </w:r>
      <w:r>
        <w:rPr>
          <w:rFonts w:ascii="Times New Roman;serif" w:hAnsi="Times New Roman;serif"/>
          <w:b w:val="false"/>
          <w:color w:val="000000"/>
          <w:sz w:val="16"/>
        </w:rPr>
        <w:t>below). TBA dollar roll income represents the price differential, or "price drop," between the TBA price for current month settlement versus the TBA price for forward month settlement and is the economic equivalent to interest income on the underlying Agency securities, less an implied funding cost, over the forward settlement period. Amount is net of TBAs used for hedging purposes. Amount excludes TBA mark-to-market adjustments.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3.The combined asset yield is calculated on a weighted average basis based on our average investment and TBA balances outstanding during the period and their respective yields.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4.30-year fixed rate mortgage rates are sourced from Optimal Blue. 10-year U.S. Treasury rates are sourced from Bloomberg.</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principal elements impacting our economic interest income are the average size of our investment portfolio and the average yield on our securities. The following table includes a summary of the estimated impact of each of these elements on our economic interest income for fiscal years 2025 and 2024 compared to the prior year period (in millions):</w:t>
      </w:r>
    </w:p>
    <w:tbl>
      <w:tblPr>
        <w:tblW w:w="10205" w:type="dxa"/>
        <w:jc w:val="left"/>
        <w:tblInd w:w="0" w:type="dxa"/>
        <w:tblLayout w:type="fixed"/>
        <w:tblCellMar>
          <w:top w:w="28" w:type="dxa"/>
          <w:left w:w="28" w:type="dxa"/>
          <w:bottom w:w="28" w:type="dxa"/>
          <w:right w:w="28" w:type="dxa"/>
        </w:tblCellMar>
      </w:tblPr>
      <w:tblGrid>
        <w:gridCol w:w="1900"/>
        <w:gridCol w:w="1600"/>
        <w:gridCol w:w="1593"/>
        <w:gridCol w:w="172"/>
        <w:gridCol w:w="172"/>
        <w:gridCol w:w="172"/>
        <w:gridCol w:w="325"/>
        <w:gridCol w:w="669"/>
        <w:gridCol w:w="172"/>
        <w:gridCol w:w="172"/>
        <w:gridCol w:w="172"/>
        <w:gridCol w:w="172"/>
        <w:gridCol w:w="318"/>
        <w:gridCol w:w="669"/>
        <w:gridCol w:w="172"/>
        <w:gridCol w:w="172"/>
        <w:gridCol w:w="172"/>
        <w:gridCol w:w="172"/>
        <w:gridCol w:w="311"/>
        <w:gridCol w:w="669"/>
        <w:gridCol w:w="259"/>
      </w:tblGrid>
      <w:tr>
        <w:trPr/>
        <w:tc>
          <w:tcPr>
            <w:tcW w:w="1900"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Changes in the Principal Elements Impacting Economic Interest Income</w:t>
            </w:r>
          </w:p>
        </w:tc>
      </w:tr>
      <w:tr>
        <w:trPr/>
        <w:tc>
          <w:tcPr>
            <w:tcW w:w="5093" w:type="dxa"/>
            <w:gridSpan w:val="3"/>
            <w:tcBorders/>
            <w:vAlign w:val="center"/>
          </w:tcPr>
          <w:p>
            <w:pPr>
              <w:pStyle w:val="TableContents"/>
              <w:bidi w:val="0"/>
              <w:spacing w:before="0" w:after="283"/>
              <w:jc w:val="left"/>
              <w:rPr>
                <w:sz w:val="4"/>
                <w:szCs w:val="4"/>
              </w:rPr>
            </w:pPr>
            <w:r>
              <w:rPr>
                <w:sz w:val="4"/>
                <w:szCs w:val="4"/>
              </w:rPr>
            </w:r>
          </w:p>
        </w:tc>
        <w:tc>
          <w:tcPr>
            <w:tcW w:w="5112" w:type="dxa"/>
            <w:gridSpan w:val="18"/>
            <w:tcBorders/>
          </w:tcPr>
          <w:p>
            <w:pPr>
              <w:pStyle w:val="TableContents"/>
              <w:bidi w:val="0"/>
              <w:spacing w:before="0" w:after="283"/>
              <w:jc w:val="left"/>
              <w:rPr>
                <w:sz w:val="4"/>
                <w:szCs w:val="4"/>
              </w:rPr>
            </w:pPr>
            <w:r>
              <w:rPr>
                <w:sz w:val="4"/>
                <w:szCs w:val="4"/>
              </w:rPr>
            </w:r>
          </w:p>
        </w:tc>
      </w:tr>
      <w:tr>
        <w:trPr/>
        <w:tc>
          <w:tcPr>
            <w:tcW w:w="50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Due to Change in Average</w:t>
            </w:r>
          </w:p>
        </w:tc>
      </w:tr>
      <w:tr>
        <w:trPr/>
        <w:tc>
          <w:tcPr>
            <w:tcW w:w="50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Fiscal Year 2025 vs 2024</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Increase /</w:t>
              <w:br/>
              <w:t>(Decrease)</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Portfolio</w:t>
              <w:br/>
              <w:t>Size</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w:t>
              <w:br/>
              <w:t>Yield</w:t>
            </w:r>
          </w:p>
        </w:tc>
      </w:tr>
      <w:tr>
        <w:trPr/>
        <w:tc>
          <w:tcPr>
            <w:tcW w:w="50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 (GAAP measure)</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Estimated "catch-up" premium amortization due to change in CPR forecast</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 excluding "catch-up" premium amortization</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TBA dollar roll income - implied interest income</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Economic interest income, excluding "catch-up" amortization (non-GAAP measure)</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899 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Due to Change in Average</w:t>
            </w:r>
          </w:p>
        </w:tc>
      </w:tr>
      <w:tr>
        <w:trPr/>
        <w:tc>
          <w:tcPr>
            <w:tcW w:w="50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Fiscal Year 2024 vs 2023</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Increase /</w:t>
              <w:br/>
              <w:t>(Decrease)</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Portfolio</w:t>
              <w:br/>
              <w:t>Size</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w:t>
              <w:br/>
              <w:t>Yield</w:t>
            </w:r>
          </w:p>
        </w:tc>
      </w:tr>
      <w:tr>
        <w:trPr/>
        <w:tc>
          <w:tcPr>
            <w:tcW w:w="50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 (GAAP measure)</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908 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Estimated "catch-up" premium amortization due to change in CPR forecast </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 excluding "catch-up" premium amortization</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TBA dollar roll income - implied interest income</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Economic interest income, excluding "catch-up" amortization (non-GAAP measure)</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638 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average investment portfolio (at cost), inclusive of TBAs, increased 23% and 9% for fiscal years 2025 and 2024, respectively, primarily due to an increase in our capital base. The average yield on our investment portfolio, including TBA implied asset yields and excluding "catch-up" premium amortization, increased 20 and 59 basis points for fiscal years 2025 and 2024, respectively, largely as a result of shifting our asset portfolio from lower coupon holdings toward a greater share of higher coupon, specified pools.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Leverage</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primary measure of leverage is our tangible net book value "at risk" leverage ratio, which is measured as the sum of our repurchase agreements and other debt used to fund our investment securities and net TBA and forward settling securities position (at cost) (together referred to as "mortgage borrowings") and our net receivable/payable for unsettled investment securities, divided by our total stockholders' equity adjusted to exclude goodwill.</w:t>
      </w:r>
    </w:p>
    <w:p>
      <w:pPr>
        <w:pStyle w:val="TextBody"/>
        <w:bidi w:val="0"/>
        <w:spacing w:lineRule="auto" w:line="288" w:before="180" w:after="283"/>
        <w:ind w:left="0" w:right="0" w:firstLine="495"/>
        <w:jc w:val="both"/>
        <w:rPr/>
      </w:pPr>
      <w:r>
        <w:rPr>
          <w:rFonts w:ascii="Times New Roman;serif" w:hAnsi="Times New Roman;serif"/>
          <w:b w:val="false"/>
          <w:color w:val="000000"/>
          <w:sz w:val="20"/>
        </w:rPr>
        <w:t xml:space="preserve">We include our net TBA position in our measure of leverage because a forward contract to acquire Agency RMBS in the TBA market carries similar risks to Agency RMBS purchased in the cash market and funded with on-balance sheet liabilities. Similarly, a TBA contract for the forward sale of Agency securities has substantially the same effect as selling the underlying Agency RMBS and reducing our on-balance sheet funding commitments. (Refer to </w:t>
      </w:r>
      <w:r>
        <w:rPr>
          <w:rFonts w:ascii="Times New Roman;serif" w:hAnsi="Times New Roman;serif"/>
          <w:b w:val="false"/>
          <w:i/>
          <w:color w:val="000000"/>
          <w:sz w:val="20"/>
        </w:rPr>
        <w:t xml:space="preserve">Liquidity and Capital Resources </w:t>
      </w:r>
      <w:r>
        <w:rPr>
          <w:rFonts w:ascii="Times New Roman;serif" w:hAnsi="Times New Roman;serif"/>
          <w:b w:val="false"/>
          <w:color w:val="000000"/>
          <w:sz w:val="20"/>
        </w:rPr>
        <w:t xml:space="preserve">in this Form 10-K for further discussion of TBA securities and dollar roll transactions). Repurchase agreements used to fund short-term investments in U.S. Treasury securities ("U.S. Treasury Repo") are excluded from our measure of leverage due to the temporary and highly liquid nature of these investments. The following table presents a summary of our leverage ratios for the periods listed (dollars in millions): </w:t>
      </w:r>
    </w:p>
    <w:tbl>
      <w:tblPr>
        <w:tblW w:w="10205" w:type="dxa"/>
        <w:jc w:val="center"/>
        <w:tblInd w:w="0" w:type="dxa"/>
        <w:tblLayout w:type="fixed"/>
        <w:tblCellMar>
          <w:top w:w="28" w:type="dxa"/>
          <w:left w:w="28" w:type="dxa"/>
          <w:bottom w:w="28" w:type="dxa"/>
          <w:right w:w="28" w:type="dxa"/>
        </w:tblCellMar>
      </w:tblPr>
      <w:tblGrid>
        <w:gridCol w:w="424"/>
        <w:gridCol w:w="312"/>
        <w:gridCol w:w="251"/>
        <w:gridCol w:w="109"/>
        <w:gridCol w:w="109"/>
        <w:gridCol w:w="109"/>
        <w:gridCol w:w="199"/>
        <w:gridCol w:w="657"/>
        <w:gridCol w:w="110"/>
        <w:gridCol w:w="110"/>
        <w:gridCol w:w="110"/>
        <w:gridCol w:w="110"/>
        <w:gridCol w:w="199"/>
        <w:gridCol w:w="657"/>
        <w:gridCol w:w="110"/>
        <w:gridCol w:w="110"/>
        <w:gridCol w:w="110"/>
        <w:gridCol w:w="110"/>
        <w:gridCol w:w="199"/>
        <w:gridCol w:w="657"/>
        <w:gridCol w:w="110"/>
        <w:gridCol w:w="109"/>
        <w:gridCol w:w="109"/>
        <w:gridCol w:w="109"/>
        <w:gridCol w:w="196"/>
        <w:gridCol w:w="647"/>
        <w:gridCol w:w="109"/>
        <w:gridCol w:w="109"/>
        <w:gridCol w:w="109"/>
        <w:gridCol w:w="109"/>
        <w:gridCol w:w="196"/>
        <w:gridCol w:w="646"/>
        <w:gridCol w:w="109"/>
        <w:gridCol w:w="109"/>
        <w:gridCol w:w="109"/>
        <w:gridCol w:w="109"/>
        <w:gridCol w:w="331"/>
        <w:gridCol w:w="331"/>
        <w:gridCol w:w="332"/>
        <w:gridCol w:w="109"/>
        <w:gridCol w:w="109"/>
        <w:gridCol w:w="109"/>
        <w:gridCol w:w="325"/>
        <w:gridCol w:w="325"/>
        <w:gridCol w:w="478"/>
      </w:tblGrid>
      <w:tr>
        <w:trPr/>
        <w:tc>
          <w:tcPr>
            <w:tcW w:w="42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r>
      <w:tr>
        <w:trPr/>
        <w:tc>
          <w:tcPr>
            <w:tcW w:w="9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8"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 xml:space="preserve">Investment Securities Repurchase Agreements and Other Debt </w:t>
            </w:r>
            <w:r>
              <w:rPr>
                <w:rFonts w:ascii="Times New Roman;serif" w:hAnsi="Times New Roman;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Net TBA Position</w:t>
              <w:br/>
              <w:t xml:space="preserve">Long/(Short) </w:t>
            </w:r>
            <w:r>
              <w:rPr>
                <w:rFonts w:ascii="Times New Roman;serif" w:hAnsi="Times New Roman;serif"/>
                <w:b/>
                <w:color w:val="000000"/>
                <w:sz w:val="9"/>
              </w:rPr>
              <w:t>2</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 xml:space="preserve">Average Tangible Net Book Value </w:t>
            </w:r>
          </w:p>
          <w:p>
            <w:pPr>
              <w:pStyle w:val="TableContents"/>
              <w:bidi w:val="0"/>
              <w:spacing w:lineRule="auto" w:line="240" w:before="0" w:after="0"/>
              <w:jc w:val="center"/>
              <w:rPr/>
            </w:pPr>
            <w:r>
              <w:rPr>
                <w:rFonts w:ascii="Times New Roman;serif" w:hAnsi="Times New Roman;serif"/>
                <w:b/>
                <w:color w:val="000000"/>
                <w:sz w:val="14"/>
              </w:rPr>
              <w:t xml:space="preserve">"At Risk" Leverage during the Period </w:t>
            </w:r>
            <w:r>
              <w:rPr>
                <w:rFonts w:ascii="Times New Roman;serif" w:hAnsi="Times New Roman;serif"/>
                <w:b/>
                <w:color w:val="000000"/>
                <w:sz w:val="9"/>
              </w:rPr>
              <w:t>3</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Tangible Net Book Value "At Risk" Leverage</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as of</w:t>
            </w:r>
          </w:p>
          <w:p>
            <w:pPr>
              <w:pStyle w:val="TableContents"/>
              <w:bidi w:val="0"/>
              <w:spacing w:lineRule="auto" w:line="240" w:before="0" w:after="0"/>
              <w:jc w:val="center"/>
              <w:rPr/>
            </w:pPr>
            <w:r>
              <w:rPr>
                <w:rFonts w:ascii="Times New Roman;serif" w:hAnsi="Times New Roman;serif"/>
                <w:b/>
                <w:color w:val="000000"/>
                <w:sz w:val="14"/>
              </w:rPr>
              <w:t xml:space="preserve">Period End </w:t>
            </w:r>
            <w:r>
              <w:rPr>
                <w:rFonts w:ascii="Times New Roman;serif" w:hAnsi="Times New Roman;serif"/>
                <w:b/>
                <w:color w:val="000000"/>
                <w:sz w:val="9"/>
              </w:rPr>
              <w:t>4</w:t>
            </w:r>
          </w:p>
        </w:tc>
      </w:tr>
      <w:tr>
        <w:trPr/>
        <w:tc>
          <w:tcPr>
            <w:tcW w:w="9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Average Daily</w:t>
              <w:br/>
              <w:t>Amount</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Maximum</w:t>
              <w:br/>
              <w:t>Daily Amount</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Ending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Average Daily</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Ending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2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69,943 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74,195 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73,002 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7.2:1</w:t>
            </w:r>
          </w:p>
        </w:tc>
      </w:tr>
      <w:tr>
        <w:trPr/>
        <w:tc>
          <w:tcPr>
            <w:tcW w:w="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66,654 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70,066 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69,057 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7.6:1</w:t>
            </w:r>
          </w:p>
        </w:tc>
      </w:tr>
      <w:tr>
        <w:trPr/>
        <w:tc>
          <w:tcPr>
            <w:tcW w:w="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59,469 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66,790 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66,052 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7.6:1</w:t>
            </w:r>
          </w:p>
        </w:tc>
      </w:tr>
      <w:tr>
        <w:trPr/>
        <w:tc>
          <w:tcPr>
            <w:tcW w:w="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61,707 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63,789 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63,312 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7.5:1</w:t>
            </w:r>
          </w:p>
        </w:tc>
      </w:tr>
      <w:tr>
        <w:trPr/>
        <w:tc>
          <w:tcPr>
            <w:tcW w:w="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59,690 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63,759 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59,426 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7.2:1</w:t>
            </w:r>
          </w:p>
        </w:tc>
      </w:tr>
      <w:tr>
        <w:trPr/>
        <w:tc>
          <w:tcPr>
            <w:tcW w:w="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59,322 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64,585 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63,468 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7.2:1</w:t>
            </w:r>
          </w:p>
        </w:tc>
      </w:tr>
      <w:tr>
        <w:trPr/>
        <w:tc>
          <w:tcPr>
            <w:tcW w:w="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50,784 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55,507 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54,682 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7.4:1</w:t>
            </w:r>
          </w:p>
        </w:tc>
      </w:tr>
      <w:tr>
        <w:trPr/>
        <w:tc>
          <w:tcPr>
            <w:tcW w:w="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49,894 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48,216 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7.1:1</w:t>
            </w:r>
          </w:p>
        </w:tc>
      </w:tr>
      <w:tr>
        <w:trPr/>
        <w:tc>
          <w:tcPr>
            <w:tcW w:w="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47,548 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52,643 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48,959 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7.0:1</w:t>
            </w:r>
          </w:p>
        </w:tc>
      </w:tr>
      <w:tr>
        <w:trPr/>
        <w:tc>
          <w:tcPr>
            <w:tcW w:w="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47,073 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52,888 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51,931 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7.9:1</w:t>
            </w:r>
          </w:p>
        </w:tc>
      </w:tr>
      <w:tr>
        <w:trPr/>
        <w:tc>
          <w:tcPr>
            <w:tcW w:w="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41,546 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42,408 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40,962 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7.2:1</w:t>
            </w:r>
          </w:p>
        </w:tc>
      </w:tr>
      <w:tr>
        <w:trPr/>
        <w:tc>
          <w:tcPr>
            <w:tcW w:w="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39,824 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42,919 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42,022 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7.2:1</w:t>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1.Other debt includes debt of consolidated VIEs. Amounts exclude U.S. Treasury Repo agreements.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2.Daily average and ending net TBA position outstanding measured at cost. Includes forward settling non-Agency securities.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3.Average tangible net book value "at risk" leverage during the period represents the sum of our daily weighted average repurchase agreements and other debt used to fund acquisitions of investment securities and net TBA and forward settling securities position outstanding, divided by the sum of our average month-ended stockholders' equity, adjusted to exclude goodwill.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4.Tangible net book value "at risk" leverage as of period end represents the sum of our repurchase agreements and other debt used to fund acquisitions of investments securities, net TBA and forward settling securities position (at cost), and net receivable/payable for unsettled investment securities outstanding as of period end, divided by total stockholders' equity, adjusted to exclude goodwill as of period end.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pPr>
      <w:r>
        <w:rPr>
          <w:rFonts w:ascii="Times New Roman;serif" w:hAnsi="Times New Roman;serif"/>
          <w:b/>
          <w:i/>
          <w:color w:val="000000"/>
          <w:sz w:val="20"/>
        </w:rPr>
        <w:t>Economic Interest Expense and Aggregate Cost of Funds</w:t>
      </w:r>
      <w:r>
        <w:rPr>
          <w:color w:val="000000"/>
        </w:rPr>
        <w:t>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economic interest expense and aggregate cost of funds (non-GAAP measures) for fiscal years 2025, 2024 and 2023 (dollars in millions), which includes the combination of interest expense on repurchase agreements and other debt used to fund acquisitions of investment securities (GAAP measure), implied financing cost of our TBA securities and interest rate swap periodic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793"/>
        <w:gridCol w:w="644"/>
        <w:gridCol w:w="646"/>
        <w:gridCol w:w="109"/>
        <w:gridCol w:w="109"/>
        <w:gridCol w:w="109"/>
        <w:gridCol w:w="109"/>
        <w:gridCol w:w="109"/>
        <w:gridCol w:w="155"/>
        <w:gridCol w:w="155"/>
        <w:gridCol w:w="156"/>
        <w:gridCol w:w="109"/>
        <w:gridCol w:w="109"/>
        <w:gridCol w:w="109"/>
        <w:gridCol w:w="196"/>
        <w:gridCol w:w="556"/>
        <w:gridCol w:w="109"/>
        <w:gridCol w:w="109"/>
        <w:gridCol w:w="109"/>
        <w:gridCol w:w="109"/>
        <w:gridCol w:w="263"/>
        <w:gridCol w:w="229"/>
        <w:gridCol w:w="344"/>
        <w:gridCol w:w="109"/>
        <w:gridCol w:w="109"/>
        <w:gridCol w:w="109"/>
        <w:gridCol w:w="196"/>
        <w:gridCol w:w="556"/>
        <w:gridCol w:w="109"/>
        <w:gridCol w:w="109"/>
        <w:gridCol w:w="109"/>
        <w:gridCol w:w="109"/>
        <w:gridCol w:w="263"/>
        <w:gridCol w:w="229"/>
        <w:gridCol w:w="344"/>
        <w:gridCol w:w="109"/>
        <w:gridCol w:w="109"/>
        <w:gridCol w:w="109"/>
        <w:gridCol w:w="196"/>
        <w:gridCol w:w="556"/>
        <w:gridCol w:w="109"/>
        <w:gridCol w:w="109"/>
        <w:gridCol w:w="109"/>
        <w:gridCol w:w="109"/>
        <w:gridCol w:w="252"/>
        <w:gridCol w:w="240"/>
        <w:gridCol w:w="402"/>
      </w:tblGrid>
      <w:tr>
        <w:trPr/>
        <w:tc>
          <w:tcPr>
            <w:tcW w:w="79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2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3" w:type="dxa"/>
            <w:gridSpan w:val="2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Fiscal Year </w:t>
            </w:r>
          </w:p>
        </w:tc>
        <w:tc>
          <w:tcPr>
            <w:tcW w:w="3572" w:type="dxa"/>
            <w:gridSpan w:val="18"/>
            <w:tcBorders/>
          </w:tcPr>
          <w:p>
            <w:pPr>
              <w:pStyle w:val="TableContents"/>
              <w:bidi w:val="0"/>
              <w:spacing w:before="0" w:after="283"/>
              <w:jc w:val="left"/>
              <w:rPr>
                <w:sz w:val="4"/>
                <w:szCs w:val="4"/>
              </w:rPr>
            </w:pPr>
            <w:r>
              <w:rPr>
                <w:sz w:val="4"/>
                <w:szCs w:val="4"/>
              </w:rPr>
            </w:r>
          </w:p>
        </w:tc>
      </w:tr>
      <w:tr>
        <w:trPr/>
        <w:tc>
          <w:tcPr>
            <w:tcW w:w="2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2409" w:type="dxa"/>
            <w:gridSpan w:val="12"/>
            <w:tcBorders/>
          </w:tcPr>
          <w:p>
            <w:pPr>
              <w:pStyle w:val="TableContents"/>
              <w:bidi w:val="0"/>
              <w:spacing w:before="0" w:after="283"/>
              <w:jc w:val="left"/>
              <w:rPr>
                <w:sz w:val="4"/>
                <w:szCs w:val="4"/>
              </w:rPr>
            </w:pPr>
            <w:r>
              <w:rPr>
                <w:sz w:val="4"/>
                <w:szCs w:val="4"/>
              </w:rPr>
            </w:r>
          </w:p>
        </w:tc>
      </w:tr>
      <w:tr>
        <w:trPr/>
        <w:tc>
          <w:tcPr>
            <w:tcW w:w="208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Economic Interest Expense and Aggregate Cost of Funds </w:t>
            </w:r>
            <w:r>
              <w:rPr>
                <w:rFonts w:ascii="Times New Roman;serif" w:hAnsi="Times New Roman;serif"/>
                <w:b/>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of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of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of Funds</w:t>
            </w:r>
          </w:p>
        </w:tc>
      </w:tr>
      <w:tr>
        <w:trPr/>
        <w:tc>
          <w:tcPr>
            <w:tcW w:w="20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securities repurchase agreement and other debt - interest expense (GAAP measure)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4.36 </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5.27 </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8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 xml:space="preserve">TBA dollar roll income - implied interest expense </w:t>
            </w:r>
            <w:r>
              <w:rPr>
                <w:rFonts w:ascii="Times New Roman;serif" w:hAnsi="Times New Roman;serif"/>
                <w:b w:val="false"/>
                <w:color w:val="000000"/>
                <w:sz w:val="10"/>
              </w:rPr>
              <w:t>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4.22 </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5.07 </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Economic interest expense - before interest rate swap periodic income, net </w:t>
            </w:r>
            <w:r>
              <w:rPr>
                <w:rFonts w:ascii="Times New Roman;serif" w:hAnsi="Times New Roman;serif"/>
                <w:b w:val="false"/>
                <w:color w:val="000000"/>
                <w:sz w:val="10"/>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4.34 </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5.25 </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Interest rate swap periodic income, net </w:t>
            </w:r>
            <w:r>
              <w:rPr>
                <w:rFonts w:ascii="Times New Roman;serif" w:hAnsi="Times New Roman;serif"/>
                <w:b w:val="false"/>
                <w:color w:val="000000"/>
                <w:sz w:val="10"/>
              </w:rPr>
              <w:t>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economic interest expense (non-GAAP measure)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2.98 </w:t>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2.28 </w:t>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1.Amounts exclude interest rate swap termination fees and variation margin settlements paid or received, forward starting swaps and the impact of other supplemental hedges, such as swaptions and U.S. Treasury positions.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2.Reported in gain (loss) on derivative instruments and other securities, net in our consolidated statements of comprehensive income.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3.The implied funding cost (benefit) of TBA dollar roll transactions is determined using the price differential, or "price drop," between the TBA price for current month settlement versus the TBA price for forward month settlement and market based assumptions regarding the "cheapest-to-deliver" collateral that can be delivered to satisfy the TBA contract, such as the anticipated collateral's weighted average coupon, weighted average maturity and projected 1-month CPR. The average implied funding cost (benefit) for all TBA transactions is weighted based on our daily average TBA balance outstanding for the period.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4.The combined cost of funds for total mortgage borrowings outstanding, before interest rate swap periodic income, is calculated on a weighted average basis based on average investment securities repurchase agreements, other debt and TBA securities outstanding during the period and their respective cost of funds.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5.Interest rate swap periodic income is measured as a percent of average mortgage borrowings outstanding for the period. </w:t>
      </w:r>
    </w:p>
    <w:p>
      <w:pPr>
        <w:pStyle w:val="TextBody"/>
        <w:bidi w:val="0"/>
        <w:spacing w:before="0" w:after="0"/>
        <w:ind w:left="0" w:right="0" w:firstLine="495"/>
        <w:jc w:val="both"/>
        <w:rPr/>
      </w:pPr>
      <w:r>
        <w:rPr/>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principal elements impacting our economic interest expense are (i) the size of our average mortgage borrowings and interest rate swap portfolio outstanding during the period, (ii) the average interest rate on our mortgage borrowings and (iii) the average net interest rate paid/received on our interest rate swaps. The following table includes a summary of the estimated impact of these elements on our economic interest expense for fiscal years 2025 and 2024 compared to the prior year period (in millions): </w:t>
      </w:r>
    </w:p>
    <w:tbl>
      <w:tblPr>
        <w:tblW w:w="10205" w:type="dxa"/>
        <w:jc w:val="center"/>
        <w:tblInd w:w="0" w:type="dxa"/>
        <w:tblLayout w:type="fixed"/>
        <w:tblCellMar>
          <w:top w:w="28" w:type="dxa"/>
          <w:left w:w="28" w:type="dxa"/>
          <w:bottom w:w="28" w:type="dxa"/>
          <w:right w:w="28" w:type="dxa"/>
        </w:tblCellMar>
      </w:tblPr>
      <w:tblGrid>
        <w:gridCol w:w="1490"/>
        <w:gridCol w:w="1213"/>
        <w:gridCol w:w="1219"/>
        <w:gridCol w:w="148"/>
        <w:gridCol w:w="148"/>
        <w:gridCol w:w="148"/>
        <w:gridCol w:w="471"/>
        <w:gridCol w:w="967"/>
        <w:gridCol w:w="244"/>
        <w:gridCol w:w="148"/>
        <w:gridCol w:w="148"/>
        <w:gridCol w:w="148"/>
        <w:gridCol w:w="468"/>
        <w:gridCol w:w="956"/>
        <w:gridCol w:w="242"/>
        <w:gridCol w:w="148"/>
        <w:gridCol w:w="148"/>
        <w:gridCol w:w="148"/>
        <w:gridCol w:w="394"/>
        <w:gridCol w:w="911"/>
        <w:gridCol w:w="298"/>
      </w:tblGrid>
      <w:tr>
        <w:trPr/>
        <w:tc>
          <w:tcPr>
            <w:tcW w:w="1490"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Changes in the Principal Elements of Economic Interest Expense</w:t>
            </w:r>
          </w:p>
        </w:tc>
      </w:tr>
      <w:tr>
        <w:trPr/>
        <w:tc>
          <w:tcPr>
            <w:tcW w:w="3922" w:type="dxa"/>
            <w:gridSpan w:val="3"/>
            <w:tcBorders/>
            <w:vAlign w:val="center"/>
          </w:tcPr>
          <w:p>
            <w:pPr>
              <w:pStyle w:val="TableContents"/>
              <w:bidi w:val="0"/>
              <w:spacing w:before="0" w:after="283"/>
              <w:jc w:val="left"/>
              <w:rPr>
                <w:sz w:val="4"/>
                <w:szCs w:val="4"/>
              </w:rPr>
            </w:pPr>
            <w:r>
              <w:rPr>
                <w:sz w:val="4"/>
                <w:szCs w:val="4"/>
              </w:rPr>
            </w:r>
          </w:p>
        </w:tc>
        <w:tc>
          <w:tcPr>
            <w:tcW w:w="6283" w:type="dxa"/>
            <w:gridSpan w:val="18"/>
            <w:tcBorders/>
          </w:tcPr>
          <w:p>
            <w:pPr>
              <w:pStyle w:val="TableContents"/>
              <w:bidi w:val="0"/>
              <w:spacing w:before="0" w:after="283"/>
              <w:jc w:val="left"/>
              <w:rPr>
                <w:sz w:val="4"/>
                <w:szCs w:val="4"/>
              </w:rPr>
            </w:pPr>
            <w:r>
              <w:rPr>
                <w:sz w:val="4"/>
                <w:szCs w:val="4"/>
              </w:rPr>
            </w:r>
          </w:p>
        </w:tc>
      </w:tr>
      <w:tr>
        <w:trPr/>
        <w:tc>
          <w:tcPr>
            <w:tcW w:w="39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Due to Change in Average</w:t>
            </w:r>
          </w:p>
        </w:tc>
      </w:tr>
      <w:tr>
        <w:trPr/>
        <w:tc>
          <w:tcPr>
            <w:tcW w:w="39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Fiscal Year 2025 vs 2024</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Increase / (Decrease)</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Borrowing / Swap Balance</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Borrowing / Swap Rate </w:t>
            </w:r>
          </w:p>
        </w:tc>
      </w:tr>
      <w:tr>
        <w:trPr/>
        <w:tc>
          <w:tcPr>
            <w:tcW w:w="39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securities repurchase agreement and other debt interest expense</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TBA dollar roll income - implied interest expense</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swap periodic income/cost</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778 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1,011 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change in economic interest expense</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881 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305 </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Due to Change in Average</w:t>
            </w:r>
          </w:p>
        </w:tc>
      </w:tr>
      <w:tr>
        <w:trPr/>
        <w:tc>
          <w:tcPr>
            <w:tcW w:w="39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Fiscal Year 2024 vs 2023</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Increase / (Decrease)</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Borrowing / Swap Balance</w:t>
            </w:r>
          </w:p>
        </w:tc>
        <w:tc>
          <w:tcPr>
            <w:tcW w:w="4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Borrowing / Swap Rate </w:t>
            </w:r>
          </w:p>
        </w:tc>
      </w:tr>
      <w:tr>
        <w:trPr/>
        <w:tc>
          <w:tcPr>
            <w:tcW w:w="39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securities repurchase agreement and other debt interest expense</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TBA dollar roll income - implied interest benefit/expense</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swap periodic income/cost</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change in economic interest benefit/expense</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321 </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Our average mortgage borrowings, inclusive of TBAs, increased 25% and 11% for fiscal years 2025 and 2024, respectively, consistent with the increase to our average investment portfolio. The average interest rate on our mortgage borrowings, excluding the impact of interest rate swap periodic income, decreased 91 and increased 18 basis points for fiscal years 2025 and 2024, respectively, due to changes in short-term interest rates. </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Interest rate swap periodic income declined for fiscal years 2025 and 2024, primarily due to higher pay rates on our pay-fixed swaps, largely reflecting the maturity of lower-cost legacy swaps, and lower receive rates. The ratio of interest rate swaps outstanding to mortgage borrowings also declined, reflecting a reduction in the Company's total hedge ratio and shifts in hedge composition. The following table summarizes our interest rate swaps outstanding during fiscal years 2025, 2024 and 2023 (dollars in millions). Amounts exclude forward starting swaps not yet in effect.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994"/>
        <w:gridCol w:w="1746"/>
        <w:gridCol w:w="1752"/>
        <w:gridCol w:w="109"/>
        <w:gridCol w:w="109"/>
        <w:gridCol w:w="109"/>
        <w:gridCol w:w="109"/>
        <w:gridCol w:w="109"/>
        <w:gridCol w:w="109"/>
        <w:gridCol w:w="109"/>
        <w:gridCol w:w="196"/>
        <w:gridCol w:w="646"/>
        <w:gridCol w:w="241"/>
        <w:gridCol w:w="109"/>
        <w:gridCol w:w="109"/>
        <w:gridCol w:w="109"/>
        <w:gridCol w:w="196"/>
        <w:gridCol w:w="646"/>
        <w:gridCol w:w="241"/>
        <w:gridCol w:w="109"/>
        <w:gridCol w:w="109"/>
        <w:gridCol w:w="109"/>
        <w:gridCol w:w="196"/>
        <w:gridCol w:w="646"/>
        <w:gridCol w:w="288"/>
      </w:tblGrid>
      <w:tr>
        <w:trPr/>
        <w:tc>
          <w:tcPr>
            <w:tcW w:w="1994"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5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9" w:type="dxa"/>
            <w:gridSpan w:val="1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Fiscal Year </w:t>
            </w:r>
          </w:p>
        </w:tc>
        <w:tc>
          <w:tcPr>
            <w:tcW w:w="1457" w:type="dxa"/>
            <w:gridSpan w:val="6"/>
            <w:tcBorders/>
          </w:tcPr>
          <w:p>
            <w:pPr>
              <w:pStyle w:val="TableContents"/>
              <w:bidi w:val="0"/>
              <w:spacing w:before="0" w:after="283"/>
              <w:jc w:val="left"/>
              <w:rPr>
                <w:sz w:val="4"/>
                <w:szCs w:val="4"/>
              </w:rPr>
            </w:pPr>
            <w:r>
              <w:rPr>
                <w:sz w:val="4"/>
                <w:szCs w:val="4"/>
              </w:rPr>
            </w:r>
          </w:p>
        </w:tc>
      </w:tr>
      <w:tr>
        <w:trPr/>
        <w:tc>
          <w:tcPr>
            <w:tcW w:w="54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Average Ratio of Interest Rate Swaps (Excluding Forward Starting Swaps) to Mortgage Borrowings Outstanding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4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investment securities repo and other debt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64,472 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54,658 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44,027 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net TBA dollar roll position outstanding - at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10,853 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Average mortgage borrowings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75,325 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60,047 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54,027 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notional amount of interest rate swaps outstanding (excluding forward starting swaps),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48,921 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43,351 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47,012 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Ratio of average interest rate swaps to mortgage borrowings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5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interest rate swap pay-fixed rate (excluding forward starting swaps)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0.55 </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549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Average interest rate swap receive-floating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549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Average interest rate swap net pay/(receive)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w:t>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For fiscal years 2025, 2024 and 2023, we had an average forward starting net pay-fixed rate swap balance of $469 million, $672 million and $43 million, respectively. Forward starting interest rate swaps do not impact our economic interest expense and aggregate cost of funds until they commence accruing net interest settlements on their forward start dates.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Net Interest Spread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our net interest spread (including the impact of TBA dollar roll income, interest rate swaps and excluding "catch-up" premium amortization) for fiscal years 2025, 2024 and 2023:</w:t>
      </w:r>
    </w:p>
    <w:tbl>
      <w:tblPr>
        <w:tblW w:w="7719" w:type="dxa"/>
        <w:jc w:val="center"/>
        <w:tblInd w:w="0" w:type="dxa"/>
        <w:tblLayout w:type="fixed"/>
        <w:tblCellMar>
          <w:top w:w="28" w:type="dxa"/>
          <w:left w:w="28" w:type="dxa"/>
          <w:bottom w:w="28" w:type="dxa"/>
          <w:right w:w="28" w:type="dxa"/>
        </w:tblCellMar>
      </w:tblPr>
      <w:tblGrid>
        <w:gridCol w:w="1413"/>
        <w:gridCol w:w="1239"/>
        <w:gridCol w:w="1247"/>
        <w:gridCol w:w="109"/>
        <w:gridCol w:w="109"/>
        <w:gridCol w:w="109"/>
        <w:gridCol w:w="109"/>
        <w:gridCol w:w="109"/>
        <w:gridCol w:w="109"/>
        <w:gridCol w:w="109"/>
        <w:gridCol w:w="269"/>
        <w:gridCol w:w="271"/>
        <w:gridCol w:w="246"/>
        <w:gridCol w:w="109"/>
        <w:gridCol w:w="109"/>
        <w:gridCol w:w="109"/>
        <w:gridCol w:w="269"/>
        <w:gridCol w:w="271"/>
        <w:gridCol w:w="246"/>
        <w:gridCol w:w="109"/>
        <w:gridCol w:w="109"/>
        <w:gridCol w:w="109"/>
        <w:gridCol w:w="269"/>
        <w:gridCol w:w="271"/>
        <w:gridCol w:w="291"/>
      </w:tblGrid>
      <w:tr>
        <w:trPr/>
        <w:tc>
          <w:tcPr>
            <w:tcW w:w="1413"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1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Fiscal Year </w:t>
            </w:r>
          </w:p>
        </w:tc>
        <w:tc>
          <w:tcPr>
            <w:tcW w:w="1158" w:type="dxa"/>
            <w:gridSpan w:val="6"/>
            <w:tcBorders/>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Investment and TBA Securities - Net Interest Spread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asset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aggregate cost of funds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net interest spread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3.06 </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Net Spread and Dollar Roll Income</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net spread and dollar roll income available to common stockholders (non-GAAP measure) from comprehensive income (loss) available (attributable) to common stockholders (the most comparable GAAP financial measure) for fiscal years 2025, 2024 and 2023 (dollars in millions):</w:t>
      </w:r>
    </w:p>
    <w:tbl>
      <w:tblPr>
        <w:tblW w:w="10205" w:type="dxa"/>
        <w:jc w:val="center"/>
        <w:tblInd w:w="0" w:type="dxa"/>
        <w:tblLayout w:type="fixed"/>
        <w:tblCellMar>
          <w:top w:w="28" w:type="dxa"/>
          <w:left w:w="28" w:type="dxa"/>
          <w:bottom w:w="28" w:type="dxa"/>
          <w:right w:w="28" w:type="dxa"/>
        </w:tblCellMar>
      </w:tblPr>
      <w:tblGrid>
        <w:gridCol w:w="2312"/>
        <w:gridCol w:w="2011"/>
        <w:gridCol w:w="2016"/>
        <w:gridCol w:w="109"/>
        <w:gridCol w:w="109"/>
        <w:gridCol w:w="109"/>
        <w:gridCol w:w="109"/>
        <w:gridCol w:w="109"/>
        <w:gridCol w:w="109"/>
        <w:gridCol w:w="109"/>
        <w:gridCol w:w="196"/>
        <w:gridCol w:w="556"/>
        <w:gridCol w:w="109"/>
        <w:gridCol w:w="109"/>
        <w:gridCol w:w="109"/>
        <w:gridCol w:w="109"/>
        <w:gridCol w:w="196"/>
        <w:gridCol w:w="466"/>
        <w:gridCol w:w="109"/>
        <w:gridCol w:w="109"/>
        <w:gridCol w:w="109"/>
        <w:gridCol w:w="109"/>
        <w:gridCol w:w="196"/>
        <w:gridCol w:w="466"/>
        <w:gridCol w:w="155"/>
      </w:tblGrid>
      <w:tr>
        <w:trPr/>
        <w:tc>
          <w:tcPr>
            <w:tcW w:w="2312"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1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Fiscal Year </w:t>
            </w:r>
          </w:p>
        </w:tc>
        <w:tc>
          <w:tcPr>
            <w:tcW w:w="1144" w:type="dxa"/>
            <w:gridSpan w:val="6"/>
            <w:tcBorders/>
          </w:tcPr>
          <w:p>
            <w:pPr>
              <w:pStyle w:val="TableContents"/>
              <w:bidi w:val="0"/>
              <w:spacing w:before="0" w:after="283"/>
              <w:jc w:val="left"/>
              <w:rPr>
                <w:sz w:val="4"/>
                <w:szCs w:val="4"/>
              </w:rPr>
            </w:pPr>
            <w:r>
              <w:rPr>
                <w:sz w:val="4"/>
                <w:szCs w:val="4"/>
              </w:rPr>
            </w:r>
          </w:p>
        </w:tc>
      </w:tr>
      <w:tr>
        <w:trPr/>
        <w:tc>
          <w:tcPr>
            <w:tcW w:w="6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Comprehensive income available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Adjustments to exclude realized and unrealized (gains) losses reported through 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Realized loss on sale of investment securities,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(gain) loss on investment securities measured at fair value through net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(Gain) loss on derivative instruments and other securities,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r>
      <w:tr>
        <w:trPr/>
        <w:tc>
          <w:tcPr>
            <w:tcW w:w="6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Adjustment to exclude unrealized (gain) loss reported through 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(gain) loss on available-for-sale securities measure at fair value through other comprehensive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Other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Estimated "catch-up" premium amortization cost (benefit) due to change in CPR forecast </w:t>
            </w:r>
            <w:r>
              <w:rPr>
                <w:rFonts w:ascii="Times New Roman;serif" w:hAnsi="Times New Roman;serif"/>
                <w:b w:val="false"/>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TBA dollar roll income, net </w:t>
            </w:r>
            <w:r>
              <w:rPr>
                <w:rFonts w:ascii="Times New Roman;serif" w:hAnsi="Times New Roman;serif"/>
                <w:b w:val="false"/>
                <w:color w:val="000000"/>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Interest rate swap periodic income, net </w:t>
            </w:r>
            <w:r>
              <w:rPr>
                <w:rFonts w:ascii="Times New Roman;serif" w:hAnsi="Times New Roman;serif"/>
                <w:b w:val="false"/>
                <w:color w:val="000000"/>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Other interest income (expense), net </w:t>
            </w:r>
            <w:r>
              <w:rPr>
                <w:rFonts w:ascii="Times New Roman;serif" w:hAnsi="Times New Roman;serif"/>
                <w:b w:val="false"/>
                <w:color w:val="000000"/>
                <w:sz w:val="10"/>
              </w:rPr>
              <w:t>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Net spread and dollar roll income available to common stockholders (non-GAAP measure)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number of common shares outstanding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number of common shares outstanding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1,023.7 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786.0 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619.6 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spread and dollar roll income per common share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spread and dollar roll income per common share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1.Reported in interest income in our consolidated statements of comprehensive income.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2.Reported in gain (loss) on derivative instruments and other securities, net in our consolidated statements of comprehensive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3.Other interest income (expense), net includes interest income on cash and cash equivalents; price alignment interest income (expense) ("PAI") on interest rate swap margin deposits posted by or (to) the Company; and other miscellaneous interest income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Gain (Loss) on Investment Securities, Net </w:t>
      </w:r>
    </w:p>
    <w:p>
      <w:pPr>
        <w:pStyle w:val="TextBody"/>
        <w:bidi w:val="0"/>
        <w:spacing w:lineRule="auto" w:line="288" w:before="180" w:after="60"/>
        <w:ind w:left="0" w:right="0" w:firstLine="540"/>
        <w:jc w:val="both"/>
        <w:rPr/>
      </w:pPr>
      <w:r>
        <w:rPr>
          <w:rFonts w:ascii="Times New Roman;serif" w:hAnsi="Times New Roman;serif"/>
          <w:b w:val="false"/>
          <w:color w:val="000000"/>
          <w:sz w:val="20"/>
        </w:rPr>
        <w:t>The following table is a summary of our net gain (loss) on investment securities for fiscal years 2025, 2024 and 2023 (in millions):</w:t>
      </w:r>
      <w:r>
        <w:rPr>
          <w:color w:val="000000"/>
        </w:rPr>
        <w:t> </w:t>
      </w:r>
    </w:p>
    <w:tbl>
      <w:tblPr>
        <w:tblW w:w="10205" w:type="dxa"/>
        <w:jc w:val="center"/>
        <w:tblInd w:w="0" w:type="dxa"/>
        <w:tblLayout w:type="fixed"/>
        <w:tblCellMar>
          <w:top w:w="28" w:type="dxa"/>
          <w:left w:w="28" w:type="dxa"/>
          <w:bottom w:w="28" w:type="dxa"/>
          <w:right w:w="28" w:type="dxa"/>
        </w:tblCellMar>
      </w:tblPr>
      <w:tblGrid>
        <w:gridCol w:w="2233"/>
        <w:gridCol w:w="1897"/>
        <w:gridCol w:w="1911"/>
        <w:gridCol w:w="109"/>
        <w:gridCol w:w="109"/>
        <w:gridCol w:w="109"/>
        <w:gridCol w:w="109"/>
        <w:gridCol w:w="109"/>
        <w:gridCol w:w="109"/>
        <w:gridCol w:w="109"/>
        <w:gridCol w:w="196"/>
        <w:gridCol w:w="556"/>
        <w:gridCol w:w="109"/>
        <w:gridCol w:w="109"/>
        <w:gridCol w:w="109"/>
        <w:gridCol w:w="109"/>
        <w:gridCol w:w="196"/>
        <w:gridCol w:w="614"/>
        <w:gridCol w:w="109"/>
        <w:gridCol w:w="109"/>
        <w:gridCol w:w="109"/>
        <w:gridCol w:w="109"/>
        <w:gridCol w:w="196"/>
        <w:gridCol w:w="614"/>
        <w:gridCol w:w="157"/>
      </w:tblGrid>
      <w:tr>
        <w:trPr/>
        <w:tc>
          <w:tcPr>
            <w:tcW w:w="2233"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1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Fiscal Year </w:t>
            </w:r>
          </w:p>
        </w:tc>
        <w:tc>
          <w:tcPr>
            <w:tcW w:w="1294" w:type="dxa"/>
            <w:gridSpan w:val="6"/>
            <w:tcBorders/>
          </w:tcPr>
          <w:p>
            <w:pPr>
              <w:pStyle w:val="TableContents"/>
              <w:bidi w:val="0"/>
              <w:spacing w:before="0" w:after="283"/>
              <w:jc w:val="left"/>
              <w:rPr>
                <w:sz w:val="4"/>
                <w:szCs w:val="4"/>
              </w:rPr>
            </w:pPr>
            <w:r>
              <w:rPr>
                <w:sz w:val="4"/>
                <w:szCs w:val="4"/>
              </w:rPr>
            </w:r>
          </w:p>
        </w:tc>
      </w:tr>
      <w:tr>
        <w:trPr/>
        <w:tc>
          <w:tcPr>
            <w:tcW w:w="604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Gain (Loss) on Investment Securities, Net </w:t>
            </w:r>
            <w:r>
              <w:rPr>
                <w:rFonts w:ascii="Times New Roman;serif" w:hAnsi="Times New Roman;serif"/>
                <w:b/>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sale of investment securities,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(1,567)</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Unrealized gain (loss) on investment securities measured at fair value through net income, net </w:t>
            </w:r>
            <w:r>
              <w:rPr>
                <w:rFonts w:ascii="Times New Roman;serif" w:hAnsi="Times New Roman;serif"/>
                <w:b w:val="false"/>
                <w:color w:val="000000"/>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gain (loss) on investment securities measured at fair value through other comprehensive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Total gain (loss) on investment securities,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1.Amounts exclude gain (loss) on TBA securities, which is reported in gain (loss) on derivative instruments and other securities, net in our Consolidated Statements of Comprehensive Income.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2.Investment securities acquired after fiscal year 2016 are measured at fair value through net income (see Note 2 of our Consolidated Financial Statements in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Gain (Loss) on Derivative Instruments and Other Securities, Net</w:t>
      </w:r>
    </w:p>
    <w:p>
      <w:pPr>
        <w:pStyle w:val="TextBody"/>
        <w:bidi w:val="0"/>
        <w:spacing w:lineRule="auto" w:line="288" w:before="18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is a summary of our gain (loss) on derivative instruments and other securities, net for fiscal years 2025, 2024 and 2023 (in millions):</w:t>
      </w:r>
    </w:p>
    <w:tbl>
      <w:tblPr>
        <w:tblW w:w="8722" w:type="dxa"/>
        <w:jc w:val="center"/>
        <w:tblInd w:w="0" w:type="dxa"/>
        <w:tblLayout w:type="fixed"/>
        <w:tblCellMar>
          <w:top w:w="28" w:type="dxa"/>
          <w:left w:w="28" w:type="dxa"/>
          <w:bottom w:w="28" w:type="dxa"/>
          <w:right w:w="28" w:type="dxa"/>
        </w:tblCellMar>
      </w:tblPr>
      <w:tblGrid>
        <w:gridCol w:w="1709"/>
        <w:gridCol w:w="1501"/>
        <w:gridCol w:w="1514"/>
        <w:gridCol w:w="109"/>
        <w:gridCol w:w="109"/>
        <w:gridCol w:w="109"/>
        <w:gridCol w:w="109"/>
        <w:gridCol w:w="109"/>
        <w:gridCol w:w="109"/>
        <w:gridCol w:w="109"/>
        <w:gridCol w:w="196"/>
        <w:gridCol w:w="631"/>
        <w:gridCol w:w="109"/>
        <w:gridCol w:w="109"/>
        <w:gridCol w:w="109"/>
        <w:gridCol w:w="109"/>
        <w:gridCol w:w="196"/>
        <w:gridCol w:w="556"/>
        <w:gridCol w:w="109"/>
        <w:gridCol w:w="109"/>
        <w:gridCol w:w="109"/>
        <w:gridCol w:w="109"/>
        <w:gridCol w:w="200"/>
        <w:gridCol w:w="430"/>
        <w:gridCol w:w="154"/>
      </w:tblGrid>
      <w:tr>
        <w:trPr/>
        <w:tc>
          <w:tcPr>
            <w:tcW w:w="17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1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Fiscal Year </w:t>
            </w:r>
          </w:p>
        </w:tc>
        <w:tc>
          <w:tcPr>
            <w:tcW w:w="1111" w:type="dxa"/>
            <w:gridSpan w:val="6"/>
            <w:tcBorders/>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TBA securities, dollar roll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TBA securities, mark-to-market gain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swaps, periodic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swaps, mark-to-market gain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Credit default swaps - buy protection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Payer swaptions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Receiver swaptions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Treasury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Treasury futures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SOFR futures contracts - long position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interest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gain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gain (loss) on derivative instruments and other securities,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For further details regarding our use of derivative instruments and related activity refer to Notes 2 and 5 of our Consolidated Financial Statements in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80" w:after="283"/>
        <w:ind w:left="0" w:right="0" w:firstLine="495"/>
        <w:jc w:val="both"/>
        <w:rPr/>
      </w:pPr>
      <w:r>
        <w:rPr>
          <w:rFonts w:ascii="Times New Roman;serif" w:hAnsi="Times New Roman;serif"/>
          <w:b w:val="false"/>
          <w:color w:val="000000"/>
          <w:sz w:val="20"/>
        </w:rPr>
        <w:t xml:space="preserve">Our business is dependent on our ability to maintain adequate levels of liquidity and capital resources to fund day-to-day operations, fulfill collateral requirements under our funding and derivative agreements, and to satisfy our dividend distribution requirement of at least 90% of our taxable income to maintain our qualification as a REIT. Our primary sources of liquidity are unencumbered cash and securities, borrowings available under repurchase agreements, TBA dollar roll financing and monthly receipts of principal and interest payments. We may also conduct asset sales, change our asset or funding mix, issue equity or undertake other capital enhancing actions to maintain adequate levels of liquidity and capital resources. There are various risks and uncertainties that can impact our liquidity, such as those described in Item 1A.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 xml:space="preserve">and Item 7A. </w:t>
      </w:r>
      <w:r>
        <w:rPr>
          <w:rFonts w:ascii="Times New Roman;serif" w:hAnsi="Times New Roman;serif"/>
          <w:b w:val="false"/>
          <w:i/>
          <w:color w:val="000000"/>
          <w:sz w:val="20"/>
        </w:rPr>
        <w:t>Quantitative and Qualitative Disclosures of Market Risks</w:t>
      </w:r>
      <w:r>
        <w:rPr>
          <w:color w:val="000000"/>
        </w:rPr>
        <w:t xml:space="preserve"> </w:t>
      </w:r>
      <w:r>
        <w:rPr>
          <w:rFonts w:ascii="Times New Roman;serif" w:hAnsi="Times New Roman;serif"/>
          <w:b w:val="false"/>
          <w:color w:val="000000"/>
          <w:sz w:val="20"/>
        </w:rPr>
        <w:t>in this Form 10-K. In assessing our liquidity, we consider a number of factors, including our current leverage, collateral levels, access to capital markets, overall market conditions, and the sensitivity of our tangible net book value over a range of scenarios. We believe that we have sufficient liquidity and capital resources available to meet our obligations and execute our business strategy.</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Leverage and Financing Sources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leverage will vary depending on market conditions and our assessment of relative risks and returns, but we generally expect our leverage to be between six and ten times the amount of our tangible stockholders' equity, measured as the sum of our total mortgage borrowings and net payable / (receivable) for unsettled investment securities, divided by the sum of our total stockholders' equity adjusted to exclude goodwill. Our tangible net book value "at risk" leverage ratio was 7.2x as of December 31, 2025 and 2024. The following table includes a summary of our mortgage borrowings outstanding as of December 31, 2025 and 2024 (dollars in millions). For additional details of our mortgage borrowings refer to Notes 2, 4 and 5 to our Consolidated Financial Statements in this Form 10-K.</w:t>
      </w:r>
    </w:p>
    <w:tbl>
      <w:tblPr>
        <w:tblW w:w="8718" w:type="dxa"/>
        <w:jc w:val="center"/>
        <w:tblInd w:w="0" w:type="dxa"/>
        <w:tblLayout w:type="fixed"/>
        <w:tblCellMar>
          <w:top w:w="28" w:type="dxa"/>
          <w:left w:w="28" w:type="dxa"/>
          <w:bottom w:w="28" w:type="dxa"/>
          <w:right w:w="28" w:type="dxa"/>
        </w:tblCellMar>
      </w:tblPr>
      <w:tblGrid>
        <w:gridCol w:w="1500"/>
        <w:gridCol w:w="1317"/>
        <w:gridCol w:w="1322"/>
        <w:gridCol w:w="109"/>
        <w:gridCol w:w="109"/>
        <w:gridCol w:w="109"/>
        <w:gridCol w:w="196"/>
        <w:gridCol w:w="646"/>
        <w:gridCol w:w="109"/>
        <w:gridCol w:w="109"/>
        <w:gridCol w:w="109"/>
        <w:gridCol w:w="109"/>
        <w:gridCol w:w="209"/>
        <w:gridCol w:w="212"/>
        <w:gridCol w:w="241"/>
        <w:gridCol w:w="109"/>
        <w:gridCol w:w="109"/>
        <w:gridCol w:w="109"/>
        <w:gridCol w:w="196"/>
        <w:gridCol w:w="646"/>
        <w:gridCol w:w="109"/>
        <w:gridCol w:w="109"/>
        <w:gridCol w:w="109"/>
        <w:gridCol w:w="109"/>
        <w:gridCol w:w="209"/>
        <w:gridCol w:w="212"/>
        <w:gridCol w:w="286"/>
      </w:tblGrid>
      <w:tr>
        <w:trPr/>
        <w:tc>
          <w:tcPr>
            <w:tcW w:w="1500"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Mortgage 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4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Investment securities repurchase agreements </w:t>
            </w:r>
            <w:r>
              <w:rPr>
                <w:rFonts w:ascii="Times New Roman;serif" w:hAnsi="Times New Roman;serif"/>
                <w:b w:val="false"/>
                <w:color w:val="000000"/>
                <w:sz w:val="1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of consolidated variable interest entities,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TBA and forward settling non-Agency securities,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mortgage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pPr>
      <w:r>
        <w:rPr>
          <w:rFonts w:ascii="Malgun Gothic;sans-serif" w:hAnsi="Malgun Gothic;sans-serif"/>
          <w:b w:val="false"/>
          <w:color w:val="000000"/>
          <w:sz w:val="16"/>
        </w:rPr>
        <w:t>1.</w:t>
      </w:r>
      <w:r>
        <w:rPr>
          <w:rFonts w:ascii="Times New Roman;serif" w:hAnsi="Times New Roman;serif"/>
          <w:b w:val="false"/>
          <w:color w:val="000000"/>
          <w:sz w:val="16"/>
        </w:rPr>
        <w:t>Includes Agency RMBS, CRT and non-Agency MBS repurchase agreements.</w:t>
      </w:r>
      <w:r>
        <w:rPr>
          <w:color w:val="000000"/>
        </w:rPr>
        <w:t xml:space="preserve"> </w:t>
      </w:r>
      <w:r>
        <w:rPr>
          <w:rFonts w:ascii="Malgun Gothic;sans-serif" w:hAnsi="Malgun Gothic;sans-serif"/>
          <w:b w:val="false"/>
          <w:color w:val="000000"/>
          <w:sz w:val="16"/>
        </w:rPr>
        <w:t>E</w:t>
      </w:r>
      <w:r>
        <w:rPr>
          <w:rFonts w:ascii="Times New Roman;serif" w:hAnsi="Times New Roman;serif"/>
          <w:b w:val="false"/>
          <w:color w:val="000000"/>
          <w:sz w:val="16"/>
        </w:rPr>
        <w:t xml:space="preserve">xcludes U.S. Treasury repurchase agreements totaling $12.3 billion and $1.4 billion as of December 31, 2025 and 2024, respectively.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2.As of December 31, 2025 and 2024, 44% and 47%, respectively, of our total repurchase agreements, including 51% and 49% or our investment securities repurchase agreements, respectively, were funded through the Fixed Income Clearing Corporation's GCF Repo service.</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primarily finance our assets through collateralized borrowings structured as repurchase agreements ("repo"). We enter into these agreements on a bilateral basis with financial institutions and independent dealers, as well as through tri-party and centrally cleared repo platforms—such as the FICC's GCF Repo service—accessed through our wholly owned, registered broker-dealer subsidiary, Bethesda Securities, LLC. We manage our repo funding through counterparty diversification, maintaining a suitable maturity profile, interest rate hedging, and other strategies. In addition to repo, we also utilize TBA dollar roll transactions to synthetically finance Agency RMBS.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terms of bilateral repurchase agreements are established on a transaction-by-transaction basis at the time each borrowing is initiated or renewed and are governed by the provisions of a Master Repurchase Agreement. For GCF Repo transactions, the terms and conditions are set by the FICC's clearing rules and applicable operating procedures. Each of our repurchase agreements requires that borrowed amounts be subject to collateralization requirements, and interest rates are generally fixed and reflect prevailing market rates for the specified borrowing term and collateral type. Our repurchase agreement counterparties are not obligated to renew or enter into new borrowings upon the maturity of existing agreements.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TBA dollar roll transactions enhance our funding diversification, expand our available pool of assets, and improve our liquidity position by typically requiring less collateral than Agency RMBS financed with repo. These transactions may also benefit from lower implied costs, or "specialness." However, if rolling TBA contracts into future months becomes uneconomical, we may need to take physical delivery of the underlying securities and fund those securities with other sources, potentially reducing our liquidity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Collateral Requirements and Unencumbered Assets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Borrowing capacity under our repurchase agreements is influenced by counterparty margin requirements, collateral values, interest rates, risk limits, and counterparties' willingness and ability to lend. These factors may change over time in response to interest rate movements, overall market liquidity, shifts in credit quality and changes in bank regulatory requirements. Centrally cleared repo capacity also depends on Bethesda Securities continued compliance with regulatory and FICC membership requirements and maintaining its risk exposure within limits established by the FICC.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Haircuts for bilateral repurchase agreements are determined on a transaction-specific basis. A haircut is a discount applied to the market value of pledged collateral to protect the counterparty against potential declines in its value and potential costs of selling collateral after a default. When collateral values decline, counterparties typically issue a margin call requiring us to post additional collateral to restore the required collateralization level. Conversely, if the value of pledged securities rises, we may request the return of excess collateral. Collateral values are determined by our counterparties, who are required to act in good faith.</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For centrally cleared GCF repo transactions, margin requirements are set by the FICC. These include an initial margin requirement, calculated daily using a Value-at-Risk ("VaR") model, which evaluates Bethesda Securities' net exposure to the FICC, taking into account the offsetting risk sensitivities of positions such as repos and reverse repos. Initial margin is designed to protect the FICC against potential future exposure from a member default and may also be used to cover losses arising from the default of other clearing members, subject to assessments from the loss mutualization waterfall and applicable caps and withdrawal provisions set pursuant to FICC rules. The FICC also imposes daily variation margin, based on amounts borrowed plus accrued interest, adjusted for fluctuations in collateral value, and is intended to cover the current exposure associated with the repo transaction.</w:t>
      </w:r>
    </w:p>
    <w:p>
      <w:pPr>
        <w:pStyle w:val="TextBody"/>
        <w:bidi w:val="0"/>
        <w:spacing w:lineRule="auto" w:line="288" w:before="180" w:after="283"/>
        <w:ind w:left="0" w:right="0" w:firstLine="495"/>
        <w:jc w:val="both"/>
        <w:rPr/>
      </w:pPr>
      <w:r>
        <w:rPr>
          <w:rFonts w:ascii="Times New Roman;serif" w:hAnsi="Times New Roman;serif"/>
          <w:b w:val="false"/>
          <w:color w:val="000000"/>
          <w:sz w:val="20"/>
        </w:rPr>
        <w:t>Margin thresholds may increase during periods of elevated market volatility, which could adversely affect our liquidity position. In addition, repo counterparties typically reduce the collateral values assigned to Agency RMBS each month to reflect principal repayments. Bilateral repo counterparties make this adjustment upon the publication of the pay-down factor by Fannie Mae, Freddie Mac or Ginnie Mae on the fifth business day following month-end, even though principal payments are generally not received until the 25</w:t>
      </w:r>
      <w:r>
        <w:rPr>
          <w:rFonts w:ascii="Times New Roman;serif" w:hAnsi="Times New Roman;serif"/>
          <w:b w:val="false"/>
          <w:color w:val="000000"/>
          <w:sz w:val="13"/>
        </w:rPr>
        <w:t xml:space="preserve">th </w:t>
      </w:r>
      <w:r>
        <w:rPr>
          <w:rFonts w:ascii="Times New Roman;serif" w:hAnsi="Times New Roman;serif"/>
          <w:b w:val="false"/>
          <w:color w:val="000000"/>
          <w:sz w:val="20"/>
        </w:rPr>
        <w:t xml:space="preserve">calendar day following month-end. The FICC assesses margin on the last business day of each month—prior to the factor release—using internally projected pay-down rates and subsequently adjusts collateral requirements to reflect the actual factor data when released.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timing difference between margin calls related to principal pay-downs and our receipt of the corresponding cash flows temporarily reduces our available liquidity each month. We manage this liquidity risk by monitoring factors that influence prepayment activity and through disciplined asset selection. As of December 31, 2025, approximately 14% of our investment portfolio consisted of TBA securities, which are not subject to monthly principal pay-downs. The remainder of our portfolio, primarily consisting of Agency RMBS, had an average one-year CPR forecast of 12%.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Collateral requirements under our derivative agreements are typically subject to initial and variation margin requirements, similar to those for centrally cleared repo transactions, and may be adjusted based on changes in the value of the derivative agreements, collateral values, market volatility, and other factors. Collateral requirements for our TBA contracts are governed by the Mortgage-Backed Securities Division ("MBSD") of the FICC. Collateral levels for interest rate swap agreements are established by the central clearing exchange and the associated futures commission merchants ("FCMs"), which may impose margin requirements in excess of those required by the clearing exchange. Collateral requirements for non-centrally cleared derivatives are set by the counterparty financial institution.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Haircut levels and initial or additional minimum margin requirements reduce the amount of our unencumbered assets and limit our borrowing capacity. Margin calls for repo and TBA transactions are typically due on the same business day, while margin calls for interest rate swaps and other derivative transactions are typically due on the next business day, subject to notice provisions. During fiscal year 2025, haircuts and initial margin requirements on our repo funding arrangements remained stable. As of December 31, 2025, the weighted average haircut and initial margin on our repurchase agreements were approximately 3.1% of the value of our collateral, compared to 3.2% as of December 31, 2024. We were in compliance with all margin requirements as of December 31, 2025.</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To mitigate the risk of margin calls, we seek to maintain excess liquidity by holding unencumbered liquid assets that can be used to satisfy collateral requirements, collateralize additional borrowings or be sold for cash. As of December 31, 2025, our unencumbered assets totaled approximately $7.7 billion, or 65% of tangible equity, consisting of $7.6 billion of cash and unencumbered Agency RMBS and $0.1 billion of unencumbered credit assets. This compares to $6.2 billion of unencumbered assets, or 67% of tangible equity, as of December 31, 2024, consisting of $6.1 billion of cash and unencumbered Agency RMBS and $0.1 billion of unencumbered credit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For additional details regarding assets pledged under our repo and derivative agreements refer to Note 6 to our Consolidated Financial Statements in this Form 10-K.</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Counterparty Risk</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Collateral requirements imposed by counterparties subject us to the risk that pledged assets may not be returned to us as and when required. We attempt to manage this risk by actively monitoring our collateral positions and limiting our counterparties to registered clearinghouses and regulated financial institutions, including banks and broker-dealers (both bank affiliated and independent) with acceptable credit ratings. We also diversify our funding sources across multiple counterparties and geographic region.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December 31, 2025, our maximum amount at risk (or the excess/shortfall of the value of collateral pledged/received over our repurchase agreement liabilities/reverse repurchase agreement receivables) with any of our repurchase agreement counterparties, excluding the FICC, was less than 2% of our tangible stockholders' equity, with our top five repo counterparties, excluding the FICC, representing less than 5% of our tangible stockholders' equity. As of December 31, 2025, less than 10% of our tangible stockholders' equity was at risk with the FICC. Excluding central clearing exchanges, as of December 31, 2025, our amount at risk with any counterparty to our derivative agreements was less than 1% of our stockholders' equity.</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Asset Sales</w:t>
      </w:r>
    </w:p>
    <w:p>
      <w:pPr>
        <w:pStyle w:val="TextBody"/>
        <w:bidi w:val="0"/>
        <w:spacing w:lineRule="auto" w:line="288" w:before="180" w:after="283"/>
        <w:ind w:left="0" w:right="0" w:firstLine="495"/>
        <w:jc w:val="both"/>
        <w:rPr/>
      </w:pPr>
      <w:r>
        <w:rPr>
          <w:rFonts w:ascii="Times New Roman;serif" w:hAnsi="Times New Roman;serif"/>
          <w:b w:val="false"/>
          <w:color w:val="000000"/>
          <w:sz w:val="20"/>
        </w:rPr>
        <w:t xml:space="preserve">Agency RMBS securities are among the most liquid fixed income securities, and the TBA market is the second most liquid market (after the U.S. Treasury market). Although market conditions fluctuate, the vitality of these markets enables us to sell assets under most conditions to generate liquidity through direct sales or delivery into TBA contracts, subject to "good delivery" provisions promulgated by the Securities Industry and Financial Markets Association ("SIFMA"). Under certain market conditions, however, we may be unable to realize the full carrying value of our securities. We attempt to manage this risk by maintaining at least a minimum level of securities that trade at or near TBA values that in our estimation enhances our portfolio liquidity across a wide range of market conditions. Please refer to </w:t>
      </w:r>
      <w:r>
        <w:rPr>
          <w:rFonts w:ascii="Times New Roman;serif" w:hAnsi="Times New Roman;serif"/>
          <w:b w:val="false"/>
          <w:i/>
          <w:color w:val="000000"/>
          <w:sz w:val="20"/>
        </w:rPr>
        <w:t>Trends and Recent Market Impacts</w:t>
      </w:r>
      <w:r>
        <w:rPr>
          <w:color w:val="000000"/>
        </w:rPr>
        <w:t xml:space="preserve"> </w:t>
      </w:r>
      <w:r>
        <w:rPr>
          <w:rFonts w:ascii="Times New Roman;serif" w:hAnsi="Times New Roman;serif"/>
          <w:b w:val="false"/>
          <w:color w:val="000000"/>
          <w:sz w:val="20"/>
        </w:rPr>
        <w:t>of this Management Discussion and Analysis for further information regarding Agency RMBS and TBA market conditions.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Capital Markets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Equity capital markets serve as a source of capital to grow our business and to meet potential liquidity needs. The availability of equity capital is dependent on market conditions and investor demand for our common and preferred stock. We will typically not issue common stock at times when we believe the capital raised will not be accretive to our tangible net book value or earnings, and we will typically not issue preferred equity when its cost exceeds acceptable hurdle rates of return on our equity. We may also be unable to raise additional equity capital at suitable times or on favorable terms. Furthermore, when the trading price of our common stock is less than our then-current estimate of our tangible net book value per common share, among other conditions, we may repurchase shares of our common stock pursuant to the stock repurchase plan authorized by our Board. As of December 31, 2025, $1.0 billion remained authorized to repurchase shares of our common stock through December 31, 2026. Please refer to Note 9 of our Consolidated Financial Statements in this Form 10-K for further details regarding our recent equity capital transactions.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December 31, 2025, we did not maintain relationships with unconsolidated entities or financial partnerships, such as entities often referred to as structured finance, or special purpose or variable interest entities, established to facilitate off-balance sheet arrangements or other contractually narrow or limited purposes. Additionally, as of December 31, 2025, we had not guaranteed obligations of unconsolidated entities or entered into a commitment or intent to provide funding to such entities.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statements contained in this Annual Report that are not historical facts, including estimates, projections, beliefs, expectations concerning conditions, events, or the outlook for our business, strategy, performance, operations or the markets or industries in which we operate, are forward-looking statements within the meaning of the Private Securities Litigation Reform Act. Forward-looking statements are typically identified by words such as "believe," "plan," "expect," "anticipate," "see," "intend," "outlook," "potential," "forecast," "estimate," "will," "could," "should" "likely" and other similar, correlative or comparable words and expressions. </w:t>
      </w:r>
    </w:p>
    <w:p>
      <w:pPr>
        <w:pStyle w:val="TextBody"/>
        <w:bidi w:val="0"/>
        <w:spacing w:lineRule="auto" w:line="288" w:before="18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Forward-looking statements are based on management's assumptions, projections and beliefs as of the date of this Annual Report, but they involve a number of risks and uncertainties. Actual results may differ materially from those anticipated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20"/>
        <w:jc w:val="both"/>
        <w:rPr>
          <w:rFonts w:ascii="Times New Roman;serif" w:hAnsi="Times New Roman;serif"/>
          <w:b w:val="false"/>
          <w:color w:val="000000"/>
          <w:sz w:val="20"/>
        </w:rPr>
      </w:pPr>
      <w:r>
        <w:rPr>
          <w:rFonts w:ascii="Times New Roman;serif" w:hAnsi="Times New Roman;serif"/>
          <w:b w:val="false"/>
          <w:color w:val="000000"/>
          <w:sz w:val="20"/>
        </w:rPr>
        <w:t>forward-looking statements, as well as from historical performance. Factors that could cause actual results to vary from our forward-looking statements include, but are not limited to, the following:</w:t>
      </w:r>
    </w:p>
    <w:p>
      <w:pPr>
        <w:pStyle w:val="TextBody"/>
        <w:bidi w:val="0"/>
        <w:spacing w:lineRule="auto" w:line="268" w:before="60" w:after="283"/>
        <w:ind w:left="0" w:right="0" w:hanging="270"/>
        <w:jc w:val="both"/>
        <w:rPr/>
      </w:pPr>
      <w:r>
        <w:rPr>
          <w:color w:val="000000"/>
        </w:rPr>
        <w:t>•</w:t>
      </w:r>
      <w:r>
        <w:rPr>
          <w:rFonts w:ascii="Times New Roman;serif" w:hAnsi="Times New Roman;serif"/>
          <w:b w:val="false"/>
          <w:color w:val="000000"/>
          <w:sz w:val="20"/>
        </w:rPr>
        <w:t>the level, degree and extent of volatility in interest rates or the yield on our assets relative to interest rate benchmarks;</w:t>
      </w:r>
    </w:p>
    <w:p>
      <w:pPr>
        <w:pStyle w:val="TextBody"/>
        <w:bidi w:val="0"/>
        <w:spacing w:lineRule="auto" w:line="288" w:before="60" w:after="283"/>
        <w:ind w:left="0" w:right="0" w:hanging="270"/>
        <w:jc w:val="both"/>
        <w:rPr/>
      </w:pPr>
      <w:r>
        <w:rPr>
          <w:color w:val="000000"/>
        </w:rPr>
        <w:t>•</w:t>
      </w:r>
      <w:r>
        <w:rPr>
          <w:rFonts w:ascii="Times New Roman;serif" w:hAnsi="Times New Roman;serif"/>
          <w:b w:val="false"/>
          <w:color w:val="000000"/>
          <w:sz w:val="20"/>
        </w:rPr>
        <w:t xml:space="preserve">fluctuations in mortgage prepayment rates on the loans underlying our Agency RMBS; </w:t>
      </w:r>
    </w:p>
    <w:p>
      <w:pPr>
        <w:pStyle w:val="TextBody"/>
        <w:bidi w:val="0"/>
        <w:spacing w:lineRule="auto" w:line="288" w:before="60" w:after="283"/>
        <w:ind w:left="0" w:right="0" w:hanging="270"/>
        <w:jc w:val="both"/>
        <w:rPr/>
      </w:pPr>
      <w:r>
        <w:rPr>
          <w:color w:val="000000"/>
        </w:rPr>
        <w:t>•</w:t>
      </w:r>
      <w:r>
        <w:rPr>
          <w:rFonts w:ascii="Times New Roman;serif" w:hAnsi="Times New Roman;serif"/>
          <w:b w:val="false"/>
          <w:color w:val="000000"/>
          <w:sz w:val="20"/>
        </w:rPr>
        <w:t xml:space="preserve">the availability and terms of our financing and hedge positions; </w:t>
      </w:r>
    </w:p>
    <w:p>
      <w:pPr>
        <w:pStyle w:val="TextBody"/>
        <w:bidi w:val="0"/>
        <w:spacing w:lineRule="auto" w:line="268" w:before="60" w:after="283"/>
        <w:ind w:left="0" w:right="0" w:hanging="270"/>
        <w:jc w:val="both"/>
        <w:rPr/>
      </w:pPr>
      <w:r>
        <w:rPr>
          <w:color w:val="000000"/>
        </w:rPr>
        <w:t>•</w:t>
      </w:r>
      <w:r>
        <w:rPr>
          <w:rFonts w:ascii="Times New Roman;serif" w:hAnsi="Times New Roman;serif"/>
          <w:b w:val="false"/>
          <w:color w:val="000000"/>
          <w:sz w:val="20"/>
        </w:rPr>
        <w:t xml:space="preserve">changes in the market value of our assets, including from changes in net interest spreads, market liquidity or depth, and changes in our "at risk" leverage or hedge positions; </w:t>
      </w:r>
    </w:p>
    <w:p>
      <w:pPr>
        <w:pStyle w:val="TextBody"/>
        <w:bidi w:val="0"/>
        <w:spacing w:lineRule="auto" w:line="268" w:before="60" w:after="283"/>
        <w:ind w:left="0" w:right="0" w:hanging="270"/>
        <w:jc w:val="both"/>
        <w:rPr/>
      </w:pPr>
      <w:r>
        <w:rPr>
          <w:color w:val="000000"/>
        </w:rPr>
        <w:t>•</w:t>
      </w:r>
      <w:r>
        <w:rPr>
          <w:rFonts w:ascii="Times New Roman;serif" w:hAnsi="Times New Roman;serif"/>
          <w:b w:val="false"/>
          <w:color w:val="000000"/>
          <w:sz w:val="20"/>
        </w:rPr>
        <w:t>fluctuations in the yield curve;</w:t>
      </w:r>
    </w:p>
    <w:p>
      <w:pPr>
        <w:pStyle w:val="TextBody"/>
        <w:bidi w:val="0"/>
        <w:spacing w:lineRule="auto" w:line="268" w:before="60" w:after="283"/>
        <w:ind w:left="0" w:right="0" w:hanging="270"/>
        <w:jc w:val="both"/>
        <w:rPr/>
      </w:pPr>
      <w:r>
        <w:rPr>
          <w:color w:val="000000"/>
        </w:rPr>
        <w:t>•</w:t>
      </w:r>
      <w:r>
        <w:rPr>
          <w:rFonts w:ascii="Times New Roman;serif" w:hAnsi="Times New Roman;serif"/>
          <w:b w:val="false"/>
          <w:color w:val="000000"/>
          <w:sz w:val="20"/>
        </w:rPr>
        <w:t xml:space="preserve">the effectiveness of our risk mitigation strategies; </w:t>
      </w:r>
    </w:p>
    <w:p>
      <w:pPr>
        <w:pStyle w:val="TextBody"/>
        <w:bidi w:val="0"/>
        <w:spacing w:lineRule="auto" w:line="268" w:before="60" w:after="283"/>
        <w:ind w:left="0" w:right="0" w:hanging="270"/>
        <w:jc w:val="both"/>
        <w:rPr/>
      </w:pPr>
      <w:r>
        <w:rPr>
          <w:color w:val="000000"/>
        </w:rPr>
        <w:t>•</w:t>
      </w:r>
      <w:r>
        <w:rPr>
          <w:rFonts w:ascii="Times New Roman;serif" w:hAnsi="Times New Roman;serif"/>
          <w:b w:val="false"/>
          <w:color w:val="000000"/>
          <w:sz w:val="20"/>
        </w:rPr>
        <w:t xml:space="preserve">conditions in the market for Agency RMBS and other mortgage securities, including changes in the available supply of such securities or investor appetite therefor; </w:t>
      </w:r>
    </w:p>
    <w:p>
      <w:pPr>
        <w:pStyle w:val="TextBody"/>
        <w:bidi w:val="0"/>
        <w:spacing w:lineRule="auto" w:line="268" w:before="60" w:after="283"/>
        <w:ind w:left="0" w:right="0" w:hanging="270"/>
        <w:jc w:val="both"/>
        <w:rPr/>
      </w:pPr>
      <w:r>
        <w:rPr>
          <w:color w:val="000000"/>
        </w:rPr>
        <w:t>•</w:t>
      </w:r>
      <w:r>
        <w:rPr>
          <w:rFonts w:ascii="Times New Roman;serif" w:hAnsi="Times New Roman;serif"/>
          <w:b w:val="false"/>
          <w:color w:val="000000"/>
          <w:sz w:val="20"/>
        </w:rPr>
        <w:t>changes in U.S. monetary policy or interest rates, including actions taken by the Federal Reserve to adjust the size or composition of its U.S. Treasury and Agency RMBS bond portfolio or to influence funding markets;</w:t>
      </w:r>
    </w:p>
    <w:p>
      <w:pPr>
        <w:pStyle w:val="TextBody"/>
        <w:bidi w:val="0"/>
        <w:spacing w:lineRule="auto" w:line="268" w:before="60" w:after="283"/>
        <w:ind w:left="0" w:right="0" w:hanging="270"/>
        <w:jc w:val="both"/>
        <w:rPr/>
      </w:pPr>
      <w:r>
        <w:rPr>
          <w:color w:val="000000"/>
        </w:rPr>
        <w:t>•</w:t>
      </w:r>
      <w:r>
        <w:rPr>
          <w:rFonts w:ascii="Times New Roman;serif" w:hAnsi="Times New Roman;serif"/>
          <w:b w:val="false"/>
          <w:color w:val="000000"/>
          <w:sz w:val="20"/>
        </w:rPr>
        <w:t>changes in U.S. government entity purchases or dispositions of Agency RMBS or other actions that directly or indirectly increase demand or supply of Agency RMBS or affect prepayment speeds;</w:t>
      </w:r>
    </w:p>
    <w:p>
      <w:pPr>
        <w:pStyle w:val="TextBody"/>
        <w:bidi w:val="0"/>
        <w:spacing w:lineRule="auto" w:line="268" w:before="60" w:after="283"/>
        <w:ind w:left="0" w:right="0" w:hanging="270"/>
        <w:jc w:val="both"/>
        <w:rPr/>
      </w:pPr>
      <w:r>
        <w:rPr>
          <w:color w:val="000000"/>
        </w:rPr>
        <w:t>•</w:t>
      </w:r>
      <w:r>
        <w:rPr>
          <w:rFonts w:ascii="Times New Roman;serif" w:hAnsi="Times New Roman;serif"/>
          <w:b w:val="false"/>
          <w:color w:val="000000"/>
          <w:sz w:val="20"/>
        </w:rPr>
        <w:t>the direct or indirect effects of actions by the federal, state, or local governments that affect the economy, the housing sector or financial markets, including actions relating to fiscal policy;</w:t>
      </w:r>
    </w:p>
    <w:p>
      <w:pPr>
        <w:pStyle w:val="TextBody"/>
        <w:bidi w:val="0"/>
        <w:spacing w:lineRule="auto" w:line="268" w:before="60" w:after="283"/>
        <w:ind w:left="0" w:right="0" w:hanging="270"/>
        <w:jc w:val="both"/>
        <w:rPr/>
      </w:pPr>
      <w:r>
        <w:rPr>
          <w:color w:val="000000"/>
        </w:rPr>
        <w:t>•</w:t>
      </w:r>
      <w:r>
        <w:rPr>
          <w:rFonts w:ascii="Times New Roman;serif" w:hAnsi="Times New Roman;serif"/>
          <w:b w:val="false"/>
          <w:color w:val="000000"/>
          <w:sz w:val="20"/>
        </w:rPr>
        <w:t>the direct or indirect effects of geopolitical events, including war, terrorism, civil discord, embargos, trade or other disputes, or natural disasters, on conditions in the markets for Agency RMBS or other mortgage securities, the terms or availability of funding for our business, or our ongoing business operations;</w:t>
      </w:r>
    </w:p>
    <w:p>
      <w:pPr>
        <w:pStyle w:val="TextBody"/>
        <w:bidi w:val="0"/>
        <w:spacing w:lineRule="auto" w:line="268" w:before="60" w:after="283"/>
        <w:ind w:left="0" w:right="0" w:hanging="270"/>
        <w:jc w:val="both"/>
        <w:rPr/>
      </w:pPr>
      <w:r>
        <w:rPr>
          <w:color w:val="000000"/>
        </w:rPr>
        <w:t>•</w:t>
      </w:r>
      <w:r>
        <w:rPr>
          <w:rFonts w:ascii="Times New Roman;serif" w:hAnsi="Times New Roman;serif"/>
          <w:b w:val="false"/>
          <w:color w:val="000000"/>
          <w:sz w:val="20"/>
        </w:rPr>
        <w:t>the availability of personnel, operational resources, information technology and other systems to conduct our operations;</w:t>
      </w:r>
    </w:p>
    <w:p>
      <w:pPr>
        <w:pStyle w:val="TextBody"/>
        <w:bidi w:val="0"/>
        <w:spacing w:lineRule="auto" w:line="268" w:before="60" w:after="283"/>
        <w:ind w:left="0" w:right="0" w:hanging="270"/>
        <w:jc w:val="both"/>
        <w:rPr/>
      </w:pPr>
      <w:r>
        <w:rPr>
          <w:color w:val="000000"/>
        </w:rPr>
        <w:t>•</w:t>
      </w:r>
      <w:r>
        <w:rPr>
          <w:rFonts w:ascii="Times New Roman;serif" w:hAnsi="Times New Roman;serif"/>
          <w:b w:val="false"/>
          <w:color w:val="000000"/>
          <w:sz w:val="20"/>
        </w:rPr>
        <w:t>changes to laws, regulations, rules or policies that affect the GSE's, the primary or secondary mortgage markets in which we participate or U.S. housing finance activity, including actions that would end or alter the conservatorships of Fannie Mae or Freddie Mac or their quasi-governmental status; and</w:t>
      </w:r>
    </w:p>
    <w:p>
      <w:pPr>
        <w:pStyle w:val="TextBody"/>
        <w:bidi w:val="0"/>
        <w:spacing w:lineRule="auto" w:line="268" w:before="60" w:after="283"/>
        <w:ind w:left="0" w:right="0" w:hanging="270"/>
        <w:jc w:val="both"/>
        <w:rPr/>
      </w:pPr>
      <w:r>
        <w:rPr>
          <w:color w:val="000000"/>
        </w:rPr>
        <w:t>•</w:t>
      </w:r>
      <w:r>
        <w:rPr>
          <w:rFonts w:ascii="Times New Roman;serif" w:hAnsi="Times New Roman;serif"/>
          <w:b w:val="false"/>
          <w:color w:val="000000"/>
          <w:sz w:val="20"/>
        </w:rPr>
        <w:t>legislative or regulatory actions that affect our status as a REIT or our exemption from the Investment Company Act of 1940.</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Forward-looking statements speak only as of the date made, and we do not assume any duty and do not undertake to update forward-looking statements. A further discussion of risks and uncertainties that could cause actual results to differ from any of our forward-looking statements is included under Item 1A.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 xml:space="preserve">in Part I of this document. We caution readers not to place undue reliance on our forward-looking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WEBSITE AND SOCIAL MEDIA DISCLOSURE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use our website (www.AGNC.com) and AGNC's LinkedIn (www.linkedin.com/company/agnc-investment-corp/) and X (www.x.com/AGNCInvestment) accounts to distribute information about the Company. Investors should monitor these channels in addition to our press releases, filings with the U.S. Securities and Exchange Commission ("SEC"), public conference calls and webcasts, as information posted through them may be deemed material. Our website, alerts and social media channels are not incorporated by reference into, and are not a part of, this or any other report filed with or furnished to the SEC. Investors and others may automatically receive emails and information about AGNC when they sign up for investor alerts on the "Investor Resources" tab of the Investor Relations section of our website. </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color w:val="000000"/>
          <w:sz w:val="20"/>
        </w:rPr>
        <w:t>Item 7A.</w:t>
      </w:r>
      <w:r>
        <w:rPr>
          <w:color w:val="000000"/>
        </w:rPr>
        <w:t xml:space="preserve"> </w:t>
      </w:r>
      <w:r>
        <w:rPr>
          <w:rFonts w:ascii="Times New Roman;serif" w:hAnsi="Times New Roman;serif"/>
          <w:b/>
          <w:i/>
          <w:color w:val="000000"/>
          <w:sz w:val="20"/>
        </w:rPr>
        <w:t>Quantitative and Qualitative Disclosures about Market Risk</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Market risk is the exposure to loss resulting from changes in market factors such as interest rates, foreign currency exchange rates, commodity prices and equity prices. The primary market risks that we are exposed to are interest rate, prepayment, spread, liquidity, extension and credit risks.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interest rate risk in connection with the fixed income nature of our assets and the short-term, variable rate nature of our financing obligations. Our operating results depend in large part on differences between the income earned on our assets and our cost of borrowing and hedging activities. The costs associated with our borrowings are generally based on prevailing market interest rates. During a period of rising interest rates, our borrowing costs generally will increase while the yields earned on our existing portfolio of leveraged fixed-rate assets will largely remain static. This can result in a decline in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interest spread. Changes in the level of interest rates can also affect the rate of mortgage prepayments and the value of our assets.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Interest rates are highly sensitive to many factors, including fiscal and monetary policies and domestic and international economic and political considerations, as well as other factors beyond our control. Subject to maintaining our qualification as a REIT, we engage in a variety of interest rate management techniques to mitigate the influence of interest rate changes on our net interest income and fluctuations of our tangible net book value. The principal instruments that we use to hedge our interest rate risk are interest rate swaps, swaptions, U.S. Treasury securities and U.S. Treasury futures contracts. Our hedging techniques are highly complex and are partly based on assumed levels of prepayments of our assets. If prepayments are slower or faster than assumed, the maturity of our investments will also differ from our expectations, which could reduce the effectiveness of our hedging strategies and may cause losses on such transactions and adversely affect our cash flow.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severity of potential declines in our tangible net book value due to fluctuations in interest rates would depend on our asset, liability, and hedge composition at the time, as well as the magnitude and duration of the interest rate change. Primary measures of an instrument's price sensitivity to interest rate fluctuations are its duration and convexity. Duration measures the estimated percentage change in market value of an instrument that would be caused by a parallel change in short and long-term interest rates. The duration of our assets will vary with changes in interest rates and tends to increase when interest rates rise and decrease when interest rates fall. This "negative convexity" generally increases the interest rate exposure of our investment portfolio in excess of what is measured by duration alone.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estimate the duration and convexity of our assets using a third-party risk management system and market data. We review the estimates for reasonableness, giving consideration to any unique characteristics of our securities, market conditions and other factors likely to impact these estimates, and based on our judgment we may make adjustments to the third-party estimates. Our estimated duration gap, which is a measure of the difference between the interest rate sensitivity of our assets and our liabilities, inclusive of interest rate hedges, was 0.4 years as of December 31, 2025, compared to 0.3 years as of December 31, 2024.</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quantifies the estimated changes in the fair value of our investment portfolio (including derivatives and other securities used for hedging purposes) and in our tangible net book value per common share as of December 31, 2025 and 2024 should interest rates go up or down by 25, 50 and 75 basis points, assuming instantaneous parallel shifts in the yield curve and including the impact of both duration and convexity. All values in the table below are measured as percentage changes from the base interest rate scenario. The base interest rate scenario assumes interest rates and prepayment projections as of December 31, 2025 and 2024. </w:t>
      </w:r>
    </w:p>
    <w:p>
      <w:pPr>
        <w:pStyle w:val="TextBody"/>
        <w:bidi w:val="0"/>
        <w:spacing w:lineRule="auto" w:line="288" w:before="180" w:after="283"/>
        <w:ind w:left="0" w:right="0" w:firstLine="495"/>
        <w:jc w:val="both"/>
        <w:rPr/>
      </w:pPr>
      <w:r>
        <w:rPr>
          <w:rFonts w:ascii="Times New Roman;serif" w:hAnsi="Times New Roman;serif"/>
          <w:b w:val="false"/>
          <w:color w:val="000000"/>
          <w:sz w:val="20"/>
        </w:rPr>
        <w:t>To the extent that these estimates or other assumptions do not hold true, which may be more likely during periods of elevated market volatility, actual results could differ materially from our projections. Moreover, if different models were employed in the analysis, materially different projections could result. Lastly, while the table below reflects the estimated impact of interest rate changes on a static portfolio, we actively manage our portfolio, and we continuously adjust the size and composition of our asset and hedge portfolio.</w:t>
      </w:r>
      <w:r>
        <w:rPr>
          <w:color w:val="000000"/>
        </w:rPr>
        <w:t> </w:t>
      </w:r>
    </w:p>
    <w:tbl>
      <w:tblPr>
        <w:tblW w:w="10205" w:type="dxa"/>
        <w:jc w:val="center"/>
        <w:tblInd w:w="0" w:type="dxa"/>
        <w:tblLayout w:type="fixed"/>
        <w:tblCellMar>
          <w:top w:w="28" w:type="dxa"/>
          <w:left w:w="28" w:type="dxa"/>
          <w:bottom w:w="28" w:type="dxa"/>
          <w:right w:w="28" w:type="dxa"/>
        </w:tblCellMar>
      </w:tblPr>
      <w:tblGrid>
        <w:gridCol w:w="384"/>
        <w:gridCol w:w="337"/>
        <w:gridCol w:w="338"/>
        <w:gridCol w:w="109"/>
        <w:gridCol w:w="109"/>
        <w:gridCol w:w="109"/>
        <w:gridCol w:w="552"/>
        <w:gridCol w:w="552"/>
        <w:gridCol w:w="555"/>
        <w:gridCol w:w="127"/>
        <w:gridCol w:w="127"/>
        <w:gridCol w:w="127"/>
        <w:gridCol w:w="725"/>
        <w:gridCol w:w="725"/>
        <w:gridCol w:w="728"/>
        <w:gridCol w:w="109"/>
        <w:gridCol w:w="109"/>
        <w:gridCol w:w="109"/>
        <w:gridCol w:w="552"/>
        <w:gridCol w:w="552"/>
        <w:gridCol w:w="555"/>
        <w:gridCol w:w="127"/>
        <w:gridCol w:w="127"/>
        <w:gridCol w:w="127"/>
        <w:gridCol w:w="651"/>
        <w:gridCol w:w="651"/>
        <w:gridCol w:w="932"/>
      </w:tblGrid>
      <w:tr>
        <w:trPr/>
        <w:tc>
          <w:tcPr>
            <w:tcW w:w="38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Interest Rate Sensitivity </w:t>
            </w:r>
            <w:r>
              <w:rPr>
                <w:rFonts w:ascii="Times New Roman;serif" w:hAnsi="Times New Roman;serif"/>
                <w:b/>
                <w:color w:val="000000"/>
                <w:sz w:val="10"/>
              </w:rPr>
              <w:t>1,2</w:t>
            </w:r>
          </w:p>
        </w:tc>
      </w:tr>
      <w:tr>
        <w:trPr/>
        <w:tc>
          <w:tcPr>
            <w:tcW w:w="10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Change in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Change in Portfolio Market Value</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Change in Tangible Net Book Value Per Common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Change in Portfolio Market Value</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Change in Tangible Net Book Value Per Common Share</w:t>
            </w:r>
          </w:p>
        </w:tc>
      </w:tr>
      <w:tr>
        <w:trPr/>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2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r>
      <w:tr>
        <w:trPr/>
        <w:tc>
          <w:tcPr>
            <w:tcW w:w="10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-75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-0.2%</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-0.1%</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-0.9%</w:t>
            </w:r>
          </w:p>
        </w:tc>
      </w:tr>
      <w:tr>
        <w:trPr/>
        <w:tc>
          <w:tcPr>
            <w:tcW w:w="1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-50 Basis 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+0.2%</w:t>
            </w:r>
          </w:p>
        </w:tc>
      </w:tr>
      <w:tr>
        <w:trPr/>
        <w:tc>
          <w:tcPr>
            <w:tcW w:w="1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-25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+0.1%</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+0.1%</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+0.5%</w:t>
            </w:r>
          </w:p>
        </w:tc>
      </w:tr>
      <w:tr>
        <w:trPr/>
        <w:tc>
          <w:tcPr>
            <w:tcW w:w="1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+25 Basis 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-0.2%</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-0.1%</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w:t>
            </w:r>
          </w:p>
        </w:tc>
      </w:tr>
      <w:tr>
        <w:trPr/>
        <w:tc>
          <w:tcPr>
            <w:tcW w:w="1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+50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-0.4%</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-0.3%</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w:t>
            </w:r>
          </w:p>
        </w:tc>
      </w:tr>
      <w:tr>
        <w:trPr/>
        <w:tc>
          <w:tcPr>
            <w:tcW w:w="1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+75 Basis 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-0.8%</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-0.5%</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w:t>
            </w:r>
          </w:p>
        </w:tc>
      </w:tr>
      <w:tr>
        <w:trPr/>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2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1.Derived from models that are dependent on inputs and assumptions, assumes there are no changes in mortgage spreads and assumes a static portfolio. Actual results could differ materially from these estimates.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2.Includes the effect of derivatives and other securities used for hedging purposes. Interest rates are assumed to be floored at 0% in down rate scenarios.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Prepayment Risk and Extension Risk</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Prepayment risk is the risk that our assets will be repaid at a faster rate than anticipated. Interest rates and numerous other factors affect the rate of prepayments, such as housing prices, general economic conditions, loan age, size and loan-to-value ratios, and GSE buyouts of delinquent loans underlying our securities. Generally, declining mortgage rates increase the rate of prepayments, while rising rates have the opposite effect.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our assets prepay at a faster rate than anticipated, we may be unable to reinvest the repayments at acceptable yields. If the proceeds are reinvested at lower yields than our existing assets, our net interest income would be negatively impacted. We also amortize or accrete premiums and discounts we pay or receive at purchase relative to the stated principal of our assets into interest income over their projected lives using the effective interest method. If the actual and estimated future prepayment experience differs from our prior estimates, we are required to record a current period adjustment to interest income for the impact of the cumulative difference in the effective yield.</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Extension risk is the risk that our assets will be repaid at a slower rate than anticipated and generally increases when interest rates rise. In a rising or higher interest rate environment, we may be required to finance our investments at potentially higher costs without the ability to reinvest principal into higher yielding securities as a result of borrowers prepaying their mortgages at a slower pace than originally anticipated, adversely impacting our net interest spread, and thus our net interest income.</w:t>
      </w:r>
    </w:p>
    <w:p>
      <w:pPr>
        <w:pStyle w:val="TextBody"/>
        <w:bidi w:val="0"/>
        <w:spacing w:lineRule="auto" w:line="288" w:before="18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2024, our investment securities (excluding TBAs) had a weighted average projected CPR of 9.6% and 7.7%, respectively, and a weighted average yield of 4.93% and 4.77%, respectively. The table below presents estimated weighted average projected CPRs and yields for our investment securities should interest rates go up or down instantaneously by 25, 50 and 75 basis points. Estimated yields exclude the impact of retroactive "catch-up" premium amortization adjustments for prior periods due to changes in the projected CPR assumption. </w:t>
      </w:r>
    </w:p>
    <w:tbl>
      <w:tblPr>
        <w:tblW w:w="10205" w:type="dxa"/>
        <w:jc w:val="center"/>
        <w:tblInd w:w="0" w:type="dxa"/>
        <w:tblLayout w:type="fixed"/>
        <w:tblCellMar>
          <w:top w:w="28" w:type="dxa"/>
          <w:left w:w="28" w:type="dxa"/>
          <w:bottom w:w="28" w:type="dxa"/>
          <w:right w:w="28" w:type="dxa"/>
        </w:tblCellMar>
      </w:tblPr>
      <w:tblGrid>
        <w:gridCol w:w="513"/>
        <w:gridCol w:w="444"/>
        <w:gridCol w:w="446"/>
        <w:gridCol w:w="109"/>
        <w:gridCol w:w="109"/>
        <w:gridCol w:w="109"/>
        <w:gridCol w:w="623"/>
        <w:gridCol w:w="623"/>
        <w:gridCol w:w="625"/>
        <w:gridCol w:w="142"/>
        <w:gridCol w:w="142"/>
        <w:gridCol w:w="142"/>
        <w:gridCol w:w="582"/>
        <w:gridCol w:w="582"/>
        <w:gridCol w:w="585"/>
        <w:gridCol w:w="109"/>
        <w:gridCol w:w="109"/>
        <w:gridCol w:w="109"/>
        <w:gridCol w:w="623"/>
        <w:gridCol w:w="623"/>
        <w:gridCol w:w="625"/>
        <w:gridCol w:w="141"/>
        <w:gridCol w:w="141"/>
        <w:gridCol w:w="141"/>
        <w:gridCol w:w="525"/>
        <w:gridCol w:w="525"/>
        <w:gridCol w:w="758"/>
      </w:tblGrid>
      <w:tr>
        <w:trPr/>
        <w:tc>
          <w:tcPr>
            <w:tcW w:w="51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Interest Rate Sensitivity </w:t>
            </w:r>
            <w:r>
              <w:rPr>
                <w:rFonts w:ascii="Times New Roman;serif" w:hAnsi="Times New Roman;serif"/>
                <w:b/>
                <w:color w:val="000000"/>
                <w:sz w:val="10"/>
              </w:rPr>
              <w:t>1</w:t>
            </w:r>
          </w:p>
        </w:tc>
      </w:tr>
      <w:tr>
        <w:trPr/>
        <w:tc>
          <w:tcPr>
            <w:tcW w:w="14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Change in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Projected CPR</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Weighted Average Asset Yield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Projected CPR</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Weighted Average Asset Yield </w:t>
            </w:r>
            <w:r>
              <w:rPr>
                <w:rFonts w:ascii="Times New Roman;serif" w:hAnsi="Times New Roman;serif"/>
                <w:b/>
                <w:color w:val="000000"/>
                <w:sz w:val="10"/>
              </w:rPr>
              <w:t>2</w:t>
            </w:r>
          </w:p>
        </w:tc>
      </w:tr>
      <w:tr>
        <w:trPr/>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1"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808" w:type="dxa"/>
            <w:gridSpan w:val="3"/>
            <w:tcBorders/>
            <w:vAlign w:val="center"/>
          </w:tcPr>
          <w:p>
            <w:pPr>
              <w:pStyle w:val="TableContents"/>
              <w:bidi w:val="0"/>
              <w:spacing w:before="0" w:after="283"/>
              <w:jc w:val="left"/>
              <w:rPr>
                <w:sz w:val="4"/>
                <w:szCs w:val="4"/>
              </w:rPr>
            </w:pPr>
            <w:r>
              <w:rPr>
                <w:sz w:val="4"/>
                <w:szCs w:val="4"/>
              </w:rPr>
            </w:r>
          </w:p>
        </w:tc>
      </w:tr>
      <w:tr>
        <w:trPr/>
        <w:tc>
          <w:tcPr>
            <w:tcW w:w="14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-75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16.6%</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11.7%</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4.70%</w:t>
            </w:r>
          </w:p>
        </w:tc>
      </w:tr>
      <w:tr>
        <w:trPr/>
        <w:tc>
          <w:tcPr>
            <w:tcW w:w="1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-50 Basis 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13.6%</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4.73%</w:t>
            </w:r>
          </w:p>
        </w:tc>
      </w:tr>
      <w:tr>
        <w:trPr/>
        <w:tc>
          <w:tcPr>
            <w:tcW w:w="1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-25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11.3%</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8.5%</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4.76%</w:t>
            </w:r>
          </w:p>
        </w:tc>
      </w:tr>
      <w:tr>
        <w:trPr/>
        <w:tc>
          <w:tcPr>
            <w:tcW w:w="1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Actual as of Period 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9.6%</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4.77%</w:t>
            </w:r>
          </w:p>
        </w:tc>
      </w:tr>
      <w:tr>
        <w:trPr/>
        <w:tc>
          <w:tcPr>
            <w:tcW w:w="1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+25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8.3%</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7.3%</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4.78%</w:t>
            </w:r>
          </w:p>
        </w:tc>
      </w:tr>
      <w:tr>
        <w:trPr/>
        <w:tc>
          <w:tcPr>
            <w:tcW w:w="1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+50 Basis 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6.9%</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4.79%</w:t>
            </w:r>
          </w:p>
        </w:tc>
      </w:tr>
      <w:tr>
        <w:trPr/>
        <w:tc>
          <w:tcPr>
            <w:tcW w:w="1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+75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6.7%</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4.80%</w:t>
            </w:r>
          </w:p>
        </w:tc>
      </w:tr>
      <w:tr>
        <w:trPr/>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1"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80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1.Derived from models that are dependent on inputs and assumptions and assumes a static portfolio. Actual results could differ materially from these estimates. Table excludes TBA securities.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2.Asset yield based on historical cost basis and does not include the impact of retroactive "catch-up" premium amortization adjustments due to changes in projected CPR.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Spread Risk</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Spread risk is the risk that the market spread between the yield on our assets and the yield on benchmark interest rates linked to our interest rate hedges, such as U.S. Treasury rates and interest rate swap rates, may vary. As a levered investor in mortgage-backed securities, spread risk is an inherent component of our investment strategy. Therefore, although we use hedging instruments to attempt to protect against moves in interest rates, our hedges are generally not designed to protect against spread risk, and our tangible net book value could decline if spreads widen.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Fluctuations in mortgage spreads can occur due to a variety of factors, including changes in interest rates, prepayment expectations, actual or anticipated monetary policy actions by the U.S. and foreign central banks, liquidity conditions, required rates of returns on different assets and other market supply and demand factors. The table below quantifies the estimated changes in the fair value of our assets, net of hedges, and our tangible net book value per common share as of December 31, 2025 and 2024 should spreads widen or tighten by 10, 25 and 50 basis points. The estimated impact of changes in spreads is in addition to our interest rate shock sensitivity included in the interest rate shock table above. The table below assumes a spread duration of 5.0 and 5.1 as of December 31, 2025 and 2024, respectively, based on interest rates and prices as of such 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however, our portfolio's sensitivity to mortgage spread changes will vary with changes in interest rates and in the size and composition of our portfolio. Therefore, actual results could differ materially from our estimates.</w:t>
      </w:r>
    </w:p>
    <w:tbl>
      <w:tblPr>
        <w:tblW w:w="10205" w:type="dxa"/>
        <w:jc w:val="center"/>
        <w:tblInd w:w="0" w:type="dxa"/>
        <w:tblLayout w:type="fixed"/>
        <w:tblCellMar>
          <w:top w:w="28" w:type="dxa"/>
          <w:left w:w="28" w:type="dxa"/>
          <w:bottom w:w="28" w:type="dxa"/>
          <w:right w:w="28" w:type="dxa"/>
        </w:tblCellMar>
      </w:tblPr>
      <w:tblGrid>
        <w:gridCol w:w="379"/>
        <w:gridCol w:w="332"/>
        <w:gridCol w:w="334"/>
        <w:gridCol w:w="109"/>
        <w:gridCol w:w="109"/>
        <w:gridCol w:w="109"/>
        <w:gridCol w:w="553"/>
        <w:gridCol w:w="553"/>
        <w:gridCol w:w="555"/>
        <w:gridCol w:w="127"/>
        <w:gridCol w:w="127"/>
        <w:gridCol w:w="127"/>
        <w:gridCol w:w="727"/>
        <w:gridCol w:w="727"/>
        <w:gridCol w:w="729"/>
        <w:gridCol w:w="109"/>
        <w:gridCol w:w="109"/>
        <w:gridCol w:w="109"/>
        <w:gridCol w:w="553"/>
        <w:gridCol w:w="553"/>
        <w:gridCol w:w="555"/>
        <w:gridCol w:w="127"/>
        <w:gridCol w:w="127"/>
        <w:gridCol w:w="127"/>
        <w:gridCol w:w="652"/>
        <w:gridCol w:w="652"/>
        <w:gridCol w:w="935"/>
      </w:tblGrid>
      <w:tr>
        <w:trPr/>
        <w:tc>
          <w:tcPr>
            <w:tcW w:w="37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Spread Sensitivity </w:t>
            </w:r>
            <w:r>
              <w:rPr>
                <w:rFonts w:ascii="Times New Roman;serif" w:hAnsi="Times New Roman;serif"/>
                <w:b/>
                <w:color w:val="000000"/>
                <w:sz w:val="10"/>
              </w:rPr>
              <w:t>1,2</w:t>
            </w:r>
          </w:p>
        </w:tc>
      </w:tr>
      <w:tr>
        <w:trPr/>
        <w:tc>
          <w:tcPr>
            <w:tcW w:w="10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Change in MBS Spread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Change in Portfolio Market Value</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Change in Tangible Net Book Value Per Common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Change in Portfolio Market Value</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Change in Tangible Net Book Value Per Common Share</w:t>
            </w:r>
          </w:p>
        </w:tc>
      </w:tr>
      <w:tr>
        <w:trPr/>
        <w:tc>
          <w:tcPr>
            <w:tcW w:w="10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-50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+24.5%</w:t>
            </w:r>
          </w:p>
        </w:tc>
      </w:tr>
      <w:tr>
        <w:trPr/>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-25 Basis 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w:t>
            </w:r>
          </w:p>
        </w:tc>
      </w:tr>
      <w:tr>
        <w:trPr/>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+0.5%</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+0.5%</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w:t>
            </w:r>
          </w:p>
        </w:tc>
      </w:tr>
      <w:tr>
        <w:trPr/>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 Basis 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-0.5%</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-0.5%</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w:t>
            </w:r>
          </w:p>
        </w:tc>
      </w:tr>
      <w:tr>
        <w:trPr/>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+25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w:t>
            </w:r>
          </w:p>
        </w:tc>
      </w:tr>
      <w:tr>
        <w:trPr/>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+50 Basis 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-24.5%</w:t>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1.Spread sensitivity is derived from models that are dependent on inputs and assumptions, assumes there are no changes in interest rates and assumes a static portfolio. Actual results could differ materially from these estimates.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2.Includes the effect of derivatives and other securities used for hedging purposes.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Liquidity Risk</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liquidity risk principally arises from financing long-term fixed rate assets with shorter-term variable rate borrowings. Future borrowings are dependent upon the willingness of lenders to finance our investments, lender collateral requirements and the lenders' determination of the fair value of the securities pledged as collateral. These factors can change over time in response to interest rate movements, overall market liquidity, shifts in credit quality and changes in bank regulatory requirements. Borrowings under centrally cleared repo also depend on Bethesda Securities' remaining compliant with regulatory and FICC membership requirements and maintaining its risk exposure within limits established by the FICC.</w:t>
      </w:r>
    </w:p>
    <w:p>
      <w:pPr>
        <w:pStyle w:val="TextBody"/>
        <w:bidi w:val="0"/>
        <w:spacing w:lineRule="auto" w:line="288" w:before="180" w:after="283"/>
        <w:ind w:left="0" w:right="0" w:firstLine="495"/>
        <w:jc w:val="both"/>
        <w:rPr/>
      </w:pPr>
      <w:r>
        <w:rPr>
          <w:rFonts w:ascii="Times New Roman;serif" w:hAnsi="Times New Roman;serif"/>
          <w:b w:val="false"/>
          <w:color w:val="000000"/>
          <w:sz w:val="20"/>
        </w:rPr>
        <w:t xml:space="preserve">As of December 31, 2025, we believe that we have sufficient liquidity and capital resources available to execute our business strategy (see </w:t>
      </w:r>
      <w:r>
        <w:rPr>
          <w:rFonts w:ascii="Times New Roman;serif" w:hAnsi="Times New Roman;serif"/>
          <w:b w:val="false"/>
          <w:i/>
          <w:color w:val="000000"/>
          <w:sz w:val="20"/>
        </w:rPr>
        <w:t>Liquidity and Capital Resources</w:t>
      </w:r>
      <w:r>
        <w:rPr>
          <w:color w:val="000000"/>
        </w:rPr>
        <w:t xml:space="preserve"> </w:t>
      </w:r>
      <w:r>
        <w:rPr>
          <w:rFonts w:ascii="Times New Roman;serif" w:hAnsi="Times New Roman;serif"/>
          <w:b w:val="false"/>
          <w:color w:val="000000"/>
          <w:sz w:val="20"/>
        </w:rPr>
        <w:t xml:space="preserve">in this Form 10-K for additional details). However, should the value of our collateral or the value of our derivative instruments suddenly decrease, or margin requirements increase, we may be required to post additional collateral for these arrangements, causing an adverse change in our liquidity position. Furthermore, there is no assurance that we will always be able to renew (or roll) our short-term funding liabilities. In addition, our bilateral counterparties have the option to increase our haircuts (margin requirements) on the assets we pledge against our funding liabilities, and our central clearing counterparties may adjust their risk models impacting the amount of initial margin we are required to post, thereby reducing the amount that can be borrowed against our assets even if they agree to renew or roll our funding liabilities. Significantly higher haircuts or initial margin requirements can reduce our ability to leverage our portfolio or may even force us to sell assets, especially if correlated with asset price declines or faster prepayment rates on our assets.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Credit Risk</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credit sensitive investments, such as CRT and non-Agency securities, expose us to the risk of nonpayment of principal, interest or other remuneration we are contractually entitled to. We are also exposed to credit risk in the event our repurchase agreement counterparties default on their obligations to resell the underlying collateral back to us at the end of the repo term or in the event our derivative counterparties do not perform under the terms of our derivative agreements.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accept credit exposure related to our credit sensitive assets at levels we deem prudent within the context of our overall investment strategy. We attempt to manage this risk through careful asset selection, pre-acquisition due diligence, post-acquisition performance monitoring, and the sale of assets where we identify negative credit trends. We may also manage credit risk with credit default swaps or other financial derivatives that we believe are appropriate. Additionally, we may vary the mix of our interest rate and credit sensitive assets or our duration gap to adjust our credit exposure and/or improve the return profile of our assets, such as when we believe credit performance is inversely correlated with changes in interest rates. Our credit risk related to derivative and repurchase agreement transactions is largely mitigated by limiting our counterparties to regulated financial institutions with acceptable credit ratings or to registered central clearinghouses and monitoring concentration levels with any one counterparty. We also continuously monitor and adjust the amount of collateral pledged based on changes in market value. However, our efforts to manage credit risk may be unsuccessful and we could suffer losses as a result. Excluding central clearing exchanges, as of December 31, 2025, our maximum amount at risk with any counterparty related to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repurchase agreements and derivative agreements was less than 2% and less than 1%, respectively, of tangible stockholders' equity. </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jc w:val="left"/>
        <w:rPr/>
      </w:pPr>
      <w:r>
        <w:rPr/>
      </w:r>
    </w:p>
    <w:p>
      <w:pPr>
        <w:pStyle w:val="TextBody"/>
        <w:bidi w:val="0"/>
        <w:spacing w:lineRule="auto" w:line="288" w:before="0" w:after="0"/>
        <w:jc w:val="left"/>
        <w:rPr/>
      </w:pPr>
      <w:r>
        <w:rPr>
          <w:rFonts w:ascii="Times New Roman;serif" w:hAnsi="Times New Roman;serif"/>
          <w:b/>
          <w:color w:val="000000"/>
          <w:sz w:val="20"/>
        </w:rPr>
        <w:t>Item 8.</w:t>
      </w:r>
      <w:r>
        <w:rPr>
          <w:color w:val="000000"/>
        </w:rPr>
        <w:t xml:space="preserve"> </w:t>
      </w:r>
      <w:r>
        <w:rPr>
          <w:rFonts w:ascii="Times New Roman;serif" w:hAnsi="Times New Roman;serif"/>
          <w:b/>
          <w:i/>
          <w:color w:val="000000"/>
          <w:sz w:val="20"/>
        </w:rPr>
        <w:t>Financial Statements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management is responsible for the accompanying consolidated financial statements and the related financial information. The financial statements have been prepared in conformity with accounting principles generally accepted in the United States and necessarily include certain amounts that are based on estimates and informed judgments. Our management also prepared the related financial information included in this Annual Report on Form 10-K and is responsible for its accuracy and consistency with the consolidated financial statements.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consolidated financial statements as of December 31, 2025 and 2024 and for fiscal years 2025, 2024 and 2023 have been audited by Ernst &amp; Young LLP, an independent registered public accounting firm, who conducted their audit in accordance with the standards of the Public Company Accounting Oversight Board (United States). The independent registered public accounting firm's responsibility is to express an opinion on these consolidated financial statements based on their audits. For further information refer to the Ernst &amp; Young LLP (PCAOB ID: 42) audit opinion included in this Item 8 of our Annual Report.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Management's Report on Internal Control over Financial Reporting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is responsible for establishing and maintaining adequate internal control over financial reporting as defined in Rule 13a-15(f) under the Securities Exchange Act of 1934. Our internal control over financial reporting is designed to provide reasonable assurance regarding the reliability of financial reporting and the preparation of consolidated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that receipts and expenditures are being made only in accordance with authorizations of our management and Board of Directors; and (iii) provide reasonable assurance regarding prevention or timely detection of unauthorized acquisition, use, or disposition of our assets that could have a material effect on the consolidated financial statements. </w:t>
      </w:r>
    </w:p>
    <w:p>
      <w:pPr>
        <w:pStyle w:val="TextBody"/>
        <w:bidi w:val="0"/>
        <w:spacing w:lineRule="auto" w:line="288" w:before="100" w:after="283"/>
        <w:jc w:val="both"/>
        <w:rPr>
          <w:color w:val="000000"/>
        </w:rPr>
      </w:pPr>
      <w:r>
        <w:rPr>
          <w:color w:val="000000"/>
        </w:rPr>
        <w:t> </w:t>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lineRule="auto" w:line="288" w:before="100" w:after="283"/>
        <w:jc w:val="both"/>
        <w:rPr>
          <w:color w:val="000000"/>
        </w:rPr>
      </w:pPr>
      <w:r>
        <w:rPr>
          <w:color w:val="000000"/>
        </w:rPr>
        <w:t> </w:t>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assessed the effectiveness of our internal control over financial reporting as of December 31, 2025, utilizing the criteria set forth by the Committee of Sponsoring Organizations of the Treadway Commission (COSO) in its Internal Control-Integrated Framework (2013 framework). Based on this assessment and those criteria, management determined that our internal control over financial reporting was effective as of December 31, 2025. The effectiveness of our internal control over financial reporting as of December 31, 2025 has been audited by Ernst &amp; Young LLP, our independent registered public accounting firm, as stated in their attestation report included in this Form 10-K. </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 AGNC Investment Corp.</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Opinion on Internal Control over Financial Reporting</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We have audited AGNC Investment Corp.'s internal control over financial reporting as of December 31, 2025, based on criteria established in Internal Control Integrated Framework issued by the Committee of Sponsoring Organizations of the Treadway Commission (2013 framework) (the COSO criteria). In our opinion, AGNC Investment Corp. (the Company) maintained, in all material respects, effective internal control over financial reporting as of December 31, 2025, based on</w:t>
      </w:r>
      <w:r>
        <w:rPr>
          <w:color w:val="000000"/>
        </w:rPr>
        <w:t xml:space="preserve"> </w:t>
      </w:r>
      <w:r>
        <w:rPr>
          <w:rFonts w:ascii="Times New Roman;serif" w:hAnsi="Times New Roman;serif"/>
          <w:b w:val="false"/>
          <w:color w:val="000000"/>
          <w:sz w:val="20"/>
        </w:rPr>
        <w:t>the COSO criteria</w:t>
      </w:r>
      <w:r>
        <w:rPr>
          <w:rFonts w:ascii="Times New Roman;serif" w:hAnsi="Times New Roman;serif"/>
          <w:b/>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also have audited, in accordance with the standards of the Public Company Accounting Oversight Board (United States) (PCAOB), the consolidated balance sheets of the Company as of December 31, 2025 and 2024, the related consolidated statements of comprehensive income, stockholders' equity, and cash flows for each of the three years in the period ended December 31, 2025, and the related notes, and our report dated February 23, 2026 expressed an unqualified opinion thereon.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Definition and Limitations of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/s/ Ernst &amp; Young LLP</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Tysons, Virginia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February 23,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 AGNC Investment Corp.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AGNC Investment Corp. (the Company) as of December 31, 2025 and 2024, the related consolidated statements of comprehensive income, stockholders'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23, 2026 expressed an unqualified opinion thereon.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Audit Matter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53"/>
        <w:gridCol w:w="399"/>
        <w:gridCol w:w="401"/>
        <w:gridCol w:w="109"/>
        <w:gridCol w:w="109"/>
        <w:gridCol w:w="109"/>
        <w:gridCol w:w="2752"/>
        <w:gridCol w:w="2430"/>
        <w:gridCol w:w="3443"/>
      </w:tblGrid>
      <w:tr>
        <w:trPr/>
        <w:tc>
          <w:tcPr>
            <w:tcW w:w="45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3443" w:type="dxa"/>
            <w:tcBorders/>
            <w:vAlign w:val="center"/>
          </w:tcPr>
          <w:p>
            <w:pPr>
              <w:pStyle w:val="TableContents"/>
              <w:bidi w:val="0"/>
              <w:spacing w:before="0" w:after="283"/>
              <w:jc w:val="left"/>
              <w:rPr>
                <w:sz w:val="4"/>
                <w:szCs w:val="4"/>
              </w:rPr>
            </w:pPr>
            <w:r>
              <w:rPr>
                <w:sz w:val="4"/>
                <w:szCs w:val="4"/>
              </w:rPr>
            </w:r>
          </w:p>
        </w:tc>
      </w:tr>
      <w:tr>
        <w:trPr/>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Agency securities and non-agency securities of high credit quality net premium amortization</w:t>
            </w:r>
          </w:p>
        </w:tc>
      </w:tr>
      <w:tr>
        <w:trPr/>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Description </w:t>
              <w:br/>
              <w:t>of the Matter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Company's investment securities had a net unamortized premium balance of $986 million, including interest and principal-only securities, and it recorded $177 million of net premium amortization for the year then ended. As explained in Note 2 to the financial statements, premiums or discounts associated with the purchase of Agency residential mortgage-backed securities ("Agency RMBS") and non-Agency mortgage-backed securities of high credit quality are amortized or accreted into interest income, respectively, over the projected lives of the securities, including contractual payments and estimated prepayments using the effective interest method. The effective yield on the Company's Agency RMBS and non-Agency mortgage-backed securities of high credit quality is highly impacted by the Company’s estimate of future prepayments. The Company estimates long-term prepayment speeds of such securities using a third-party service provider and market data. The third-party service provider estimates long-term prepayment speeds using a prepayment model that incorporates the forward yield curve, current mortgage rates, mortgage rates of the outstanding loans, age and size of the outstanding loans, loan-to-value ratios, interest rate volatility and other factors. </w:t>
            </w:r>
          </w:p>
          <w:p>
            <w:pPr>
              <w:pStyle w:val="TableContents"/>
              <w:bidi w:val="0"/>
              <w:spacing w:before="0" w:after="0"/>
              <w:jc w:val="both"/>
              <w:rPr/>
            </w:pPr>
            <w:r>
              <w:rPr/>
            </w:r>
          </w:p>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Auditing the Company's estimation of long-term prepayment speeds used for the amortization of premiums and accretion of discounts is subjective due to the significant judgments and estimates required by management and the third-party service provider, as inputs into prepayment models are prone to fluctuation based on changing macroeconomic conditions. </w:t>
            </w:r>
          </w:p>
        </w:tc>
      </w:tr>
      <w:tr>
        <w:trPr/>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How We Addressed the Matter in Our 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5" w:type="dxa"/>
            <w:gridSpan w:val="3"/>
            <w:tcBorders/>
            <w:tcMar>
              <w:top w:w="0" w:type="dxa"/>
              <w:left w:w="0" w:type="dxa"/>
              <w:bottom w:w="0" w:type="dxa"/>
              <w:right w:w="0" w:type="dxa"/>
            </w:tcMar>
            <w:vAlign w:val="center"/>
          </w:tcPr>
          <w:p>
            <w:pPr>
              <w:pStyle w:val="TableContents"/>
              <w:bidi w:val="0"/>
              <w:spacing w:lineRule="auto" w:line="240" w:before="0" w:after="283"/>
              <w:jc w:val="both"/>
              <w:rPr/>
            </w:pPr>
            <w:r>
              <w:rPr>
                <w:rFonts w:ascii="Times New Roman;serif" w:hAnsi="Times New Roman;serif"/>
                <w:b w:val="false"/>
                <w:color w:val="000000"/>
                <w:sz w:val="20"/>
              </w:rPr>
              <w:t xml:space="preserve">We obtained an understanding, evaluated the design and tested the operating effectiveness of internal controls over the estimation of long-term prepayment speeds, including management's review of the estimated prepayment speeds provided by the third-party service provider. </w:t>
              <w:br/>
            </w:r>
            <w:r>
              <w:rPr>
                <w:rFonts w:ascii="Times New Roman;serif" w:hAnsi="Times New Roman;serif"/>
                <w:b w:val="false"/>
                <w:sz w:val="20"/>
              </w:rPr>
              <w:br/>
            </w:r>
            <w:r>
              <w:rPr>
                <w:rFonts w:ascii="Times New Roman;serif" w:hAnsi="Times New Roman;serif"/>
                <w:b w:val="false"/>
                <w:color w:val="000000"/>
                <w:sz w:val="20"/>
              </w:rPr>
              <w:t xml:space="preserve">Our audit procedures included, among others, performing comparative analyses between the Company's long-term prepayment speed estimates and long-term prepayment speed estimates data from independent third-party sources, reconciling the Company's estimates of long-term prepayment speeds to source prepayment speeds data provided by management's third-party service provider, evaluating the competency and objectivity of management’s third-party service provider, and identifying potential sources of contrary information, with the assistance of an internal valuation specialist. </w:t>
            </w:r>
          </w:p>
        </w:tc>
      </w:tr>
    </w:tbl>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/s/ Ernst &amp; Young LLP</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2008.</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Tysons, Virginia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February 23,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AGNC INVESTMENT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data)</w:t>
      </w:r>
    </w:p>
    <w:tbl>
      <w:tblPr>
        <w:tblW w:w="10205" w:type="dxa"/>
        <w:jc w:val="center"/>
        <w:tblInd w:w="0" w:type="dxa"/>
        <w:tblLayout w:type="fixed"/>
        <w:tblCellMar>
          <w:top w:w="28" w:type="dxa"/>
          <w:left w:w="28" w:type="dxa"/>
          <w:bottom w:w="28" w:type="dxa"/>
          <w:right w:w="28" w:type="dxa"/>
        </w:tblCellMar>
      </w:tblPr>
      <w:tblGrid>
        <w:gridCol w:w="2895"/>
        <w:gridCol w:w="2459"/>
        <w:gridCol w:w="2486"/>
        <w:gridCol w:w="196"/>
        <w:gridCol w:w="736"/>
        <w:gridCol w:w="109"/>
        <w:gridCol w:w="109"/>
        <w:gridCol w:w="109"/>
        <w:gridCol w:w="109"/>
        <w:gridCol w:w="196"/>
        <w:gridCol w:w="646"/>
        <w:gridCol w:w="155"/>
      </w:tblGrid>
      <w:tr>
        <w:trPr/>
        <w:tc>
          <w:tcPr>
            <w:tcW w:w="2895"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8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Agency securities, at fair value (including pledged securities of $74,149 and $59,952, respectively)</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Agency securities transferred to consolidated variable interest entities, at fair value (pledged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Credit risk transfer securities, at fair value (including pledged securities of $558 and $590,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Non-Agency securities, at fair value, and other mortgage credit investments (including pledged securities of $13 and $206,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U.S. Treasury securities, at fair value (including pledged securities of $13,056 and $1,565,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 at fair value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Receivable for investment securities sold (including pledged securities of $149 and $0,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 under reverse repurchase agreements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88,015 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agreements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of consolidated variable interest entities, at fair value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Payable for investment securities purchased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liabilities, at fair value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Obligation to return securities borrowed under reverse repurchase agreements, at fair value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78,253 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 aggregate liquidation preference of $2,033 and $1,688,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 $0.01 par value; 2,250 and 1,500 shares authorized, respectively; 1,107.6 and 897.4 shares issued and outstanding,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deficit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88,015 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AGNC INVESTMENT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COMPREHENSIVE INCOME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data)</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374"/>
        <w:gridCol w:w="1830"/>
        <w:gridCol w:w="1838"/>
        <w:gridCol w:w="109"/>
        <w:gridCol w:w="109"/>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6"/>
      </w:tblGrid>
      <w:tr>
        <w:trPr/>
        <w:tc>
          <w:tcPr>
            <w:tcW w:w="2374"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1310" w:type="dxa"/>
            <w:gridSpan w:val="6"/>
            <w:tcBorders/>
          </w:tcPr>
          <w:p>
            <w:pPr>
              <w:pStyle w:val="TableContents"/>
              <w:bidi w:val="0"/>
              <w:spacing w:before="0" w:after="283"/>
              <w:jc w:val="left"/>
              <w:rPr>
                <w:sz w:val="4"/>
                <w:szCs w:val="4"/>
              </w:rPr>
            </w:pPr>
            <w:r>
              <w:rPr>
                <w:sz w:val="4"/>
                <w:szCs w:val="4"/>
              </w:rPr>
            </w:r>
          </w:p>
        </w:tc>
      </w:tr>
      <w:tr>
        <w:trPr/>
        <w:tc>
          <w:tcPr>
            <w:tcW w:w="60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6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gain (loss),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sale of investment securities,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investment securities measured at fair value through net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derivative instruments and other investments,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gain,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on preferred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available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investment securities measured at fair value through other comprehensive income (loss),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Dividends on preferred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available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color w:val="000000"/>
                <w:sz w:val="20"/>
              </w:rPr>
            </w:pPr>
            <w:r>
              <w:rPr>
                <w:rFonts w:ascii="Times New Roman;serif" w:hAnsi="Times New Roman;serif"/>
                <w:b/>
                <w:color w:val="000000"/>
                <w:sz w:val="20"/>
              </w:rPr>
              <w:t>Weighted average number of common shares outstanding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color w:val="000000"/>
                <w:sz w:val="20"/>
              </w:rPr>
            </w:pPr>
            <w:r>
              <w:rPr>
                <w:rFonts w:ascii="Times New Roman;serif" w:hAnsi="Times New Roman;serif"/>
                <w:b/>
                <w:color w:val="000000"/>
                <w:sz w:val="20"/>
              </w:rPr>
              <w:t>Weighted average number of common shares outstanding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619.6 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per common share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per common share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0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AGNC INVESTMENT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STOCKHOLDERS' EQUITY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881"/>
        <w:gridCol w:w="426"/>
        <w:gridCol w:w="384"/>
        <w:gridCol w:w="210"/>
        <w:gridCol w:w="596"/>
        <w:gridCol w:w="116"/>
        <w:gridCol w:w="109"/>
        <w:gridCol w:w="109"/>
        <w:gridCol w:w="109"/>
        <w:gridCol w:w="345"/>
        <w:gridCol w:w="346"/>
        <w:gridCol w:w="196"/>
        <w:gridCol w:w="109"/>
        <w:gridCol w:w="109"/>
        <w:gridCol w:w="109"/>
        <w:gridCol w:w="212"/>
        <w:gridCol w:w="359"/>
        <w:gridCol w:w="120"/>
        <w:gridCol w:w="109"/>
        <w:gridCol w:w="109"/>
        <w:gridCol w:w="109"/>
        <w:gridCol w:w="196"/>
        <w:gridCol w:w="646"/>
        <w:gridCol w:w="109"/>
        <w:gridCol w:w="109"/>
        <w:gridCol w:w="109"/>
        <w:gridCol w:w="109"/>
        <w:gridCol w:w="196"/>
        <w:gridCol w:w="580"/>
        <w:gridCol w:w="109"/>
        <w:gridCol w:w="109"/>
        <w:gridCol w:w="109"/>
        <w:gridCol w:w="109"/>
        <w:gridCol w:w="321"/>
        <w:gridCol w:w="715"/>
        <w:gridCol w:w="180"/>
        <w:gridCol w:w="109"/>
        <w:gridCol w:w="109"/>
        <w:gridCol w:w="109"/>
        <w:gridCol w:w="196"/>
        <w:gridCol w:w="646"/>
        <w:gridCol w:w="158"/>
      </w:tblGrid>
      <w:tr>
        <w:trPr/>
        <w:tc>
          <w:tcPr>
            <w:tcW w:w="88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Retained </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 xml:space="preserve">Income (Loss)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9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69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69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69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69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69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69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69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69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69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69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69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December 31, 2022</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(672)</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7,870 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gain on available-for-sale securities, net</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net</w:t>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69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dividends declared</w:t>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dividends declared</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69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December 31, 2023</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Unrealized loss on available-for-sale securities, net </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net</w:t>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dividends declared</w:t>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dividends declared</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69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December 31, 2024</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897.4 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9,762 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Unrealized gain on available-for-sale securities, net </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net</w:t>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preferred stock</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w:t>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dividends declared</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dividends declared</w:t>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December 31, 2025</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1,968 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1,107.6 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(8,524)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12,393 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AGNC INVESTMENT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CASH FLOWS </w:t>
      </w:r>
    </w:p>
    <w:p>
      <w:pPr>
        <w:pStyle w:val="TextBody"/>
        <w:bidi w:val="0"/>
        <w:spacing w:lineRule="auto" w:line="288" w:before="0" w:after="0"/>
        <w:jc w:val="center"/>
        <w:rPr/>
      </w:pPr>
      <w:r>
        <w:rPr>
          <w:rFonts w:ascii="Times New Roman;serif" w:hAnsi="Times New Roman;serif"/>
          <w:b/>
          <w:color w:val="000000"/>
          <w:sz w:val="20"/>
        </w:rPr>
        <w:t>(in millions)</w:t>
      </w:r>
      <w:r>
        <w:rPr>
          <w:color w:val="000000"/>
        </w:rPr>
        <w:t> </w:t>
      </w:r>
    </w:p>
    <w:tbl>
      <w:tblPr>
        <w:tblW w:w="10205" w:type="dxa"/>
        <w:jc w:val="center"/>
        <w:tblInd w:w="0" w:type="dxa"/>
        <w:tblLayout w:type="fixed"/>
        <w:tblCellMar>
          <w:top w:w="28" w:type="dxa"/>
          <w:left w:w="28" w:type="dxa"/>
          <w:bottom w:w="28" w:type="dxa"/>
          <w:right w:w="28" w:type="dxa"/>
        </w:tblCellMar>
      </w:tblPr>
      <w:tblGrid>
        <w:gridCol w:w="2335"/>
        <w:gridCol w:w="2010"/>
        <w:gridCol w:w="2018"/>
        <w:gridCol w:w="243"/>
        <w:gridCol w:w="694"/>
        <w:gridCol w:w="109"/>
        <w:gridCol w:w="109"/>
        <w:gridCol w:w="109"/>
        <w:gridCol w:w="109"/>
        <w:gridCol w:w="243"/>
        <w:gridCol w:w="694"/>
        <w:gridCol w:w="109"/>
        <w:gridCol w:w="109"/>
        <w:gridCol w:w="109"/>
        <w:gridCol w:w="109"/>
        <w:gridCol w:w="243"/>
        <w:gridCol w:w="694"/>
        <w:gridCol w:w="159"/>
      </w:tblGrid>
      <w:tr>
        <w:trPr/>
        <w:tc>
          <w:tcPr>
            <w:tcW w:w="2335"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3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premiums and discounts on mortgage-backed securities, net</w:t>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net</w:t>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sale of investment securities, net</w:t>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loss on investment securities measured at fair value through net income, net</w:t>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derivative instruments and other securities, net</w:t>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other assets</w:t>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other liabilities</w:t>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operating activities</w:t>
            </w:r>
          </w:p>
        </w:tc>
        <w:tc>
          <w:tcPr>
            <w:tcW w:w="9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10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Agency mortgage-backed securities</w:t>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(32,216)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credit risk transfer and non-Agency securities and other mortgage credit investments</w:t>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Agency mortgage-backed securities</w:t>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13,608 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credit risk transfer and non-Agency securities</w:t>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collections on Agency mortgage-backed securities</w:t>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collections on credit risk transfer and non-Agency securities</w:t>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U.S. Treasury securities</w:t>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(30,535)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U.S. Treasury securities</w:t>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33,229 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proceeds from (payments on) reverse repurchase agreements</w:t>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proceeds from (payments on) derivative instruments</w:t>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(14,672)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10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repurchase arrangements</w:t>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7,175,107 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5,600,336 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3,282,218 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repurchase agreements</w:t>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(7,150,619)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(5,589,964)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(3,268,054)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debt of consolidated variable interest entities</w:t>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proceeds from preferred stock issuance</w:t>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6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proceeds from common stock issuances</w:t>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3"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6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paid</w:t>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9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14,227 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 cash equivalents and restricted cash</w:t>
            </w:r>
          </w:p>
        </w:tc>
        <w:tc>
          <w:tcPr>
            <w:tcW w:w="9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period</w:t>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end of period</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of cash, cash equivalents and restricted cash end of period:</w:t>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 end of period</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 to cash flow information:</w:t>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paid</w:t>
            </w:r>
          </w:p>
        </w:tc>
        <w:tc>
          <w:tcPr>
            <w:tcW w:w="24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2,899 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2,246 </w:t>
            </w:r>
          </w:p>
        </w:tc>
        <w:tc>
          <w:tcPr>
            <w:tcW w:w="15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AGNC INVESTMENT CORP.</w:t>
      </w:r>
    </w:p>
    <w:p>
      <w:pPr>
        <w:pStyle w:val="TextBody"/>
        <w:bidi w:val="0"/>
        <w:spacing w:lineRule="auto" w:line="288" w:before="100" w:after="120"/>
        <w:jc w:val="center"/>
        <w:rPr>
          <w:rFonts w:ascii="Times New Roman;serif" w:hAnsi="Times New Roman;serif"/>
          <w:b/>
          <w:color w:val="000000"/>
          <w:sz w:val="20"/>
        </w:rPr>
      </w:pPr>
      <w:r>
        <w:rPr>
          <w:rFonts w:ascii="Times New Roman;serif" w:hAnsi="Times New Roman;serif"/>
          <w:b/>
          <w:color w:val="000000"/>
          <w:sz w:val="20"/>
        </w:rPr>
        <w:t xml:space="preserve">NOTES TO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Organization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AGNC Investment Corp. (referred throughout this report as the "Company," "we," "us" and "our") was organized in Delaware on January 7, 2008 and commenced operations on May 20, 2008 following the completion of our initial public offering. Our common stock is traded on The Nasdaq Global Select Market under the symbol "AGNC."</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are a leading provider of private capital to the U.S. housing market, enhancing liquidity in the residential real estate mortgage markets and, in turn, facilitating home ownership in the U.S. We invest primarily in Agency residential mortgage-backed securities ("Agency RMBS") for which the principal and interest payments are guaranteed by a U.S. Government-sponsored enterprise ("GSE") or a U.S. Government agency. We also invest in Agency multifamily mortgage-backed securities ("Agency multifamily MBS") that are similarly guaranteed by the GSEs and in other types of mortgage and mortgage-related securities, such as credit risk transfer ("CRT") securities and non-Agency residential and commercial mortgage-backed securities ("non-Agency RMBS" and "CMBS," respectively), where repayment of principal and interest is not guaranteed by a GSE or U.S. Government agency, and other assets related to the housing, mortgage or real estate markets. We fund our investments primarily through collateralized borrowings structured as repurchase agreements. </w:t>
      </w:r>
    </w:p>
    <w:p>
      <w:pPr>
        <w:pStyle w:val="TextBody"/>
        <w:bidi w:val="0"/>
        <w:spacing w:lineRule="auto" w:line="288" w:before="180" w:after="283"/>
        <w:ind w:left="0" w:right="0" w:firstLine="495"/>
        <w:jc w:val="both"/>
        <w:rPr/>
      </w:pPr>
      <w:r>
        <w:rPr>
          <w:rFonts w:ascii="Times New Roman;serif" w:hAnsi="Times New Roman;serif"/>
          <w:b w:val="false"/>
          <w:color w:val="000000"/>
          <w:sz w:val="20"/>
        </w:rPr>
        <w:t>We operate to qualify to be taxed as a real estate investment trust ("REIT") under the Internal Revenue Code of 1986, as amended (the "Internal Revenue Code"). As a REIT, we are required to distribute annually 90% of our taxable income, and we will generally not be subject to U.S. federal or state corporate income tax to the extent that we distribute our annual taxable income to our stockholders on a timely basis. It is our intention to distribute 100% of our taxable income within the time limits prescribed by the Internal Revenue Code, which may extend into the subsequent tax year.</w:t>
      </w:r>
      <w:r>
        <w:rPr>
          <w:color w:val="000000"/>
        </w:rPr>
        <w:t xml:space="preserve">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are internally managed with the principal objective of generating favorable long-term stockholder returns with a substantial yield component. We generate income from the interest earned on our investments, net of associated borrowing and hedging costs, and net realized gains and losses on our investment and hedging activities.</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2. Summary of Significant Accounting Policies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Basis of Presentation and Consolidation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consolidated financial statements are prepared in accordance with accounting principles generally accepted in the United States ("GAAP"). Our consolidated financial statements include the accounts of all subsidiaries and variable interest entities for which we are the primary beneficiary. Significant intercompany accounts and transactions have been eliminated.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in conformity with GAAP requires management to make estimates and assumptions that affect the reported amounts of assets and liabilities, disclosure of contingent assets and liabilities at the date of the financial statements and revenues and expenses during the period reported. Actual results could differ from those estimates.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Investment Securities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Agency RMBS consist of residential mortgage pass-through securities and collateralized mortgage obligations ("CMOs") guaranteed by the Federal National Mortgage Association ("Fannie Mae"), Federal Home Loan Mortgage Corporation ("Freddie Mac," and together with Fannie Mae, the "GSEs") or the Government National Mortgage Association ("Ginnie Mae").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Agency multifamily MBS consist of securities backed by one or more mortgage loans secured by one or more multifamily properties that are similarly guaranteed by a GSE. Our investments in Agency multifamily MBS primarily consist of securities issued under Fannie Mae's Delegated Underwriting and Servicing ("DUS") program, which are generally backed by a single mortgage loan secured by a single property and include lender risk-sharing.</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CRT securities are risk sharing instruments issued by the GSEs, and similarly structured transactions issued by third-party market participants, that synthetically transfer a portion of the risk associated with credit losses within pools of conventional residential and multifamily mortgage loans from the GSEs and/or third parties to private investors. Unlike Agency RMBS and Agency multifamily MBS, full repayment of the original principal balance of CRT securities is not guaranteed by a GSE or U.S. Government agency; rather, "credit risk transfer" is achieved by writing down the outstanding principal balance of the CRT securities if credit losses on a related pool of loans exceed certain thresholds. By reducing the principal amount that they are obligated to repay to holders of CRT securities, the GSEs and/or other third parties offset credit losses on the related loans.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Non-Agency RMBS and CMBS (together, "non-Agency MBS") are backed by residential and commercial mortgage loans, respectively, packaged and securitized by a private institution, such as a commercial bank. Non-Agency MBS typically benefit from credit enhancements derived from structural elements, such as subordination, over-collateralization or insurance, but nonetheless carry a higher level of credit exposure than Agency RMBS. </w:t>
      </w:r>
    </w:p>
    <w:p>
      <w:pPr>
        <w:pStyle w:val="TextBody"/>
        <w:bidi w:val="0"/>
        <w:spacing w:lineRule="auto" w:line="288" w:before="180" w:after="283"/>
        <w:ind w:left="0" w:right="0" w:firstLine="495"/>
        <w:jc w:val="both"/>
        <w:rPr/>
      </w:pPr>
      <w:r>
        <w:rPr>
          <w:rFonts w:ascii="Times New Roman;serif" w:hAnsi="Times New Roman;serif"/>
          <w:b w:val="false"/>
          <w:color w:val="000000"/>
          <w:sz w:val="20"/>
        </w:rPr>
        <w:t xml:space="preserve">All of our securities are reported at fair value on our consolidated balance sheet. Accounting Standards Codification ("ASC") Topic 320, </w:t>
      </w:r>
      <w:r>
        <w:rPr>
          <w:rFonts w:ascii="Times New Roman;serif" w:hAnsi="Times New Roman;serif"/>
          <w:b w:val="false"/>
          <w:i/>
          <w:color w:val="000000"/>
          <w:sz w:val="20"/>
        </w:rPr>
        <w:t>Investments—Debt and Equity Securities</w:t>
      </w:r>
      <w:r>
        <w:rPr>
          <w:rFonts w:ascii="Times New Roman;serif" w:hAnsi="Times New Roman;serif"/>
          <w:b w:val="false"/>
          <w:color w:val="000000"/>
          <w:sz w:val="20"/>
        </w:rPr>
        <w:t xml:space="preserve">, requires that at the time of purchase, we designate a security as held-to-maturity, available-for-sale or trading, depending on our ability and intent to hold such security to maturity. Alternatively, we may elect the fair value option of accounting for securities pursuant to ASC Topic 825, </w:t>
      </w:r>
      <w:r>
        <w:rPr>
          <w:rFonts w:ascii="Times New Roman;serif" w:hAnsi="Times New Roman;serif"/>
          <w:b w:val="false"/>
          <w:i/>
          <w:color w:val="000000"/>
          <w:sz w:val="20"/>
        </w:rPr>
        <w:t>Financial Instruments</w:t>
      </w:r>
      <w:r>
        <w:rPr>
          <w:rFonts w:ascii="Times New Roman;serif" w:hAnsi="Times New Roman;serif"/>
          <w:b w:val="false"/>
          <w:color w:val="000000"/>
          <w:sz w:val="20"/>
        </w:rPr>
        <w:t>. Prior to fiscal year 2017, we primarily designated our investment securities as available-for-sale. On January 1, 2017, we began electing the fair value option of accounting for all investment securities newly acquired after such date. Unrealized gains and losses on securities classified as available-for-sale are reported in accumulated other comprehensive income ("OCI"), whereas unrealized gains and losses on securities for which we elected the fair value option, or are classified as trading, are reported in net income through other gain (loss). Upon the sale of a security designated as available-for-sale, we determine the cost of the security and the amount of unrealized gain or loss to reclassify out of accumulated OCI into earnings based on the specific identification method. In our view, the election of the fair value option simplifies the accounting for investment securities and more appropriately reflects the results of our operations for a reporting period by presenting the fair value changes for these assets in a manner consistent with the presentation and timing of the fair value changes for our derivative instruments.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generally recognize gains or losses through net income on available-for-sale securities only if the security is sold; however, if the fair value of a security declines below its amortized cost and we determine that it is more likely than not that we will incur a realized loss on the security when we sell the asset, we will recognize the difference between the amortized cost and the fair value in net income as a component of other gain (loss). We did not recognize any loss on available for sale securities through net income that we held as of December 31, 2025 because, as of such date, we neither intended to sell any securities in an unrealized loss position nor was it more likely than not that we would be required to sell such securities before recovery of their amortized cost basis. Since all of our available-for-sale designated securities consist of Agency RMBS, we do not have an allowance for credit losses. We have not recognized impairment losses on our available-for-sale securities through net income for the periods presented in our consolidated financial statements.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180" w:after="283"/>
        <w:ind w:left="0" w:right="0" w:firstLine="495"/>
        <w:jc w:val="both"/>
        <w:rPr/>
      </w:pPr>
      <w:r>
        <w:rPr>
          <w:rFonts w:ascii="Times New Roman;serif" w:hAnsi="Times New Roman;serif"/>
          <w:b w:val="false"/>
          <w:color w:val="000000"/>
          <w:sz w:val="20"/>
        </w:rPr>
        <w:t xml:space="preserve">Interest income is accrued based on the outstanding principal amount of the investment securities and their contractual terms. Premiums or discounts associated with the purchase of Agency RMBS and non-Agency MBS of high credit quality are amortized or accreted into interest income, respectively, over the projected lives of the securities, including contractual payments and estimated prepayments, using the effective interest method in accordance with ASC Subtopic 310-20, </w:t>
      </w:r>
      <w:r>
        <w:rPr>
          <w:rFonts w:ascii="Times New Roman;serif" w:hAnsi="Times New Roman;serif"/>
          <w:b w:val="false"/>
          <w:i/>
          <w:color w:val="000000"/>
          <w:sz w:val="20"/>
        </w:rPr>
        <w:t>Receivables—Nonrefundable Fees and Other Costs</w:t>
      </w:r>
      <w:r>
        <w:rPr>
          <w:rFonts w:ascii="Times New Roman;serif" w:hAnsi="Times New Roman;serif"/>
          <w:b w:val="false"/>
          <w:color w:val="000000"/>
          <w:sz w:val="20"/>
        </w:rPr>
        <w:t>.</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estimate long-term prepayment speeds of our mortgage securities using a third-party service and market data. The third-party service provider estimates prepayment speeds using models that incorporate the forward yield curve, primary to secondary mortgage rate spreads, current mortgage rates, mortgage rates of the outstanding loans, age and size of the outstanding loans, loan-to-value ratios, interest rate volatility and other factors. We review the prepayment speeds estimated by the third-party service for reasonableness with consideration given to both historical prepayment speeds and current market conditions. If based on our assessment, we believe that the third-party model does not fully reflect our expectations of the current prepayment landscape we may make adjustments to the models. We review our actual and anticipated prepayment experience on at least a quarterly basis and effective yields are recalculated when differences arise between (i) our previous estimate of future prepayments and (ii) actual prepayments to date and our current estimate of future prepayments. We are required to record an adjustment in the current period to premium amortization / discount accretion for the cumulative effect of the difference in the effective yields as if the recalculated yield had been in place as of the security's acquisition date through the reporting date.</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At the time we purchase CRT securities and non-Agency MBS that are not of high credit quality, we determine an effective yield based on our estimate of the timing and amount of future cash flows and our cost basis. Our initial cash flow estimates for these investments are based on our observations of current information and events and include assumptions related to interest rates, prepayment rates, collateral call provisions, and the impact of default and severity rates on the timing and amount of credit losses. On at least a quarterly basis, we review the estimated cash flows and make appropriate adjustments based on inputs and analysis received from external sources, internal models, and our judgment regarding such inputs and other factors. Any resulting changes in effective yield are recognized prospectively based on the current amortized cost of the investment adjusted for credit impairments, if 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pPr>
      <w:r>
        <w:rPr>
          <w:rFonts w:ascii="Times New Roman;serif" w:hAnsi="Times New Roman;serif"/>
          <w:b/>
          <w:i/>
          <w:color w:val="000000"/>
          <w:sz w:val="20"/>
        </w:rPr>
        <w:t>Repurchase Agreements</w:t>
      </w:r>
      <w:r>
        <w:rPr>
          <w:color w:val="000000"/>
        </w:rPr>
        <w:t> </w:t>
      </w:r>
    </w:p>
    <w:p>
      <w:pPr>
        <w:pStyle w:val="TextBody"/>
        <w:bidi w:val="0"/>
        <w:spacing w:lineRule="auto" w:line="288" w:before="180" w:after="283"/>
        <w:ind w:left="0" w:right="0" w:firstLine="495"/>
        <w:jc w:val="both"/>
        <w:rPr/>
      </w:pPr>
      <w:r>
        <w:rPr>
          <w:rFonts w:ascii="Times New Roman;serif" w:hAnsi="Times New Roman;serif"/>
          <w:b w:val="false"/>
          <w:color w:val="000000"/>
          <w:sz w:val="20"/>
        </w:rPr>
        <w:t xml:space="preserve">We finance the acquisition of securities for our investment portfolio primarily through repurchase agreements with our lending counterparties. Repurchase arrangements involve the sale and a simultaneous agreement to repurchase the securities at a future date. We maintain a beneficial interest in the specific securities pledged during the term of each repurchase arrangement and we receive the related principal and interest payments. Pursuant to ASC Topic 860, </w:t>
      </w:r>
      <w:r>
        <w:rPr>
          <w:rFonts w:ascii="Times New Roman;serif" w:hAnsi="Times New Roman;serif"/>
          <w:b w:val="false"/>
          <w:i/>
          <w:color w:val="000000"/>
          <w:sz w:val="20"/>
        </w:rPr>
        <w:t>Transfers and Servicing</w:t>
      </w:r>
      <w:r>
        <w:rPr>
          <w:rFonts w:ascii="Times New Roman;serif" w:hAnsi="Times New Roman;serif"/>
          <w:b w:val="false"/>
          <w:color w:val="000000"/>
          <w:sz w:val="20"/>
        </w:rPr>
        <w:t>, we account for repurchase agreements as collateralized financing transactions, which are carried at their contractual amounts (cost), plus accrued interest. Our repurchase agreements typically have maturities of less than one year.</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Reverse Repurchase Agreements and Obligation to Return Securities Borrowed under Reverse Repurchase Agreements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We borrow securities to cover short sales of U.S. Treasury securities through reverse repurchase transactions (see </w:t>
      </w:r>
      <w:r>
        <w:rPr>
          <w:rFonts w:ascii="Times New Roman;serif" w:hAnsi="Times New Roman;serif"/>
          <w:b w:val="false"/>
          <w:i/>
          <w:color w:val="000000"/>
          <w:sz w:val="20"/>
        </w:rPr>
        <w:t>Derivative Instruments</w:t>
      </w:r>
      <w:r>
        <w:rPr>
          <w:color w:val="000000"/>
        </w:rPr>
        <w:t xml:space="preserve"> </w:t>
      </w:r>
      <w:r>
        <w:rPr>
          <w:rFonts w:ascii="Times New Roman;serif" w:hAnsi="Times New Roman;serif"/>
          <w:b w:val="false"/>
          <w:color w:val="000000"/>
          <w:sz w:val="20"/>
        </w:rPr>
        <w:t>below). We account for these as securities borrowing transactions and recognize an obligation to return the borrowed securities at fair value on the balance sheet based on the value of the underlying borrowed securities as of the reporting date. We may also enter into reverse repurchase agreements to earn a yield on excess cash balances. The securities received as collateral in connection with our reverse repurchase agreements mitigate our credit risk exposure to counterparties. Our reverse repurchase agreements typically have maturities of 30 days or less.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Derivative Instruments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use a variety of derivative instruments to hedge a portion of our exposure to market risks, including interest rate, prepayment, extension and liquidity risks. The objective of our risk management strategy is to reduce fluctuations in net book value over a range of interest rate scenarios. In particular, we attempt to mitigate the risk of the cost of our variable rate liabilities increasing during a period of rising interest rates. The primary instruments that we use are interest rate swaps, options to enter into interest rate swaps ("swaptions"), U.S. Treasury securities and U.S. Treasury futures contracts. We also use forward contracts in the Agency RMBS "to-be-announced" market, or TBA securities, to invest in and finance Agency securities and to periodically reduce our exposure to Agency RMBS. </w:t>
      </w:r>
    </w:p>
    <w:p>
      <w:pPr>
        <w:pStyle w:val="TextBody"/>
        <w:bidi w:val="0"/>
        <w:spacing w:lineRule="auto" w:line="288" w:before="180" w:after="283"/>
        <w:ind w:left="0" w:right="0" w:firstLine="495"/>
        <w:jc w:val="both"/>
        <w:rPr/>
      </w:pPr>
      <w:r>
        <w:rPr>
          <w:rFonts w:ascii="Times New Roman;serif" w:hAnsi="Times New Roman;serif"/>
          <w:b w:val="false"/>
          <w:color w:val="000000"/>
          <w:sz w:val="20"/>
        </w:rPr>
        <w:t xml:space="preserve">We account for derivative instruments in accordance with ASC Topic 815, </w:t>
      </w:r>
      <w:r>
        <w:rPr>
          <w:rFonts w:ascii="Times New Roman;serif" w:hAnsi="Times New Roman;serif"/>
          <w:b w:val="false"/>
          <w:i/>
          <w:color w:val="000000"/>
          <w:sz w:val="20"/>
        </w:rPr>
        <w:t xml:space="preserve">Derivatives and Hedging </w:t>
      </w:r>
      <w:r>
        <w:rPr>
          <w:rFonts w:ascii="Times New Roman;serif" w:hAnsi="Times New Roman;serif"/>
          <w:b w:val="false"/>
          <w:color w:val="000000"/>
          <w:sz w:val="20"/>
        </w:rPr>
        <w:t>("ASC 815"). ASC 815 requires an entity to recognize all derivatives as either assets or liabilities in our accompanying consolidated balance sheets and to measure those instruments at fair value. None of our derivative instruments have been designated as hedging instruments for accounting purposes under the provisions of ASC 815, consequently changes in the fair value of our derivative instruments are reported in gain (loss) on derivative instruments and other securities, net in our consolidated statements of comprehensive income.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derivative agreements generally contain provisions that allow for netting or setting off derivative assets and liabilities with the counterparty; however, we report related assets and liabilities on a gross basis in our consolidated balance sheets. Derivative instruments in a gain position are reported as derivative assets at fair value and derivative instruments in a loss position are reported as derivative liabilities at fair value in our consolidated balance sheets. Changes in fair value of derivative instruments and periodic settlements related to our derivative instruments are recorded in gain (loss) on derivative instruments and other securities, net in our consolidated statements of comprehensive income. Net cash receipts from and payments on our derivative instruments are classified in our consolidated statements of cash flows according to the underlying nature or purpose of the derivative transaction, generally in the investing section. </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Interest rate swap agreements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use interest rate swaps to economically hedge the variable cash flows associated with our borrowings made under repurchase agreements. Under our interest rate swap agreements, we typically pay a fixed rate and receive a floating rate ("payer swaps") based on a short-term benchmark rate, such as the Secured Overnight Financing Rate ("SOFR") and Overnight Index Swap Rate ("OIS"). Our interest rate swaps typically have terms from one to 10 years. Our interest rate swaps are centrally cleared through a registered commodities exchange. The clearing exchange requires that we post an "initial margin" amount determined by the exchange. The initial margin amount is intended to be set at a level sufficient to protect the exchange from the interest rate swap's maximum estimated single-day price movement and is subject to adjustment based on changes in market volatility and other factors. We also exchange daily settlements of "variation margin" based upon changes in fair value, as measured by the exchange. Pursuant to rules governing central clearing activities, we recognize variation margin settlements as a direct reduction of the carrying value of the interest rate swap asset or liability. </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Interest rate swaptions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purchase interest rate swaptions to help mitigate the potential impact of larger, more rapid changes in interest rates on the performance of our investment portfolio. Interest rate swaptions provide us the option to enter into an interest rate swap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agreement for a predetermined notional amount, stated term and pay and receive interest rates in the future. Our interest rate swaption agreements are not subject to central clearing. The difference between the premium paid and the fair value of the swaption is reported in gain (loss) on derivative instruments and other securities, net in our consolidated statements of comprehensive income. If a swaption expires unexercised, the realized loss on the swaption would be equal to the premium paid. If we sell or exercise a swaption, the realized gain or loss on the swaption would be equal to the difference between the cash or the fair value of the underlying interest rate swap and the premium paid.</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TBA securities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 TBA security is a forward contract for the purchase or sale of Agency RMBS at a predetermined price, face amount, issuer, coupon and stated maturity on an agreed-upon future date. The specific Agency RMBS to be delivered into the contract are not known until shortly before the settlement date. We may choose, prior to settlement, to move the settlement of these securities out to a later date by entering into an offsetting TBA position, net settling the offsetting positions for cash, and simultaneously purchasing or selling a similar TBA contract for a later settlement date (together referred to as a "dollar roll transaction"). The Agency securities purchased or sold for a forward settlement date are typically priced at a discount to equivalent securities settling in the current month. This difference, or "price drop," is the economic equivalent of interest income on the underlying Agency securities, less an implied funding cost, over the forward settlement period (referred to as "dollar roll income"). Consequently, forward purchases of Agency securities and dollar roll transactions represent a form of off-balance sheet financing.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account for TBA contracts as derivative instruments since either the TBA contracts do not settle in the shortest period of time possible or we cannot assert that it is probable at inception and throughout the term of the TBA contract that we will physically settle the contract on the settlement date. We account for TBA dollar roll transactions as a series of derivative transactions. </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U.S. Treasury securities and US Treasury futures contracts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use U.S. Treasury securities and U.S. Treasury futures contracts to mitigate the potential impact of changes in interest rates on the performance of our portfolio. We enter into short-sales of U.S. Treasury securities by borrowing the securities under reverse repurchase agreements and selling them into the market. We account for these as securities borrowing transactions and recognize an obligation to return the borrowed securities at fair value on our accompanying consolidated balance sheets based on the value of the underlying U.S. Treasury security as of the reporting date. Treasury futures contracts are standardized contracts that obligate us to sell or buy U.S. Treasury securities for future delivery. Gains and losses associated with U.S. Treasury securities and U.S. Treasury futures contracts are recognized in gain (loss) on derivative instruments and other securities, net in our consolidated statements of comprehensive income.</w:t>
      </w:r>
    </w:p>
    <w:p>
      <w:pPr>
        <w:pStyle w:val="TextBody"/>
        <w:bidi w:val="0"/>
        <w:spacing w:lineRule="auto" w:line="288" w:before="180" w:after="283"/>
        <w:jc w:val="both"/>
        <w:rPr/>
      </w:pPr>
      <w:r>
        <w:rPr>
          <w:rFonts w:ascii="Times New Roman;serif" w:hAnsi="Times New Roman;serif"/>
          <w:b/>
          <w:i/>
          <w:color w:val="000000"/>
          <w:sz w:val="20"/>
        </w:rPr>
        <w:t>Fair Value Measurements</w:t>
      </w:r>
      <w:r>
        <w:rPr>
          <w:color w:val="000000"/>
        </w:rPr>
        <w:t xml:space="preserve">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determine the fair value of financial instruments based on our estimate of the price that would be received to sell the asset or paid to transfer the liability in an orderly transaction between market participants at the measurement date. We utilize a three-level valuation hierarchy for disclosure of fair value measurements based upon the transparency of inputs to the valuation of the instrument as of the measurement date. We categorize a financial instrument within the hierarchy based upon the lowest level of input that is significant to the fair value measurement.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three levels of valuation hierarchy are defined as follows: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Level 1 Inputs —Quoted prices (unadjusted) for identical unrestricted assets and liabilities in active markets that are accessible at the measurement date.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Level 2 Inputs —Quoted prices for similar assets and liabilities in active markets; quoted prices for identical or similar instruments in markets that are not active; and model-derived valuations whose inputs are observable or whose significant value drivers are observable.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Level 3 Inputs —Instruments with primarily unobservable market data that cannot be corroborated.</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majority of our financial instruments are classified as Level 2 inputs. The availability of observable inputs can be affected by a wide variety of factors, including the type of instrument, whether the instrument is new and not yet established in the marketplace and other characteristics particular to the instrument. We typically obtain price estimates from multiple third-party pricing sources, such as pricing services and dealers, or, if applicable, from the registered clearing exchange. We make inquiries of third-party pricing sources to understand the significant inputs and assumptions they used to determine their prices and that they are derived from orderly transactions, particularly during periods of elevated market turbulence and reduced market liquidity. We also review third-party price estimates and perform procedures to validate their reasonableness,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an analysis of the range of estimates for each position, comparison to recent trade activity for similar securities and for consistency with market conditions observed as of the measurement date. While we do not adjust prices we obtain from pricing sources, we will exclude prices for securities from our estimation of fair value if we determine based on our validation procedures and our market knowledge and expertise that the price is significantly different from what observable market data would indicate and we cannot obtain an understanding from the third-party source as to the significant inputs used to determine the price.</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is a description of the valuation methodologies used for financial instruments measured at fair value on a recurring basis classified as Level 2 inputs. These instruments trade in active markets such that participants transact with sufficient frequency and volume to provide transparent pricing information on an ongoing basis. The liquidity of these markets and the similarity of our instruments to those actively traded enable our pricing sources and us to utilize the observed quoted prices as a basis for formulating fair value measurements. </w:t>
      </w:r>
    </w:p>
    <w:p>
      <w:pPr>
        <w:pStyle w:val="TextBody"/>
        <w:bidi w:val="0"/>
        <w:spacing w:lineRule="auto" w:line="288" w:before="180" w:after="283"/>
        <w:ind w:left="0" w:right="0" w:firstLine="495"/>
        <w:jc w:val="both"/>
        <w:rPr/>
      </w:pPr>
      <w:r>
        <w:rPr>
          <w:rFonts w:ascii="Times New Roman;serif" w:hAnsi="Times New Roman;serif"/>
          <w:b w:val="false"/>
          <w:i/>
          <w:color w:val="000000"/>
          <w:sz w:val="20"/>
        </w:rPr>
        <w:t>Investment securities</w:t>
      </w:r>
      <w:r>
        <w:rPr>
          <w:color w:val="000000"/>
        </w:rPr>
        <w:t xml:space="preserve"> </w:t>
      </w:r>
      <w:r>
        <w:rPr>
          <w:rFonts w:ascii="Times New Roman;serif" w:hAnsi="Times New Roman;serif"/>
          <w:b w:val="false"/>
          <w:color w:val="000000"/>
          <w:sz w:val="20"/>
        </w:rPr>
        <w:t xml:space="preserve">- are valued based on prices obtained from multiple third-party pricing sources. The pricing sources utilize various valuation approaches, including market and income approaches. For Agency RMBS, the pricing sources primarily utilize a matrix pricing technique that interpolates the estimated fair value based on observed quoted prices for TBA securities having the same coupon, maturity and issuer, adjusted to reflect the specific characteristics of the pool of mortgages underlying the Agency security, such as maximum loan balance, loan vintage, loan-to-value ratio, geography and other characteristics as may be appropriate. For other investment securities, the pricing sources primarily utilize discounted cash flow model-derived pricing techniques to estimate the fair value. Such models incorporate market-based discount rate assumptions based on observable inputs such as recent trading activity, credit data, volatility statistics, benchmark interest rate curves, spread measurements to benchmark curves and other market data that are current as of the measurement date and may include certain unobservable inputs, such as assumptions of future levels of prepayment, defaults and loss severities. </w:t>
      </w:r>
    </w:p>
    <w:p>
      <w:pPr>
        <w:pStyle w:val="TextBody"/>
        <w:bidi w:val="0"/>
        <w:spacing w:lineRule="auto" w:line="288" w:before="180" w:after="283"/>
        <w:ind w:left="0" w:right="0" w:firstLine="495"/>
        <w:jc w:val="both"/>
        <w:rPr/>
      </w:pPr>
      <w:r>
        <w:rPr>
          <w:rFonts w:ascii="Times New Roman;serif" w:hAnsi="Times New Roman;serif"/>
          <w:b w:val="false"/>
          <w:i/>
          <w:color w:val="000000"/>
          <w:sz w:val="20"/>
        </w:rPr>
        <w:t>TBA securities</w:t>
      </w:r>
      <w:r>
        <w:rPr>
          <w:color w:val="000000"/>
        </w:rPr>
        <w:t xml:space="preserve"> </w:t>
      </w:r>
      <w:r>
        <w:rPr>
          <w:rFonts w:ascii="Times New Roman;serif" w:hAnsi="Times New Roman;serif"/>
          <w:b w:val="false"/>
          <w:color w:val="000000"/>
          <w:sz w:val="20"/>
        </w:rPr>
        <w:t>- are valued using prices obtained from third-party pricing sources based on pricing models that reference recent trading activity.</w:t>
      </w:r>
    </w:p>
    <w:p>
      <w:pPr>
        <w:pStyle w:val="TextBody"/>
        <w:bidi w:val="0"/>
        <w:spacing w:lineRule="auto" w:line="288" w:before="180" w:after="283"/>
        <w:ind w:left="0" w:right="0" w:firstLine="495"/>
        <w:jc w:val="both"/>
        <w:rPr/>
      </w:pPr>
      <w:r>
        <w:rPr>
          <w:rFonts w:ascii="Times New Roman;serif" w:hAnsi="Times New Roman;serif"/>
          <w:b w:val="false"/>
          <w:i/>
          <w:color w:val="000000"/>
          <w:sz w:val="20"/>
        </w:rPr>
        <w:t>Interest rate swaps</w:t>
      </w:r>
      <w:r>
        <w:rPr>
          <w:color w:val="000000"/>
        </w:rPr>
        <w:t xml:space="preserve"> </w:t>
      </w:r>
      <w:r>
        <w:rPr>
          <w:rFonts w:ascii="Times New Roman;serif" w:hAnsi="Times New Roman;serif"/>
          <w:b w:val="false"/>
          <w:color w:val="000000"/>
          <w:sz w:val="20"/>
        </w:rPr>
        <w:t xml:space="preserve">- are valued using the daily settlement price, or fair value, determined by the clearing exchange based on a pricing model that references observable market inputs, including current benchmark rates and the forward yield curve. </w:t>
      </w:r>
    </w:p>
    <w:p>
      <w:pPr>
        <w:pStyle w:val="TextBody"/>
        <w:bidi w:val="0"/>
        <w:spacing w:lineRule="auto" w:line="288" w:before="180" w:after="283"/>
        <w:ind w:left="0" w:right="0" w:firstLine="495"/>
        <w:jc w:val="both"/>
        <w:rPr/>
      </w:pPr>
      <w:r>
        <w:rPr>
          <w:rFonts w:ascii="Times New Roman;serif" w:hAnsi="Times New Roman;serif"/>
          <w:b w:val="false"/>
          <w:i/>
          <w:color w:val="000000"/>
          <w:sz w:val="20"/>
        </w:rPr>
        <w:t>Interest rate swaptions</w:t>
      </w:r>
      <w:r>
        <w:rPr>
          <w:color w:val="000000"/>
        </w:rPr>
        <w:t xml:space="preserve"> </w:t>
      </w:r>
      <w:r>
        <w:rPr>
          <w:rFonts w:ascii="Times New Roman;serif" w:hAnsi="Times New Roman;serif"/>
          <w:b w:val="false"/>
          <w:color w:val="000000"/>
          <w:sz w:val="20"/>
        </w:rPr>
        <w:t xml:space="preserve">- are valued using prices obtained from the counterparty and other third-party pricing models. The pricing models are based on the value of the future interest rate swap that we have the option to enter into as well as the remaining length of time that we have to exercise the option based on observable market inputs, adjusted for non-performance risk, if any.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U.S. Treasury securities and futures are valued based on quoted prices for identical instruments in active markets and are classified as Level 1 assets. None of our financial instruments are classified as Level 3 inputs.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Consolidated Variable Interest Entities</w:t>
      </w:r>
    </w:p>
    <w:p>
      <w:pPr>
        <w:pStyle w:val="TextBody"/>
        <w:bidi w:val="0"/>
        <w:spacing w:lineRule="auto" w:line="288" w:before="180" w:after="283"/>
        <w:ind w:left="0" w:right="0" w:firstLine="495"/>
        <w:jc w:val="both"/>
        <w:rPr/>
      </w:pPr>
      <w:r>
        <w:rPr>
          <w:rFonts w:ascii="Times New Roman;serif" w:hAnsi="Times New Roman;serif"/>
          <w:b w:val="false"/>
          <w:color w:val="000000"/>
          <w:sz w:val="20"/>
        </w:rPr>
        <w:t>ASC Topic 810,</w:t>
      </w:r>
      <w:r>
        <w:rPr>
          <w:color w:val="000000"/>
        </w:rPr>
        <w:t xml:space="preserve"> </w:t>
      </w:r>
      <w:r>
        <w:rPr>
          <w:rFonts w:ascii="Times New Roman;serif" w:hAnsi="Times New Roman;serif"/>
          <w:b w:val="false"/>
          <w:i/>
          <w:color w:val="000000"/>
          <w:sz w:val="20"/>
        </w:rPr>
        <w:t>Consolidation</w:t>
      </w:r>
      <w:r>
        <w:rPr>
          <w:color w:val="000000"/>
        </w:rPr>
        <w:t xml:space="preserve"> </w:t>
      </w:r>
      <w:r>
        <w:rPr>
          <w:rFonts w:ascii="Times New Roman;serif" w:hAnsi="Times New Roman;serif"/>
          <w:b w:val="false"/>
          <w:color w:val="000000"/>
          <w:sz w:val="20"/>
        </w:rPr>
        <w:t>("ASC 810"), requires an enterprise to consolidate a variable interest entity ("VIE") if it is deemed the primary beneficiary of the VIE. As of December 31, 2025 and 2024, our consolidated financial statements reflect the consolidation of certain VIEs for which we have determined we are the primary beneficiary. The consolidated VIEs consist of CMO trusts backed by fixed or adjustable-rate Agency RMBS. Fannie Mae or Freddie Mac guarantees the payment of interest and principal and acts as the trustee and administrator of their respective securitization trusts. Accordingly, we are not required to provide the beneficial interest holders of the CMO securities any financial or other support. Our maximum exposure to loss related to our involvement with the CMO trusts is the fair value of the CMO securities and interest and principal-only securities held by us, less principal amounts guaranteed by Fannie Mae and Freddie Mac.</w:t>
      </w:r>
    </w:p>
    <w:p>
      <w:pPr>
        <w:pStyle w:val="TextBody"/>
        <w:bidi w:val="0"/>
        <w:spacing w:lineRule="auto" w:line="288" w:before="180" w:after="283"/>
        <w:jc w:val="both"/>
        <w:rPr/>
      </w:pPr>
      <w:r>
        <w:rPr>
          <w:rFonts w:ascii="Times New Roman;serif" w:hAnsi="Times New Roman;serif"/>
          <w:b/>
          <w:i/>
          <w:color w:val="000000"/>
          <w:sz w:val="20"/>
        </w:rPr>
        <w:t>Cash and Cash Equivalents</w:t>
      </w:r>
      <w:r>
        <w:rPr>
          <w:color w:val="000000"/>
        </w:rPr>
        <w:t>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Cash and cash equivalents include cash held in bank accounts and cash held in money market funds on an overnight basis.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Restricted Cash</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Restricted cash includes cash pledged as collateral for clearing and executing trades, repurchase agreements, and interest rate swaps and other derivative instruments.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Goodwill is the cost of an acquisition in excess of the fair value of identified assets acquired and liabilities assumed and is recognized as an asset on our consolidated balance sheets. As of December 31, 2025 and 2024, we had $526 million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goodwill related to our acquisition of AGNC Management, LLC, our former manager, on July 1, 2016. Goodwill is not subject to amortization but must be tested for impairment at least annually and at interim periods when events or circumstances may make it more likely than not that an impairment has occurred. If a qualitative analysis indicates that there may be an impairment, a quantitative analysis is performed. The quantitative analysis requires that we compare the carrying value of the identified reporting unit comprising the goodwill to the reporting unit's fair value. If the reporting unit's carrying value is greater than its fair value, an impairment charge is recognized to the extent the carrying amount of the reporting unit exceeds its fair value. During the three fiscal years ended December 31, 2025, we did not recognize a goodwill impairment charge.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Stock-Based Compensation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Under our Amended and Restated AGNC Investment Corp. 2016 Equity and Incentive Compensation Plan (the "2016 Equity Plan" or "the Plan"), we may grant equity-based compensation to our officers and other employees and non-employee directors for the purpose of providing incentives and rewards for service or performance. Stock-based awards issued under the Plan include time-based and performance-based restricted stock unit awards ("RSU" and "PSU" awards, respectively), but may include other forms of equity-based compensation. RSU and PSU awards are an agreement to issue an equivalent number of shares of our common stock, plus any equivalent shares for dividends declared on our common stock, at the time the award vests, or later if distribution of such shares has been deferred beyond the vesting date. RSU awards vest over a specified service period. PSU awards vest over a specified service period subject to achieving long-term performance criteria.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measure and recognize compensation expense for all stock-based payment awards made to employees and non-employee directors based on their fair values. We value RSU and PSU awards based on the fair value of our common stock on the date of grant. Compensation expense is recognized over each award's respective service period. For PSU awards, we estimate the probability that the performance criteria will be achieved and recognize expense only for those awards expected to vest. We reevaluate our estimates each reporting period and recognize a cumulative effect adjustment to expense if our estimates change from the prior period. We do not estimate forfeiture rates; rather, we adjust for forfeitures in the periods in which they occur.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Shares underlying RSU and PSU awards are issued when the awards vest, or later if distribution of such shares has been deferred beyond the vest date. Shares issued are net of shares withheld to cover minimum statutory tax withholding obligations. The fair value of shares withheld for tax withholdings is recorded as a reduction to additional paid-in capital.</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consider the applicability and impact of all ASUs issued by the FASB. There are no unadopted ASUs that are expected to have a significant impact on our consolidated financial statements when adopted or other recently adopted ASUs that had a significant impact on our consolidated financial statements upon adoption.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3. Investment Securities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2024, our investment portfolio consisted of $81.7 billion and $66.3 billion investment securities, at fair value, respectively, $13.0 billion and $6.9 billion net TBA securities, at fair value, respectively, and other mortgage credit investments of $70 million and $64 million, respectively, which we account for under the equity method of accounting. Our TBA position is reported at its net carrying value totaling $71 million and $(26) million as of December 31, 2025 and 2024, respectively, in derivative assets / (liabilities) on our accompanying consolidated balance sheets. The net carrying value of our TBA position represents the difference between the fair value of the underlying security and the cost basis or the forward price to be paid or received for the underlying security.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our investment securities had a net unamortized premium balance of $1.0 billion and $1.0 billion,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our investment securities as of December 31, 2025 and 2024, excluding TBA securities and other mortgage credit investments (dollars in millions). Details of our TBA securities are included in Note 5.</w:t>
      </w:r>
    </w:p>
    <w:tbl>
      <w:tblPr>
        <w:tblW w:w="7902" w:type="dxa"/>
        <w:jc w:val="center"/>
        <w:tblInd w:w="0" w:type="dxa"/>
        <w:tblLayout w:type="fixed"/>
        <w:tblCellMar>
          <w:top w:w="28" w:type="dxa"/>
          <w:left w:w="28" w:type="dxa"/>
          <w:bottom w:w="28" w:type="dxa"/>
          <w:right w:w="28" w:type="dxa"/>
        </w:tblCellMar>
      </w:tblPr>
      <w:tblGrid>
        <w:gridCol w:w="995"/>
        <w:gridCol w:w="872"/>
        <w:gridCol w:w="878"/>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99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Investment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Agency RMBS: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Adjustable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CMO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Interest-only and principal-only strips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Agency RMBS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Non-Agency RMBS </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CMBS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971" w:type="dxa"/>
        <w:jc w:val="left"/>
        <w:tblInd w:w="0" w:type="dxa"/>
        <w:tblLayout w:type="fixed"/>
        <w:tblCellMar>
          <w:top w:w="28" w:type="dxa"/>
          <w:left w:w="28" w:type="dxa"/>
          <w:bottom w:w="28" w:type="dxa"/>
          <w:right w:w="28" w:type="dxa"/>
        </w:tblCellMar>
      </w:tblPr>
      <w:tblGrid>
        <w:gridCol w:w="572"/>
        <w:gridCol w:w="291"/>
        <w:gridCol w:w="293"/>
        <w:gridCol w:w="109"/>
        <w:gridCol w:w="109"/>
        <w:gridCol w:w="109"/>
        <w:gridCol w:w="181"/>
        <w:gridCol w:w="541"/>
        <w:gridCol w:w="109"/>
        <w:gridCol w:w="109"/>
        <w:gridCol w:w="109"/>
        <w:gridCol w:w="109"/>
        <w:gridCol w:w="181"/>
        <w:gridCol w:w="406"/>
        <w:gridCol w:w="109"/>
        <w:gridCol w:w="109"/>
        <w:gridCol w:w="109"/>
        <w:gridCol w:w="109"/>
        <w:gridCol w:w="181"/>
        <w:gridCol w:w="406"/>
        <w:gridCol w:w="109"/>
        <w:gridCol w:w="109"/>
        <w:gridCol w:w="109"/>
        <w:gridCol w:w="109"/>
        <w:gridCol w:w="181"/>
        <w:gridCol w:w="406"/>
        <w:gridCol w:w="109"/>
        <w:gridCol w:w="109"/>
        <w:gridCol w:w="109"/>
        <w:gridCol w:w="109"/>
        <w:gridCol w:w="181"/>
        <w:gridCol w:w="541"/>
        <w:gridCol w:w="109"/>
        <w:gridCol w:w="109"/>
        <w:gridCol w:w="109"/>
        <w:gridCol w:w="109"/>
        <w:gridCol w:w="181"/>
        <w:gridCol w:w="541"/>
        <w:gridCol w:w="109"/>
        <w:gridCol w:w="109"/>
        <w:gridCol w:w="109"/>
        <w:gridCol w:w="109"/>
        <w:gridCol w:w="181"/>
        <w:gridCol w:w="406"/>
        <w:gridCol w:w="109"/>
        <w:gridCol w:w="109"/>
        <w:gridCol w:w="109"/>
        <w:gridCol w:w="109"/>
        <w:gridCol w:w="181"/>
        <w:gridCol w:w="406"/>
        <w:gridCol w:w="109"/>
        <w:gridCol w:w="109"/>
        <w:gridCol w:w="109"/>
        <w:gridCol w:w="109"/>
        <w:gridCol w:w="181"/>
        <w:gridCol w:w="406"/>
        <w:gridCol w:w="109"/>
        <w:gridCol w:w="109"/>
        <w:gridCol w:w="109"/>
        <w:gridCol w:w="109"/>
        <w:gridCol w:w="181"/>
        <w:gridCol w:w="541"/>
        <w:gridCol w:w="154"/>
      </w:tblGrid>
      <w:tr>
        <w:trPr/>
        <w:tc>
          <w:tcPr>
            <w:tcW w:w="57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8" w:type="dxa"/>
            <w:gridSpan w:val="27"/>
            <w:tcBorders/>
            <w:tcMar>
              <w:top w:w="0" w:type="dxa"/>
              <w:left w:w="0" w:type="dxa"/>
              <w:bottom w:w="0" w:type="dxa"/>
              <w:right w:w="0" w:type="dxa"/>
            </w:tcMar>
            <w:vAlign w:val="center"/>
          </w:tcPr>
          <w:p>
            <w:pPr>
              <w:pStyle w:val="TableContents"/>
              <w:bidi w:val="0"/>
              <w:spacing w:lineRule="auto" w:line="240" w:before="180" w:after="180"/>
              <w:ind w:left="0" w:right="0" w:firstLine="495"/>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Non-Agency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Non-Agency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Investment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Agency RMBS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RMBS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Agency RMBS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RMBS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Available-for-sale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540"/>
              <w:jc w:val="left"/>
              <w:rPr/>
            </w:pPr>
            <w:r>
              <w:rPr>
                <w:rFonts w:ascii="Times New Roman;serif" w:hAnsi="Times New Roman;serif"/>
                <w:b w:val="false"/>
                <w:color w:val="000000"/>
                <w:sz w:val="14"/>
              </w:rPr>
              <w:t xml:space="preserve">Par value </w:t>
            </w:r>
            <w:r>
              <w:rPr>
                <w:rFonts w:ascii="Times New Roman;serif" w:hAnsi="Times New Roman;serif"/>
                <w:b w:val="false"/>
                <w:color w:val="000000"/>
                <w:sz w:val="9"/>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erif" w:hAnsi="Times New Roman;serif"/>
                <w:b w:val="false"/>
                <w:color w:val="000000"/>
                <w:sz w:val="14"/>
              </w:rPr>
            </w:pPr>
            <w:r>
              <w:rPr>
                <w:rFonts w:ascii="Times New Roman;serif" w:hAnsi="Times New Roman;serif"/>
                <w:b w:val="false"/>
                <w:color w:val="000000"/>
                <w:sz w:val="14"/>
              </w:rPr>
              <w:t>Unamortized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erif" w:hAnsi="Times New Roman;serif"/>
                <w:b w:val="false"/>
                <w:color w:val="000000"/>
                <w:sz w:val="14"/>
              </w:rPr>
            </w:pPr>
            <w:r>
              <w:rPr>
                <w:rFonts w:ascii="Times New Roman;serif" w:hAnsi="Times New Roman;serif"/>
                <w:b w:val="false"/>
                <w:color w:val="000000"/>
                <w:sz w:val="14"/>
              </w:rPr>
              <w:t>Unamortized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erif" w:hAnsi="Times New Roman;serif"/>
                <w:b w:val="false"/>
                <w:color w:val="000000"/>
                <w:sz w:val="14"/>
              </w:rPr>
            </w:pPr>
            <w:r>
              <w:rPr>
                <w:rFonts w:ascii="Times New Roman;serif" w:hAnsi="Times New Roman;serif"/>
                <w:b w:val="false"/>
                <w:color w:val="000000"/>
                <w:sz w:val="14"/>
              </w:rPr>
              <w:t>Amortized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erif" w:hAnsi="Times New Roman;serif"/>
                <w:b w:val="false"/>
                <w:color w:val="000000"/>
                <w:sz w:val="14"/>
              </w:rPr>
            </w:pPr>
            <w:r>
              <w:rPr>
                <w:rFonts w:ascii="Times New Roman;serif" w:hAnsi="Times New Roman;serif"/>
                <w:b w:val="false"/>
                <w:color w:val="000000"/>
                <w:sz w:val="14"/>
              </w:rPr>
              <w:t>Gross unrealized gains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erif" w:hAnsi="Times New Roman;serif"/>
                <w:b w:val="false"/>
                <w:color w:val="000000"/>
                <w:sz w:val="14"/>
              </w:rPr>
            </w:pPr>
            <w:r>
              <w:rPr>
                <w:rFonts w:ascii="Times New Roman;serif" w:hAnsi="Times New Roman;serif"/>
                <w:b w:val="false"/>
                <w:color w:val="000000"/>
                <w:sz w:val="14"/>
              </w:rPr>
              <w:t>Gross unrealized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available-for-sale securities,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Securities remeasured at fair value through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14"/>
              </w:rPr>
              <w:t xml:space="preserve">Par value </w:t>
            </w:r>
            <w:r>
              <w:rPr>
                <w:rFonts w:ascii="Times New Roman;serif" w:hAnsi="Times New Roman;serif"/>
                <w:b w:val="false"/>
                <w:color w:val="000000"/>
                <w:sz w:val="9"/>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63,984 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erif" w:hAnsi="Times New Roman;serif"/>
                <w:b w:val="false"/>
                <w:color w:val="000000"/>
                <w:sz w:val="14"/>
              </w:rPr>
            </w:pPr>
            <w:r>
              <w:rPr>
                <w:rFonts w:ascii="Times New Roman;serif" w:hAnsi="Times New Roman;serif"/>
                <w:b w:val="false"/>
                <w:color w:val="000000"/>
                <w:sz w:val="14"/>
              </w:rPr>
              <w:t>Unamortized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erif" w:hAnsi="Times New Roman;serif"/>
                <w:b w:val="false"/>
                <w:color w:val="000000"/>
                <w:sz w:val="14"/>
              </w:rPr>
            </w:pPr>
            <w:r>
              <w:rPr>
                <w:rFonts w:ascii="Times New Roman;serif" w:hAnsi="Times New Roman;serif"/>
                <w:b w:val="false"/>
                <w:color w:val="000000"/>
                <w:sz w:val="14"/>
              </w:rPr>
              <w:t>Unamortized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4"/>
              </w:rPr>
            </w:pPr>
            <w:r>
              <w:rPr>
                <w:rFonts w:ascii="Times New Roman;serif" w:hAnsi="Times New Roman;serif"/>
                <w:b w:val="false"/>
                <w:color w:val="000000"/>
                <w:sz w:val="14"/>
              </w:rPr>
              <w:t>Amortized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77,502 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78,090 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63,871 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64,735 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erif" w:hAnsi="Times New Roman;serif"/>
                <w:b w:val="false"/>
                <w:color w:val="000000"/>
                <w:sz w:val="14"/>
              </w:rPr>
            </w:pPr>
            <w:r>
              <w:rPr>
                <w:rFonts w:ascii="Times New Roman;serif" w:hAnsi="Times New Roman;serif"/>
                <w:b w:val="false"/>
                <w:color w:val="000000"/>
                <w:sz w:val="14"/>
              </w:rPr>
              <w:t>Gross unrealized gains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erif" w:hAnsi="Times New Roman;serif"/>
                <w:b w:val="false"/>
                <w:color w:val="000000"/>
                <w:sz w:val="14"/>
              </w:rPr>
            </w:pPr>
            <w:r>
              <w:rPr>
                <w:rFonts w:ascii="Times New Roman;serif" w:hAnsi="Times New Roman;serif"/>
                <w:b w:val="false"/>
                <w:color w:val="000000"/>
                <w:sz w:val="14"/>
              </w:rPr>
              <w:t>Gross unrealized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securities remeasured at fair value through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62,228 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securities,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81,088 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81,719 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65,464 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66,348 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1.Non-Agency amounts exclude other mortgage credit investments of $70 million and $64 million as of December 31, 2025 and 2024, respectively.</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2.Par value excludes interest-only securities. As of December 31, 2025 and 2024, Agency RMBS interest-only securities had a par value of $4,475 million and $307 million, respectively, and non-Agency interest-only securities had a par value of $16 million and $93 million, respectively.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Agency RMBS portfolio by issuing GSE or U.S. Government agency at fair value as of December 31, 2025 and 2024 (in millions):</w:t>
      </w:r>
    </w:p>
    <w:tbl>
      <w:tblPr>
        <w:tblW w:w="3920" w:type="dxa"/>
        <w:jc w:val="center"/>
        <w:tblInd w:w="0" w:type="dxa"/>
        <w:tblLayout w:type="fixed"/>
        <w:tblCellMar>
          <w:top w:w="28" w:type="dxa"/>
          <w:left w:w="28" w:type="dxa"/>
          <w:bottom w:w="28" w:type="dxa"/>
          <w:right w:w="28" w:type="dxa"/>
        </w:tblCellMar>
      </w:tblPr>
      <w:tblGrid>
        <w:gridCol w:w="478"/>
        <w:gridCol w:w="419"/>
        <w:gridCol w:w="422"/>
        <w:gridCol w:w="109"/>
        <w:gridCol w:w="109"/>
        <w:gridCol w:w="109"/>
        <w:gridCol w:w="196"/>
        <w:gridCol w:w="646"/>
        <w:gridCol w:w="109"/>
        <w:gridCol w:w="109"/>
        <w:gridCol w:w="109"/>
        <w:gridCol w:w="109"/>
        <w:gridCol w:w="196"/>
        <w:gridCol w:w="646"/>
        <w:gridCol w:w="154"/>
      </w:tblGrid>
      <w:tr>
        <w:trPr/>
        <w:tc>
          <w:tcPr>
            <w:tcW w:w="47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Investment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2024</w:t>
            </w:r>
          </w:p>
        </w:tc>
      </w:tr>
      <w:tr>
        <w:trPr/>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Fannie Mae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Freddie Mac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Ginnie Mae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65,464 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our investments in CRT and non-Agency securities had the following credit ratings (in millions):</w:t>
      </w:r>
    </w:p>
    <w:tbl>
      <w:tblPr>
        <w:tblW w:w="9828" w:type="dxa"/>
        <w:jc w:val="center"/>
        <w:tblInd w:w="0" w:type="dxa"/>
        <w:tblLayout w:type="fixed"/>
        <w:tblCellMar>
          <w:top w:w="28" w:type="dxa"/>
          <w:left w:w="28" w:type="dxa"/>
          <w:bottom w:w="28" w:type="dxa"/>
          <w:right w:w="28" w:type="dxa"/>
        </w:tblCellMar>
      </w:tblPr>
      <w:tblGrid>
        <w:gridCol w:w="1299"/>
        <w:gridCol w:w="1141"/>
        <w:gridCol w:w="1144"/>
        <w:gridCol w:w="109"/>
        <w:gridCol w:w="109"/>
        <w:gridCol w:w="109"/>
        <w:gridCol w:w="196"/>
        <w:gridCol w:w="421"/>
        <w:gridCol w:w="109"/>
        <w:gridCol w:w="109"/>
        <w:gridCol w:w="109"/>
        <w:gridCol w:w="109"/>
        <w:gridCol w:w="208"/>
        <w:gridCol w:w="351"/>
        <w:gridCol w:w="115"/>
        <w:gridCol w:w="109"/>
        <w:gridCol w:w="109"/>
        <w:gridCol w:w="109"/>
        <w:gridCol w:w="196"/>
        <w:gridCol w:w="406"/>
        <w:gridCol w:w="109"/>
        <w:gridCol w:w="109"/>
        <w:gridCol w:w="109"/>
        <w:gridCol w:w="109"/>
        <w:gridCol w:w="196"/>
        <w:gridCol w:w="421"/>
        <w:gridCol w:w="109"/>
        <w:gridCol w:w="109"/>
        <w:gridCol w:w="109"/>
        <w:gridCol w:w="109"/>
        <w:gridCol w:w="208"/>
        <w:gridCol w:w="351"/>
        <w:gridCol w:w="115"/>
        <w:gridCol w:w="109"/>
        <w:gridCol w:w="109"/>
        <w:gridCol w:w="109"/>
        <w:gridCol w:w="196"/>
        <w:gridCol w:w="421"/>
        <w:gridCol w:w="154"/>
      </w:tblGrid>
      <w:tr>
        <w:trPr/>
        <w:tc>
          <w:tcPr>
            <w:tcW w:w="12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CRT and Non-Agency Security Credit Ratings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RMBS </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RMBS </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CMBS</w:t>
            </w:r>
          </w:p>
        </w:tc>
      </w:tr>
      <w:tr>
        <w:trPr/>
        <w:tc>
          <w:tcPr>
            <w:tcW w:w="35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AAA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BBB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Not Rated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1.Represents the lowest of Standard and Poor's ("S&amp;P"), Moody's, Fitch, DBRS, Kroll Bond Rating Agency ("KBRA") and Morningstar credit ratings, stated in terms of the S&amp;P equivalent rating as of each date.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2.RMBS excludes other mortgage credit investments of $70 million and $64 million as of December 31, 2025 and 2024, respectively.</w:t>
      </w:r>
    </w:p>
    <w:p>
      <w:pPr>
        <w:pStyle w:val="TextBody"/>
        <w:bidi w:val="0"/>
        <w:spacing w:before="0" w:after="0"/>
        <w:ind w:left="0" w:right="0" w:firstLine="495"/>
        <w:jc w:val="left"/>
        <w:rPr/>
      </w:pPr>
      <w:r>
        <w:rPr/>
      </w:r>
    </w:p>
    <w:p>
      <w:pPr>
        <w:pStyle w:val="TextBody"/>
        <w:bidi w:val="0"/>
        <w:spacing w:lineRule="auto" w:line="26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CRT securities primarily reference the performance of single-family and multifamily mortgage loans underlying Agency RMBS and CMBS issued by Fannie Mae or Freddie Mac, which are subject to the respective agency's underwriting standards. The remainder of our CRT holdings reference single-family loans originated and issued by third-party market participants and may not be subject to the same standards.</w:t>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actual maturities of our investment securities are generally shorter than their stated contractual maturities. The actual maturities of our Agency and high credit quality non-Agency RMBS are primarily affected by principal prepayments and to a lesser degree the contractual lives of the underlying mortgages and periodic contractual principal repayments. The actual maturities of our credit-oriented investments are primarily impacted by their contractual lives and default and loss recovery rates. As of December 31, 2025 and 2024, the weighted average expected constant prepayment rate ("CPR") over the remaining life of our Agency and high credit quality non-Agency RMBS investment portfolio was 9.6% and 7.7%, respectively. Our estimates can differ materially for different securities and thus our individual holdings have a wide range of projected CPRs. The following table summarizes our investments as of December 31, 2025 and 2024 according to their estimated weighted average life classification (dollars in millions):</w:t>
      </w:r>
    </w:p>
    <w:tbl>
      <w:tblPr>
        <w:tblW w:w="10565" w:type="dxa"/>
        <w:jc w:val="left"/>
        <w:tblInd w:w="0" w:type="dxa"/>
        <w:tblLayout w:type="fixed"/>
        <w:tblCellMar>
          <w:top w:w="28" w:type="dxa"/>
          <w:left w:w="28" w:type="dxa"/>
          <w:bottom w:w="28" w:type="dxa"/>
          <w:right w:w="28" w:type="dxa"/>
        </w:tblCellMar>
      </w:tblPr>
      <w:tblGrid>
        <w:gridCol w:w="332"/>
        <w:gridCol w:w="291"/>
        <w:gridCol w:w="293"/>
        <w:gridCol w:w="109"/>
        <w:gridCol w:w="109"/>
        <w:gridCol w:w="109"/>
        <w:gridCol w:w="196"/>
        <w:gridCol w:w="646"/>
        <w:gridCol w:w="109"/>
        <w:gridCol w:w="109"/>
        <w:gridCol w:w="109"/>
        <w:gridCol w:w="109"/>
        <w:gridCol w:w="196"/>
        <w:gridCol w:w="646"/>
        <w:gridCol w:w="109"/>
        <w:gridCol w:w="109"/>
        <w:gridCol w:w="109"/>
        <w:gridCol w:w="109"/>
        <w:gridCol w:w="265"/>
        <w:gridCol w:w="265"/>
        <w:gridCol w:w="266"/>
        <w:gridCol w:w="109"/>
        <w:gridCol w:w="109"/>
        <w:gridCol w:w="109"/>
        <w:gridCol w:w="265"/>
        <w:gridCol w:w="265"/>
        <w:gridCol w:w="266"/>
        <w:gridCol w:w="109"/>
        <w:gridCol w:w="109"/>
        <w:gridCol w:w="109"/>
        <w:gridCol w:w="196"/>
        <w:gridCol w:w="646"/>
        <w:gridCol w:w="109"/>
        <w:gridCol w:w="109"/>
        <w:gridCol w:w="109"/>
        <w:gridCol w:w="109"/>
        <w:gridCol w:w="196"/>
        <w:gridCol w:w="646"/>
        <w:gridCol w:w="109"/>
        <w:gridCol w:w="109"/>
        <w:gridCol w:w="109"/>
        <w:gridCol w:w="109"/>
        <w:gridCol w:w="265"/>
        <w:gridCol w:w="265"/>
        <w:gridCol w:w="266"/>
        <w:gridCol w:w="109"/>
        <w:gridCol w:w="109"/>
        <w:gridCol w:w="109"/>
        <w:gridCol w:w="246"/>
        <w:gridCol w:w="246"/>
        <w:gridCol w:w="349"/>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Estimated Weighted Average Life of Investment Securities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Coupon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Coupon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Yield</w:t>
            </w:r>
          </w:p>
        </w:tc>
      </w:tr>
      <w:tr>
        <w:trPr/>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8.06%</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&gt; 3 years and ≤ 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5.48%</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&gt; 5 years and ≤10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4.66%</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&gt; 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5.24%</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4.77%</w:t>
            </w:r>
          </w:p>
        </w:tc>
      </w:tr>
    </w:tbl>
    <w:p>
      <w:pPr>
        <w:pStyle w:val="TextBody"/>
        <w:bidi w:val="0"/>
        <w:spacing w:lineRule="auto" w:line="288" w:before="0" w:after="60"/>
        <w:jc w:val="both"/>
        <w:rPr>
          <w:color w:val="000000"/>
        </w:rPr>
      </w:pPr>
      <w:r>
        <w:rPr>
          <w:color w:val="000000"/>
        </w:rPr>
        <w:t> </w:t>
      </w: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1.Table excludes other mortgage credit investments of $70 million and $64 million as of December 31, 2025 and 2024, respectively.</w:t>
      </w:r>
    </w:p>
    <w:p>
      <w:pPr>
        <w:pStyle w:val="TextBody"/>
        <w:bidi w:val="0"/>
        <w:spacing w:lineRule="auto" w:line="288" w:before="180" w:after="6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gross unrealized loss and fair values of securities classified as available-for-sale by length of time that such securities have been in a continuous unrealized loss position as of December 31, 2025 and 2024 (in millions):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15"/>
        <w:gridCol w:w="982"/>
        <w:gridCol w:w="984"/>
        <w:gridCol w:w="109"/>
        <w:gridCol w:w="109"/>
        <w:gridCol w:w="109"/>
        <w:gridCol w:w="196"/>
        <w:gridCol w:w="406"/>
        <w:gridCol w:w="109"/>
        <w:gridCol w:w="109"/>
        <w:gridCol w:w="109"/>
        <w:gridCol w:w="109"/>
        <w:gridCol w:w="244"/>
        <w:gridCol w:w="505"/>
        <w:gridCol w:w="137"/>
        <w:gridCol w:w="109"/>
        <w:gridCol w:w="109"/>
        <w:gridCol w:w="109"/>
        <w:gridCol w:w="201"/>
        <w:gridCol w:w="572"/>
        <w:gridCol w:w="113"/>
        <w:gridCol w:w="109"/>
        <w:gridCol w:w="109"/>
        <w:gridCol w:w="109"/>
        <w:gridCol w:w="234"/>
        <w:gridCol w:w="521"/>
        <w:gridCol w:w="131"/>
        <w:gridCol w:w="109"/>
        <w:gridCol w:w="109"/>
        <w:gridCol w:w="109"/>
        <w:gridCol w:w="196"/>
        <w:gridCol w:w="556"/>
        <w:gridCol w:w="109"/>
        <w:gridCol w:w="109"/>
        <w:gridCol w:w="109"/>
        <w:gridCol w:w="109"/>
        <w:gridCol w:w="232"/>
        <w:gridCol w:w="516"/>
        <w:gridCol w:w="184"/>
      </w:tblGrid>
      <w:tr>
        <w:trPr/>
        <w:tc>
          <w:tcPr>
            <w:tcW w:w="1115"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30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 Position For</w:t>
            </w:r>
          </w:p>
        </w:tc>
      </w:tr>
      <w:tr>
        <w:trPr/>
        <w:tc>
          <w:tcPr>
            <w:tcW w:w="30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Securities Classified as Available-for-Sale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6"/>
              </w:rPr>
              <w:br/>
            </w: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w:t>
            </w:r>
          </w:p>
        </w:tc>
      </w:tr>
      <w:tr>
        <w:trPr/>
        <w:tc>
          <w:tcPr>
            <w:tcW w:w="3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val="false"/>
                <w:color w:val="000000"/>
                <w:sz w:val="16"/>
              </w:rPr>
            </w:pPr>
            <w:r>
              <w:rPr>
                <w:rFonts w:ascii="Times New Roman;serif" w:hAnsi="Times New Roman;serif"/>
                <w:b w:val="false"/>
                <w:color w:val="000000"/>
                <w:sz w:val="16"/>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1" w:type="dxa"/>
            <w:gridSpan w:val="3"/>
            <w:tcBorders/>
            <w:shd w:fill="FFFFFF" w:val="clear"/>
            <w:tcMar>
              <w:top w:w="0" w:type="dxa"/>
              <w:left w:w="0" w:type="dxa"/>
              <w:bottom w:w="0" w:type="dxa"/>
              <w:right w:w="0" w:type="dxa"/>
            </w:tcMar>
            <w:vAlign w:val="center"/>
          </w:tcPr>
          <w:p>
            <w:pPr>
              <w:pStyle w:val="TableContents"/>
              <w:bidi w:val="0"/>
              <w:spacing w:lineRule="auto" w:line="240" w:before="180" w:after="283"/>
              <w:jc w:val="both"/>
              <w:rPr>
                <w:rFonts w:ascii="Times New Roman;serif" w:hAnsi="Times New Roman;serif"/>
                <w:b w:val="false"/>
                <w:color w:val="000000"/>
                <w:sz w:val="16"/>
              </w:rPr>
            </w:pPr>
            <w:r>
              <w:rPr>
                <w:rFonts w:ascii="Times New Roman;serif" w:hAnsi="Times New Roman;serif"/>
                <w:b w:val="false"/>
                <w:color w:val="000000"/>
                <w:sz w:val="16"/>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left"/>
        <w:rPr>
          <w:rFonts w:ascii="Times New Roman;serif" w:hAnsi="Times New Roman;serif"/>
          <w:b/>
          <w:i/>
          <w:color w:val="000000"/>
          <w:sz w:val="20"/>
        </w:rPr>
      </w:pPr>
      <w:r>
        <w:rPr>
          <w:rFonts w:ascii="Times New Roman;serif" w:hAnsi="Times New Roman;serif"/>
          <w:b/>
          <w:i/>
          <w:color w:val="000000"/>
          <w:sz w:val="20"/>
        </w:rPr>
        <w:t>Gains and Losses on Sale of Investment Securities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is a summary of our net gain (loss) from the sale of investment securities for fiscal years 2025, 2024 and 2023 by investment classification of accounting (in millions):</w:t>
      </w:r>
    </w:p>
    <w:p>
      <w:pPr>
        <w:pStyle w:val="TextBody"/>
        <w:bidi w:val="0"/>
        <w:spacing w:before="0" w:after="60"/>
        <w:jc w:val="both"/>
        <w:rPr/>
      </w:pPr>
      <w:r>
        <w:rPr/>
      </w:r>
    </w:p>
    <w:tbl>
      <w:tblPr>
        <w:tblW w:w="13318" w:type="dxa"/>
        <w:jc w:val="center"/>
        <w:tblInd w:w="0" w:type="dxa"/>
        <w:tblLayout w:type="fixed"/>
        <w:tblCellMar>
          <w:top w:w="28" w:type="dxa"/>
          <w:left w:w="28" w:type="dxa"/>
          <w:bottom w:w="28" w:type="dxa"/>
          <w:right w:w="28" w:type="dxa"/>
        </w:tblCellMar>
      </w:tblPr>
      <w:tblGrid>
        <w:gridCol w:w="388"/>
        <w:gridCol w:w="248"/>
        <w:gridCol w:w="250"/>
        <w:gridCol w:w="109"/>
        <w:gridCol w:w="109"/>
        <w:gridCol w:w="109"/>
        <w:gridCol w:w="321"/>
        <w:gridCol w:w="715"/>
        <w:gridCol w:w="180"/>
        <w:gridCol w:w="109"/>
        <w:gridCol w:w="109"/>
        <w:gridCol w:w="109"/>
        <w:gridCol w:w="196"/>
        <w:gridCol w:w="661"/>
        <w:gridCol w:w="109"/>
        <w:gridCol w:w="109"/>
        <w:gridCol w:w="109"/>
        <w:gridCol w:w="109"/>
        <w:gridCol w:w="196"/>
        <w:gridCol w:w="661"/>
        <w:gridCol w:w="109"/>
        <w:gridCol w:w="109"/>
        <w:gridCol w:w="109"/>
        <w:gridCol w:w="109"/>
        <w:gridCol w:w="335"/>
        <w:gridCol w:w="694"/>
        <w:gridCol w:w="187"/>
        <w:gridCol w:w="109"/>
        <w:gridCol w:w="109"/>
        <w:gridCol w:w="109"/>
        <w:gridCol w:w="196"/>
        <w:gridCol w:w="661"/>
        <w:gridCol w:w="109"/>
        <w:gridCol w:w="109"/>
        <w:gridCol w:w="109"/>
        <w:gridCol w:w="109"/>
        <w:gridCol w:w="196"/>
        <w:gridCol w:w="661"/>
        <w:gridCol w:w="109"/>
        <w:gridCol w:w="109"/>
        <w:gridCol w:w="109"/>
        <w:gridCol w:w="109"/>
        <w:gridCol w:w="321"/>
        <w:gridCol w:w="715"/>
        <w:gridCol w:w="180"/>
        <w:gridCol w:w="109"/>
        <w:gridCol w:w="109"/>
        <w:gridCol w:w="109"/>
        <w:gridCol w:w="196"/>
        <w:gridCol w:w="661"/>
        <w:gridCol w:w="109"/>
        <w:gridCol w:w="109"/>
        <w:gridCol w:w="109"/>
        <w:gridCol w:w="109"/>
        <w:gridCol w:w="196"/>
        <w:gridCol w:w="661"/>
        <w:gridCol w:w="154"/>
      </w:tblGrid>
      <w:tr>
        <w:trPr/>
        <w:tc>
          <w:tcPr>
            <w:tcW w:w="38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889" w:type="dxa"/>
            <w:gridSpan w:val="48"/>
            <w:tcBorders/>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8303" w:type="dxa"/>
            <w:gridSpan w:val="36"/>
            <w:tcBorders/>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889" w:type="dxa"/>
            <w:gridSpan w:val="48"/>
            <w:tcBorders/>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 2023</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Investment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 xml:space="preserve">Available-for-Sale </w:t>
            </w:r>
          </w:p>
          <w:p>
            <w:pPr>
              <w:pStyle w:val="TableContents"/>
              <w:bidi w:val="0"/>
              <w:spacing w:lineRule="auto" w:line="240" w:before="0" w:after="0"/>
              <w:jc w:val="center"/>
              <w:rPr/>
            </w:pPr>
            <w:r>
              <w:rPr>
                <w:rFonts w:ascii="Times New Roman;serif" w:hAnsi="Times New Roman;serif"/>
                <w:b/>
                <w:color w:val="000000"/>
                <w:sz w:val="14"/>
              </w:rPr>
              <w:t xml:space="preserve">Securities </w:t>
            </w:r>
            <w:r>
              <w:rPr>
                <w:rFonts w:ascii="Times New Roman;serif" w:hAnsi="Times New Roman;serif"/>
                <w:b/>
                <w:color w:val="000000"/>
                <w:sz w:val="9"/>
              </w:rPr>
              <w:t>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Fair Value Option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 xml:space="preserve">Available-for-Sale </w:t>
            </w:r>
          </w:p>
          <w:p>
            <w:pPr>
              <w:pStyle w:val="TableContents"/>
              <w:bidi w:val="0"/>
              <w:spacing w:lineRule="auto" w:line="240" w:before="0" w:after="0"/>
              <w:jc w:val="center"/>
              <w:rPr/>
            </w:pPr>
            <w:r>
              <w:rPr>
                <w:rFonts w:ascii="Times New Roman;serif" w:hAnsi="Times New Roman;serif"/>
                <w:b/>
                <w:color w:val="000000"/>
                <w:sz w:val="14"/>
              </w:rPr>
              <w:t xml:space="preserve">Securities </w:t>
            </w:r>
            <w:r>
              <w:rPr>
                <w:rFonts w:ascii="Times New Roman;serif" w:hAnsi="Times New Roman;serif"/>
                <w:b/>
                <w:color w:val="000000"/>
                <w:sz w:val="9"/>
              </w:rPr>
              <w:t>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Fair Value Option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 xml:space="preserve">Available-for-Sale </w:t>
            </w:r>
          </w:p>
          <w:p>
            <w:pPr>
              <w:pStyle w:val="TableContents"/>
              <w:bidi w:val="0"/>
              <w:spacing w:lineRule="auto" w:line="240" w:before="0" w:after="0"/>
              <w:jc w:val="center"/>
              <w:rPr/>
            </w:pPr>
            <w:r>
              <w:rPr>
                <w:rFonts w:ascii="Times New Roman;serif" w:hAnsi="Times New Roman;serif"/>
                <w:b/>
                <w:color w:val="000000"/>
                <w:sz w:val="14"/>
              </w:rPr>
              <w:t xml:space="preserve">Securities </w:t>
            </w:r>
            <w:r>
              <w:rPr>
                <w:rFonts w:ascii="Times New Roman;serif" w:hAnsi="Times New Roman;serif"/>
                <w:b/>
                <w:color w:val="000000"/>
                <w:sz w:val="9"/>
              </w:rPr>
              <w:t>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Fair Value Option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8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securities sold,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(15,787)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Proceeds from investment securities sold </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gain (loss) on sale of investment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gain on sale of investment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loss on sale of 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gain (loss) on sale of investment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color w:val="000000"/>
        </w:rPr>
      </w:pPr>
      <w:r>
        <w:rPr>
          <w:color w:val="000000"/>
        </w:rPr>
        <w:t> </w:t>
      </w: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1.Proceeds include cash received during the period, plus receivable for investment securities sold during the period as of period end.</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2.See Note 9 for a summary of changes in accumulated OCI.</w:t>
      </w:r>
    </w:p>
    <w:p>
      <w:pPr>
        <w:pStyle w:val="TextBody"/>
        <w:bidi w:val="0"/>
        <w:spacing w:lineRule="auto" w:line="288" w:before="0" w:after="0"/>
        <w:ind w:left="0" w:right="0" w:hanging="360"/>
        <w:jc w:val="both"/>
        <w:rPr/>
      </w:pPr>
      <w:r>
        <w:rPr>
          <w:rFonts w:ascii="Times New Roman;serif" w:hAnsi="Times New Roman;serif"/>
          <w:b w:val="false"/>
          <w:color w:val="000000"/>
          <w:sz w:val="16"/>
        </w:rPr>
        <w:t>3.During fiscal years 2025, 2024 and 2023, we received principal repayments on available-for-sale securities of $534 million</w:t>
      </w:r>
      <w:r>
        <w:rPr>
          <w:rFonts w:ascii="Times New Roman;serif" w:hAnsi="Times New Roman;serif"/>
          <w:b w:val="false"/>
          <w:color w:val="000000"/>
          <w:sz w:val="20"/>
        </w:rPr>
        <w:t xml:space="preserve">, </w:t>
      </w:r>
      <w:r>
        <w:rPr>
          <w:rFonts w:ascii="Times New Roman;serif" w:hAnsi="Times New Roman;serif"/>
          <w:b w:val="false"/>
          <w:color w:val="000000"/>
          <w:sz w:val="16"/>
        </w:rPr>
        <w:t>$588 million and $704 million, respectively.</w:t>
      </w:r>
    </w:p>
    <w:p>
      <w:pPr>
        <w:pStyle w:val="TextBody"/>
        <w:bidi w:val="0"/>
        <w:spacing w:before="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4. Repurchase Agreements and Reverse Repurchase Agreements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Repurchase Agreements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pledge our securities as collateral under our borrowings structured as repurchase agreements with financial institutions. Amounts available to be borrowed are dependent upon the fair value of the securities pledged as collateral, which fluctuates with changes in interest rates, type of security, and liquidity conditions within the banking, mortgage finance and real estate industries. If the fair value of our pledged securities declines, lenders will typically require us to post additional collateral or pay down borrowings to re-establish agreed upon collateral requirements, referred to as "margin calls." Similarly, if the fair value of our pledged securities increases, lenders may release collateral back to us. As of December 31, 2025, we had met all margin call requirements. For additional information regarding our pledged assets, please refer to Note 6.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we had $85.3 billion and $60.8 billion, respectively, of repurchase agreements outstanding used to fund our investment portfolio and temporary holdings of U.S. Treasury securities. The terms and conditions of our repurchase agreements are typically negotiated on a transaction-by-transaction basis or subject to a tri-party repo agreement. The following table summarizes our borrowings under repurchase agreements by their remaining maturities as of December 31, 2025 and 2024 (dollars in millions):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516"/>
        <w:gridCol w:w="454"/>
        <w:gridCol w:w="456"/>
        <w:gridCol w:w="109"/>
        <w:gridCol w:w="109"/>
        <w:gridCol w:w="109"/>
        <w:gridCol w:w="280"/>
        <w:gridCol w:w="925"/>
        <w:gridCol w:w="157"/>
        <w:gridCol w:w="109"/>
        <w:gridCol w:w="109"/>
        <w:gridCol w:w="109"/>
        <w:gridCol w:w="233"/>
        <w:gridCol w:w="233"/>
        <w:gridCol w:w="430"/>
        <w:gridCol w:w="109"/>
        <w:gridCol w:w="109"/>
        <w:gridCol w:w="109"/>
        <w:gridCol w:w="375"/>
        <w:gridCol w:w="375"/>
        <w:gridCol w:w="376"/>
        <w:gridCol w:w="109"/>
        <w:gridCol w:w="109"/>
        <w:gridCol w:w="109"/>
        <w:gridCol w:w="280"/>
        <w:gridCol w:w="925"/>
        <w:gridCol w:w="157"/>
        <w:gridCol w:w="109"/>
        <w:gridCol w:w="109"/>
        <w:gridCol w:w="109"/>
        <w:gridCol w:w="233"/>
        <w:gridCol w:w="233"/>
        <w:gridCol w:w="430"/>
        <w:gridCol w:w="109"/>
        <w:gridCol w:w="109"/>
        <w:gridCol w:w="109"/>
        <w:gridCol w:w="343"/>
        <w:gridCol w:w="343"/>
        <w:gridCol w:w="489"/>
      </w:tblGrid>
      <w:tr>
        <w:trPr/>
        <w:tc>
          <w:tcPr>
            <w:tcW w:w="51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Remaining 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Repurchase Agreements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Interest</w:t>
              <w:b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 Days</w:t>
              <w:br/>
              <w:t>to 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Repurchase Agreements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Interest</w:t>
              <w:b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 Days</w:t>
              <w:br/>
              <w:t>to Maturity</w:t>
            </w:r>
          </w:p>
        </w:tc>
      </w:tr>
      <w:tr>
        <w:trPr/>
        <w:tc>
          <w:tcPr>
            <w:tcW w:w="14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Securities Repo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8"/>
              </w:rPr>
              <w:t>1 month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69,997 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55,580 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&gt; 1 to ≤ 3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Securities Repo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72,946 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3.98 </w:t>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59,362 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4.76 </w:t>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4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Repo: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8"/>
              </w:rPr>
              <w:t>1 month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85,286 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3.97 </w:t>
            </w:r>
          </w:p>
        </w:tc>
        <w:tc>
          <w:tcPr>
            <w:tcW w:w="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60,798 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4.76 </w:t>
            </w:r>
          </w:p>
        </w:tc>
        <w:tc>
          <w:tcPr>
            <w:tcW w:w="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2024, $27.5 billion and $25.4 billion, respectively, of our investment securities repurchase agreements and $10.9 billion and $1.4 billion, respectively, of our U.S. Treasury repurchase agreements had an overnight maturity of one business day and none of our repurchase agreements were due on demand. As of December 31, 2025, we had $24.7 billion of forward commitments to enter into repurchase agreements with a weighted average forward start date of 2 days and a weighted average interest rate of 3.81%. As of December 31, 2024, we had $17.3 billion of forward commitments to enter into repurchase agreements, with a weighted average forward start date of 2 days and a weighted average interest rate of 4.61%. As of December 31, 2025 and 2024, 57% and 50%, respectively, of our repurchase agreement funding was sourced through our wholly-owned captive broker-dealer subsidiary, Bethesda Securities, LLC ("BES"). Amounts sourced through BES include funding from the General Collateral Finance Repo service ("GCF Repo") offered by the Fixed Income Clearing Corporation ("FICC"), which totaled 44% and 47% of our repurchase agreement funding outstanding as of December 31, 2025 and 2024, respectively.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Reverse Repurchase Agreements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2024, we had $16.6 billion and $17.1 billion, respectively, of reverse repurchase agreements outstanding used primarily to borrow securities to cover short sales of U.S. Treasury securities, for which we had associated obligations to return borrowed securities at fair value of $16.5 billion and $16.7 billion, respectively. As of December 31, 2025 and 2024, $5.2 billion and $3.9 billion, respectively, of our reverse repurchase agreements were with the FICC sourced through BES. </w:t>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5. Derivative and Other Hedging Instruments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For the periods presented, our interest rate based hedges primarily consisted of interest rate swaps, interest rate swaptions, U.S. Treasury securities and U.S. Treasury futures contracts. We also utilized forward contracts, primarily consisting of TBA securities, for the purchase and sale of investment securities. For additional information regarding our derivative instruments and our overall risk management strategy, please refer to the discussion of derivative and other hedging instruments in Note 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Derivative and Other Hedging Instrument Assets (Liabilities), at Fair Value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fair value information about our derivative and other hedging instrument assets/(liabilities) as of December 31, 2025 and 2024 (in millions):</w:t>
      </w:r>
    </w:p>
    <w:tbl>
      <w:tblPr>
        <w:tblW w:w="10205" w:type="dxa"/>
        <w:jc w:val="left"/>
        <w:tblInd w:w="0" w:type="dxa"/>
        <w:tblLayout w:type="fixed"/>
        <w:tblCellMar>
          <w:top w:w="28" w:type="dxa"/>
          <w:left w:w="28" w:type="dxa"/>
          <w:bottom w:w="28" w:type="dxa"/>
          <w:right w:w="28" w:type="dxa"/>
        </w:tblCellMar>
      </w:tblPr>
      <w:tblGrid>
        <w:gridCol w:w="974"/>
        <w:gridCol w:w="848"/>
        <w:gridCol w:w="851"/>
        <w:gridCol w:w="109"/>
        <w:gridCol w:w="109"/>
        <w:gridCol w:w="109"/>
        <w:gridCol w:w="1560"/>
        <w:gridCol w:w="1491"/>
        <w:gridCol w:w="1495"/>
        <w:gridCol w:w="109"/>
        <w:gridCol w:w="109"/>
        <w:gridCol w:w="109"/>
        <w:gridCol w:w="196"/>
        <w:gridCol w:w="646"/>
        <w:gridCol w:w="109"/>
        <w:gridCol w:w="109"/>
        <w:gridCol w:w="109"/>
        <w:gridCol w:w="109"/>
        <w:gridCol w:w="196"/>
        <w:gridCol w:w="699"/>
        <w:gridCol w:w="159"/>
      </w:tblGrid>
      <w:tr>
        <w:trPr/>
        <w:tc>
          <w:tcPr>
            <w:tcW w:w="974"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 and Other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26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Interest rate swaps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Swaptions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TBA and forward settling non-Agency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futures - long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futures - short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SOFR futures contracts - long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Total derivative assets,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Interest rate swaps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liabilities,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TBA and forward settling non-Agency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liabilities,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2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2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SOFR futures contracts - long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liabilities,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267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Total derivative liabilities,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 - long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 - short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Obligation to return securities borrowed under reverse repurchase agreements,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(16,676)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Total U.S. Treasury securities, net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(15,101)</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1.As of December 31, 2025 and 2024, the net fair value of our interest rate swaps excluding the recognition of variation margin settlements as a direct reduction of carrying value (see Note 2) was a net asset (liability) of $1.3 billion and $2.3 billion, respectively. </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certain characteristics of our derivative and other hedging instruments outstanding as of December 31, 2025 and 2024 (dollars in millions):</w:t>
      </w:r>
    </w:p>
    <w:tbl>
      <w:tblPr>
        <w:tblW w:w="10205" w:type="dxa"/>
        <w:jc w:val="center"/>
        <w:tblInd w:w="0" w:type="dxa"/>
        <w:tblLayout w:type="fixed"/>
        <w:tblCellMar>
          <w:top w:w="28" w:type="dxa"/>
          <w:left w:w="28" w:type="dxa"/>
          <w:bottom w:w="28" w:type="dxa"/>
          <w:right w:w="28" w:type="dxa"/>
        </w:tblCellMar>
      </w:tblPr>
      <w:tblGrid>
        <w:gridCol w:w="389"/>
        <w:gridCol w:w="331"/>
        <w:gridCol w:w="332"/>
        <w:gridCol w:w="109"/>
        <w:gridCol w:w="109"/>
        <w:gridCol w:w="109"/>
        <w:gridCol w:w="196"/>
        <w:gridCol w:w="646"/>
        <w:gridCol w:w="109"/>
        <w:gridCol w:w="109"/>
        <w:gridCol w:w="109"/>
        <w:gridCol w:w="109"/>
        <w:gridCol w:w="245"/>
        <w:gridCol w:w="245"/>
        <w:gridCol w:w="246"/>
        <w:gridCol w:w="109"/>
        <w:gridCol w:w="109"/>
        <w:gridCol w:w="109"/>
        <w:gridCol w:w="263"/>
        <w:gridCol w:w="263"/>
        <w:gridCol w:w="264"/>
        <w:gridCol w:w="109"/>
        <w:gridCol w:w="109"/>
        <w:gridCol w:w="109"/>
        <w:gridCol w:w="255"/>
        <w:gridCol w:w="255"/>
        <w:gridCol w:w="256"/>
        <w:gridCol w:w="109"/>
        <w:gridCol w:w="109"/>
        <w:gridCol w:w="109"/>
        <w:gridCol w:w="196"/>
        <w:gridCol w:w="646"/>
        <w:gridCol w:w="109"/>
        <w:gridCol w:w="109"/>
        <w:gridCol w:w="109"/>
        <w:gridCol w:w="109"/>
        <w:gridCol w:w="245"/>
        <w:gridCol w:w="245"/>
        <w:gridCol w:w="246"/>
        <w:gridCol w:w="109"/>
        <w:gridCol w:w="109"/>
        <w:gridCol w:w="109"/>
        <w:gridCol w:w="263"/>
        <w:gridCol w:w="263"/>
        <w:gridCol w:w="264"/>
        <w:gridCol w:w="109"/>
        <w:gridCol w:w="109"/>
        <w:gridCol w:w="109"/>
        <w:gridCol w:w="237"/>
        <w:gridCol w:w="237"/>
        <w:gridCol w:w="343"/>
      </w:tblGrid>
      <w:tr>
        <w:trPr/>
        <w:tc>
          <w:tcPr>
            <w:tcW w:w="38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Pay Fixed / Receive Variable Interest Rate Swaps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4"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Years to 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Fixed Pay </w:t>
              <w:b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Average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Variable Receive</w:t>
            </w:r>
          </w:p>
          <w:p>
            <w:pPr>
              <w:pStyle w:val="TableContents"/>
              <w:bidi w:val="0"/>
              <w:spacing w:lineRule="auto" w:line="240" w:before="0" w:after="0"/>
              <w:jc w:val="center"/>
              <w:rPr/>
            </w:pPr>
            <w:r>
              <w:rPr>
                <w:rFonts w:ascii="Times New Roman;serif" w:hAnsi="Times New Roman;serif"/>
                <w:b/>
                <w:color w:val="000000"/>
                <w:sz w:val="16"/>
              </w:rPr>
              <w:t xml:space="preserve">Rate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Maturity</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Fixed Pay </w:t>
              <w:b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Average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Variable Receive</w:t>
            </w:r>
          </w:p>
          <w:p>
            <w:pPr>
              <w:pStyle w:val="TableContents"/>
              <w:bidi w:val="0"/>
              <w:spacing w:lineRule="auto" w:line="240" w:before="0" w:after="0"/>
              <w:jc w:val="center"/>
              <w:rPr/>
            </w:pPr>
            <w:r>
              <w:rPr>
                <w:rFonts w:ascii="Times New Roman;serif" w:hAnsi="Times New Roman;serif"/>
                <w:b/>
                <w:color w:val="000000"/>
                <w:sz w:val="16"/>
              </w:rPr>
              <w:t xml:space="preserve">Rate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Maturity</w:t>
              <w:br/>
              <w:t>(Years)</w:t>
            </w:r>
          </w:p>
        </w:tc>
      </w:tr>
      <w:tr>
        <w:trPr/>
        <w:tc>
          <w:tcPr>
            <w:tcW w:w="10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8"/>
              </w:rPr>
              <w:t>1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0.5</w:t>
            </w:r>
          </w:p>
        </w:tc>
      </w:tr>
      <w:tr>
        <w:trPr/>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&gt; 1 to ≤ 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w:t>
            </w:r>
          </w:p>
        </w:tc>
      </w:tr>
      <w:tr>
        <w:trPr/>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&gt; 3 to ≤ 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3.9</w:t>
            </w:r>
          </w:p>
        </w:tc>
      </w:tr>
      <w:tr>
        <w:trPr/>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&gt; 5 to ≤ 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5.7</w:t>
            </w:r>
          </w:p>
        </w:tc>
      </w:tr>
      <w:tr>
        <w:trPr/>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&gt; 7 to ≤ 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8.8</w:t>
            </w:r>
          </w:p>
        </w:tc>
      </w:tr>
      <w:tr>
        <w:trPr/>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r>
      <w:tr>
        <w:trPr/>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4.4</w:t>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1.As of December 31, 2025, 95% and 5% of notional amount receive index references SOFR and OIS, respectively. As of 2024, 82% and 18% of notional amount receive index references SOFR and OIS, respectively.</w:t>
      </w:r>
    </w:p>
    <w:p>
      <w:pPr>
        <w:pStyle w:val="TextBody"/>
        <w:bidi w:val="0"/>
        <w:spacing w:before="0" w:after="0"/>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36"/>
        <w:gridCol w:w="385"/>
        <w:gridCol w:w="386"/>
        <w:gridCol w:w="129"/>
        <w:gridCol w:w="129"/>
        <w:gridCol w:w="129"/>
        <w:gridCol w:w="365"/>
        <w:gridCol w:w="365"/>
        <w:gridCol w:w="367"/>
        <w:gridCol w:w="109"/>
        <w:gridCol w:w="109"/>
        <w:gridCol w:w="109"/>
        <w:gridCol w:w="215"/>
        <w:gridCol w:w="446"/>
        <w:gridCol w:w="119"/>
        <w:gridCol w:w="109"/>
        <w:gridCol w:w="109"/>
        <w:gridCol w:w="109"/>
        <w:gridCol w:w="222"/>
        <w:gridCol w:w="460"/>
        <w:gridCol w:w="123"/>
        <w:gridCol w:w="109"/>
        <w:gridCol w:w="109"/>
        <w:gridCol w:w="109"/>
        <w:gridCol w:w="387"/>
        <w:gridCol w:w="387"/>
        <w:gridCol w:w="388"/>
        <w:gridCol w:w="109"/>
        <w:gridCol w:w="109"/>
        <w:gridCol w:w="109"/>
        <w:gridCol w:w="196"/>
        <w:gridCol w:w="556"/>
        <w:gridCol w:w="109"/>
        <w:gridCol w:w="109"/>
        <w:gridCol w:w="109"/>
        <w:gridCol w:w="109"/>
        <w:gridCol w:w="389"/>
        <w:gridCol w:w="389"/>
        <w:gridCol w:w="391"/>
        <w:gridCol w:w="109"/>
        <w:gridCol w:w="109"/>
        <w:gridCol w:w="109"/>
        <w:gridCol w:w="224"/>
        <w:gridCol w:w="224"/>
        <w:gridCol w:w="327"/>
      </w:tblGrid>
      <w:tr>
        <w:trPr/>
        <w:tc>
          <w:tcPr>
            <w:tcW w:w="43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269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Payer Swaptions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Underlying Payer Swap</w:t>
            </w:r>
          </w:p>
        </w:tc>
      </w:tr>
      <w:tr>
        <w:trPr/>
        <w:tc>
          <w:tcPr>
            <w:tcW w:w="1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Option </w:t>
              <w:br/>
              <w:t>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Months to Option</w:t>
              <w:br/>
              <w:t>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Average Fixed Pay </w:t>
            </w:r>
          </w:p>
          <w:p>
            <w:pPr>
              <w:pStyle w:val="TableContents"/>
              <w:bidi w:val="0"/>
              <w:spacing w:lineRule="auto" w:line="240" w:before="0" w:after="0"/>
              <w:jc w:val="center"/>
              <w:rPr/>
            </w:pPr>
            <w:r>
              <w:rPr>
                <w:rFonts w:ascii="Times New Roman;serif" w:hAnsi="Times New Roman;serif"/>
                <w:b/>
                <w:color w:val="000000"/>
                <w:sz w:val="16"/>
              </w:rPr>
              <w:t xml:space="preserve">Rate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Term</w:t>
              <w:br/>
              <w:t>(Years)</w:t>
            </w:r>
          </w:p>
        </w:tc>
      </w:tr>
      <w:tr>
        <w:trPr/>
        <w:tc>
          <w:tcPr>
            <w:tcW w:w="120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r>
      <w:tr>
        <w:trPr/>
        <w:tc>
          <w:tcPr>
            <w:tcW w:w="12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8"/>
              </w:rPr>
              <w:t>1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w:t>
            </w:r>
          </w:p>
        </w:tc>
      </w:tr>
      <w:tr>
        <w:trPr/>
        <w:tc>
          <w:tcPr>
            <w:tcW w:w="120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r>
      <w:tr>
        <w:trPr/>
        <w:tc>
          <w:tcPr>
            <w:tcW w:w="120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r>
      <w:tr>
        <w:trPr/>
        <w:tc>
          <w:tcPr>
            <w:tcW w:w="120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r>
      <w:tr>
        <w:trPr/>
        <w:tc>
          <w:tcPr>
            <w:tcW w:w="120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r>
      <w:tr>
        <w:trPr/>
        <w:tc>
          <w:tcPr>
            <w:tcW w:w="120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r>
      <w:tr>
        <w:trPr/>
        <w:tc>
          <w:tcPr>
            <w:tcW w:w="120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r>
      <w:tr>
        <w:trPr/>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31, 2024</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8"/>
              </w:rPr>
              <w:t>1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120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r>
      <w:tr>
        <w:trPr/>
        <w:tc>
          <w:tcPr>
            <w:tcW w:w="120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r>
      <w:tr>
        <w:trPr/>
        <w:tc>
          <w:tcPr>
            <w:tcW w:w="120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r>
      <w:tr>
        <w:trPr/>
        <w:tc>
          <w:tcPr>
            <w:tcW w:w="120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1.Receive index references SOFR.</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428"/>
        <w:gridCol w:w="377"/>
        <w:gridCol w:w="378"/>
        <w:gridCol w:w="138"/>
        <w:gridCol w:w="138"/>
        <w:gridCol w:w="138"/>
        <w:gridCol w:w="360"/>
        <w:gridCol w:w="360"/>
        <w:gridCol w:w="362"/>
        <w:gridCol w:w="109"/>
        <w:gridCol w:w="109"/>
        <w:gridCol w:w="109"/>
        <w:gridCol w:w="228"/>
        <w:gridCol w:w="385"/>
        <w:gridCol w:w="126"/>
        <w:gridCol w:w="109"/>
        <w:gridCol w:w="109"/>
        <w:gridCol w:w="109"/>
        <w:gridCol w:w="235"/>
        <w:gridCol w:w="397"/>
        <w:gridCol w:w="130"/>
        <w:gridCol w:w="109"/>
        <w:gridCol w:w="109"/>
        <w:gridCol w:w="109"/>
        <w:gridCol w:w="381"/>
        <w:gridCol w:w="381"/>
        <w:gridCol w:w="382"/>
        <w:gridCol w:w="109"/>
        <w:gridCol w:w="109"/>
        <w:gridCol w:w="109"/>
        <w:gridCol w:w="196"/>
        <w:gridCol w:w="556"/>
        <w:gridCol w:w="109"/>
        <w:gridCol w:w="109"/>
        <w:gridCol w:w="109"/>
        <w:gridCol w:w="109"/>
        <w:gridCol w:w="426"/>
        <w:gridCol w:w="426"/>
        <w:gridCol w:w="428"/>
        <w:gridCol w:w="109"/>
        <w:gridCol w:w="109"/>
        <w:gridCol w:w="109"/>
        <w:gridCol w:w="224"/>
        <w:gridCol w:w="224"/>
        <w:gridCol w:w="330"/>
      </w:tblGrid>
      <w:tr>
        <w:trPr/>
        <w:tc>
          <w:tcPr>
            <w:tcW w:w="42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Receiver Swaptions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Underlying Receiver Swap</w:t>
            </w:r>
          </w:p>
        </w:tc>
      </w:tr>
      <w:tr>
        <w:trPr/>
        <w:tc>
          <w:tcPr>
            <w:tcW w:w="11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Option </w:t>
              <w:br/>
              <w:t>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Months to Option</w:t>
              <w:br/>
              <w:t>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Average Fixed Receive </w:t>
            </w:r>
          </w:p>
          <w:p>
            <w:pPr>
              <w:pStyle w:val="TableContents"/>
              <w:bidi w:val="0"/>
              <w:spacing w:lineRule="auto" w:line="240" w:before="0" w:after="0"/>
              <w:jc w:val="center"/>
              <w:rPr/>
            </w:pPr>
            <w:r>
              <w:rPr>
                <w:rFonts w:ascii="Times New Roman;serif" w:hAnsi="Times New Roman;serif"/>
                <w:b/>
                <w:color w:val="000000"/>
                <w:sz w:val="16"/>
              </w:rPr>
              <w:t xml:space="preserve">Rate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Term</w:t>
              <w:br/>
              <w:t>(Years)</w:t>
            </w:r>
          </w:p>
        </w:tc>
      </w:tr>
      <w:tr>
        <w:trPr/>
        <w:tc>
          <w:tcPr>
            <w:tcW w:w="1183"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11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8"/>
              </w:rPr>
              <w:t>1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9.2</w:t>
            </w:r>
          </w:p>
        </w:tc>
      </w:tr>
      <w:tr>
        <w:trPr/>
        <w:tc>
          <w:tcPr>
            <w:tcW w:w="1183"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1183"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31, 2024</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8"/>
              </w:rPr>
              <w:t>1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w:t>
            </w:r>
          </w:p>
        </w:tc>
      </w:tr>
    </w:tbl>
    <w:p>
      <w:pPr>
        <w:pStyle w:val="TextBody"/>
        <w:bidi w:val="0"/>
        <w:spacing w:lineRule="auto" w:line="288" w:before="0" w:after="2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1.Pay index references SOFR.</w:t>
      </w:r>
    </w:p>
    <w:tbl>
      <w:tblPr>
        <w:tblW w:w="10205" w:type="dxa"/>
        <w:jc w:val="left"/>
        <w:tblInd w:w="0" w:type="dxa"/>
        <w:tblLayout w:type="fixed"/>
        <w:tblCellMar>
          <w:top w:w="28" w:type="dxa"/>
          <w:left w:w="28" w:type="dxa"/>
          <w:bottom w:w="28" w:type="dxa"/>
          <w:right w:w="28" w:type="dxa"/>
        </w:tblCellMar>
      </w:tblPr>
      <w:tblGrid>
        <w:gridCol w:w="553"/>
        <w:gridCol w:w="477"/>
        <w:gridCol w:w="479"/>
        <w:gridCol w:w="109"/>
        <w:gridCol w:w="109"/>
        <w:gridCol w:w="109"/>
        <w:gridCol w:w="288"/>
        <w:gridCol w:w="950"/>
        <w:gridCol w:w="160"/>
        <w:gridCol w:w="109"/>
        <w:gridCol w:w="109"/>
        <w:gridCol w:w="109"/>
        <w:gridCol w:w="196"/>
        <w:gridCol w:w="646"/>
        <w:gridCol w:w="109"/>
        <w:gridCol w:w="109"/>
        <w:gridCol w:w="109"/>
        <w:gridCol w:w="109"/>
        <w:gridCol w:w="196"/>
        <w:gridCol w:w="646"/>
        <w:gridCol w:w="109"/>
        <w:gridCol w:w="109"/>
        <w:gridCol w:w="109"/>
        <w:gridCol w:w="109"/>
        <w:gridCol w:w="275"/>
        <w:gridCol w:w="978"/>
        <w:gridCol w:w="153"/>
        <w:gridCol w:w="109"/>
        <w:gridCol w:w="109"/>
        <w:gridCol w:w="109"/>
        <w:gridCol w:w="196"/>
        <w:gridCol w:w="685"/>
        <w:gridCol w:w="109"/>
        <w:gridCol w:w="109"/>
        <w:gridCol w:w="109"/>
        <w:gridCol w:w="109"/>
        <w:gridCol w:w="196"/>
        <w:gridCol w:w="685"/>
        <w:gridCol w:w="157"/>
      </w:tblGrid>
      <w:tr>
        <w:trPr/>
        <w:tc>
          <w:tcPr>
            <w:tcW w:w="55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U.S. Treasury Securities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Years to 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Face Amount Long/(Short)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Face Amount Long/(Short)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15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8"/>
              </w:rPr>
              <w:t>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&gt; 5 year ≤ 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(2,722)</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&gt; 7 year ≤ 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(12,390)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(12,659)</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&gt; 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(1,782)</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U.S. Treasury securities,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(2,920)</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(16,207)</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(15,882)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(15,101)</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1.As of December 31, 2025 and 2024, short U.S. Treasury securities totaling $(16.5) billion and $(16.7) billion, at fair value, respectively, had a weighted average yield of 4.21% and 3.85%, respectively. As of December 31, 2025 and 2024, long U.S. Treasury securities totaling $13.5 billion and $1.6 billion, at fair value, respectively, had a weighted average yield of 3.67% and 4.27%, respectively.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24"/>
        <w:gridCol w:w="284"/>
        <w:gridCol w:w="286"/>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18"/>
        <w:gridCol w:w="370"/>
        <w:gridCol w:w="122"/>
        <w:gridCol w:w="109"/>
        <w:gridCol w:w="109"/>
        <w:gridCol w:w="109"/>
        <w:gridCol w:w="196"/>
        <w:gridCol w:w="575"/>
        <w:gridCol w:w="109"/>
        <w:gridCol w:w="109"/>
        <w:gridCol w:w="109"/>
        <w:gridCol w:w="109"/>
        <w:gridCol w:w="196"/>
        <w:gridCol w:w="575"/>
        <w:gridCol w:w="109"/>
        <w:gridCol w:w="109"/>
        <w:gridCol w:w="109"/>
        <w:gridCol w:w="109"/>
        <w:gridCol w:w="196"/>
        <w:gridCol w:w="575"/>
        <w:gridCol w:w="109"/>
        <w:gridCol w:w="109"/>
        <w:gridCol w:w="109"/>
        <w:gridCol w:w="109"/>
        <w:gridCol w:w="217"/>
        <w:gridCol w:w="367"/>
        <w:gridCol w:w="178"/>
      </w:tblGrid>
      <w:tr>
        <w:trPr/>
        <w:tc>
          <w:tcPr>
            <w:tcW w:w="32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8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color w:val="000000"/>
                <w:sz w:val="16"/>
              </w:rPr>
              <w:t>U.S. Treasury Futures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Years to 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Notional </w:t>
              <w:br/>
              <w:t>Amount</w:t>
              <w:br/>
              <w:t>Long (Short)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Cost</w:t>
              <w:br/>
              <w:t>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 xml:space="preserve">Net Carrying Value </w:t>
            </w:r>
            <w:r>
              <w:rPr>
                <w:rFonts w:ascii="Times New Roman;serif" w:hAnsi="Times New Roman;serif"/>
                <w:b/>
                <w:color w:val="000000"/>
                <w:sz w:val="9"/>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Notional </w:t>
              <w:br/>
              <w:t>Amount</w:t>
              <w:br/>
              <w:t>Long (Short)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Cost</w:t>
              <w:br/>
              <w:t>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 xml:space="preserve">Net Carrying Value </w:t>
            </w:r>
            <w:r>
              <w:rPr>
                <w:rFonts w:ascii="Times New Roman;serif" w:hAnsi="Times New Roman;serif"/>
                <w:b/>
                <w:color w:val="000000"/>
                <w:sz w:val="9"/>
              </w:rPr>
              <w:t>2</w:t>
            </w:r>
          </w:p>
        </w:tc>
      </w:tr>
      <w:tr>
        <w:trPr/>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r>
      <w:tr>
        <w:trPr/>
        <w:tc>
          <w:tcPr>
            <w:tcW w:w="8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&gt; 5 year ≤ 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&gt; 7 year ≤ 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&gt; 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U.S. Treasury futures,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1.As of December 31, 2025 and 2024, short U.S. Treasury futures totaling $(3.7) billion and $(4.9) billion, at fair value, respectively. As of December 31, 2025, long U.S. Treasury futures totaling $5.2 billion, at fair value.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2.Net carrying value represents the difference between the fair market value and the cost basis (or the forward price to be paid/(received) for the underlying U.S. Treasury security) of the U.S. Treasury futures contract as of period-end and is reported in derivative assets/(liabilities), at fair value in our consolidated balance sheets.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jc w:val="left"/>
        <w:rPr/>
      </w:pPr>
      <w:r>
        <w:rPr/>
      </w:r>
    </w:p>
    <w:tbl>
      <w:tblPr>
        <w:tblW w:w="10472" w:type="dxa"/>
        <w:jc w:val="left"/>
        <w:tblInd w:w="0" w:type="dxa"/>
        <w:tblLayout w:type="fixed"/>
        <w:tblCellMar>
          <w:top w:w="28" w:type="dxa"/>
          <w:left w:w="28" w:type="dxa"/>
          <w:bottom w:w="28" w:type="dxa"/>
          <w:right w:w="28" w:type="dxa"/>
        </w:tblCellMar>
      </w:tblPr>
      <w:tblGrid>
        <w:gridCol w:w="345"/>
        <w:gridCol w:w="225"/>
        <w:gridCol w:w="226"/>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40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406"/>
        <w:gridCol w:w="311"/>
      </w:tblGrid>
      <w:tr>
        <w:trPr/>
        <w:tc>
          <w:tcPr>
            <w:tcW w:w="34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TBA Securities by Coupon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Notional </w:t>
              <w:br/>
              <w:t>Amount</w:t>
              <w:br/>
              <w:t>Long (Short)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Cost</w:t>
              <w:br/>
              <w:t>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 xml:space="preserve">Net Carrying Value </w:t>
            </w:r>
            <w:r>
              <w:rPr>
                <w:rFonts w:ascii="Times New Roman;serif" w:hAnsi="Times New Roman;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Notional </w:t>
              <w:br/>
              <w:t>Amount</w:t>
              <w:br/>
              <w:t>Long (Short)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Cost</w:t>
              <w:br/>
              <w:t>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 xml:space="preserve">Net Carrying Value </w:t>
            </w:r>
            <w:r>
              <w:rPr>
                <w:rFonts w:ascii="Times New Roman;serif" w:hAnsi="Times New Roman;serif"/>
                <w:b/>
                <w:color w:val="000000"/>
                <w:sz w:val="9"/>
              </w:rPr>
              <w:t>1</w:t>
            </w:r>
          </w:p>
        </w:tc>
      </w:tr>
      <w:tr>
        <w:trPr/>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15-Year TBA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15-Year TBA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30-Year TBA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30-Year TBA securities,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TBA securities,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1.Net carrying value represents the difference between the fair market value and the cost basis (or the forward price to be paid/(received) for the underlying Agency security) of the TBA contract as of period-end and is reported in derivative assets/(liabilities), at fair value in our consolidated balance sheets. </w:t>
      </w:r>
    </w:p>
    <w:p>
      <w:pPr>
        <w:pStyle w:val="TextBody"/>
        <w:bidi w:val="0"/>
        <w:spacing w:lineRule="auto" w:line="268" w:before="2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December 31, 2024, we held SOFR futures contracts with a long notional position of $1.2 billion, measured on a two-year swap equivalent basis, with a net carrying value of $(7) million.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Gain (Loss) From Derivative Instruments and Other Securities, Net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changes in our derivative and other hedge portfolio and their effect on our consolidated statements of comprehensive income for fiscal years 2025, 2024 and 2023 (in millions):</w:t>
      </w:r>
    </w:p>
    <w:p>
      <w:pPr>
        <w:pStyle w:val="TextBody"/>
        <w:bidi w:val="0"/>
        <w:spacing w:before="0" w:after="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37"/>
        <w:gridCol w:w="561"/>
        <w:gridCol w:w="563"/>
        <w:gridCol w:w="109"/>
        <w:gridCol w:w="109"/>
        <w:gridCol w:w="109"/>
        <w:gridCol w:w="219"/>
        <w:gridCol w:w="765"/>
        <w:gridCol w:w="121"/>
        <w:gridCol w:w="109"/>
        <w:gridCol w:w="109"/>
        <w:gridCol w:w="109"/>
        <w:gridCol w:w="368"/>
        <w:gridCol w:w="368"/>
        <w:gridCol w:w="266"/>
        <w:gridCol w:w="109"/>
        <w:gridCol w:w="109"/>
        <w:gridCol w:w="109"/>
        <w:gridCol w:w="505"/>
        <w:gridCol w:w="408"/>
        <w:gridCol w:w="410"/>
        <w:gridCol w:w="109"/>
        <w:gridCol w:w="109"/>
        <w:gridCol w:w="109"/>
        <w:gridCol w:w="216"/>
        <w:gridCol w:w="755"/>
        <w:gridCol w:w="120"/>
        <w:gridCol w:w="109"/>
        <w:gridCol w:w="109"/>
        <w:gridCol w:w="109"/>
        <w:gridCol w:w="109"/>
        <w:gridCol w:w="109"/>
        <w:gridCol w:w="109"/>
        <w:gridCol w:w="414"/>
        <w:gridCol w:w="1216"/>
        <w:gridCol w:w="331"/>
      </w:tblGrid>
      <w:tr>
        <w:trPr/>
        <w:tc>
          <w:tcPr>
            <w:tcW w:w="637"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 and Other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Beginning</w:t>
              <w:br/>
              <w:t xml:space="preserve">Notional 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Settlement, Termination,</w:t>
              <w:br/>
              <w:t>Expiration or</w:t>
              <w:br/>
              <w:t>Exercise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Ending</w:t>
              <w:b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Gain/(Loss)</w:t>
            </w:r>
          </w:p>
          <w:p>
            <w:pPr>
              <w:pStyle w:val="TableContents"/>
              <w:bidi w:val="0"/>
              <w:spacing w:lineRule="auto" w:line="240" w:before="0" w:after="0"/>
              <w:jc w:val="center"/>
              <w:rPr/>
            </w:pPr>
            <w:r>
              <w:rPr>
                <w:rFonts w:ascii="Times New Roman;serif" w:hAnsi="Times New Roman;serif"/>
                <w:b/>
                <w:color w:val="000000"/>
                <w:sz w:val="16"/>
              </w:rPr>
              <w:t xml:space="preserve">on Derivative Instruments and Other Securities, Net </w:t>
            </w:r>
            <w:r>
              <w:rPr>
                <w:rFonts w:ascii="Times New Roman;serif" w:hAnsi="Times New Roman;serif"/>
                <w:b/>
                <w:color w:val="000000"/>
                <w:sz w:val="10"/>
              </w:rPr>
              <w:t>1</w:t>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Fiscal Year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TBA securities,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167,650 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(161,425)</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13,180 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 - payer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39,646 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54,746 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(29,760)</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64,632 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Payer swaptions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Receiver swaptions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(7,000)</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 - short 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(18,461)</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19,875 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(16,378)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 - long 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31,831 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(19,958)</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13,458 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futures contracts - short 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(12,270)</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13,433 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futures contracts - long 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5,956 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Fiscal Year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TBA securities,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123,959 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(122,336)</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 - payer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44,476 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12,095 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(16,925)</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39,646 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 - receiver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Credit default swaps - buy protection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Payer swaptions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Receiver swaptions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 - short 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(16,948)</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10,503 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 - long 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(7,687)</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futures contracts - short 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(12,473)</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14,529 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futures contracts - long 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Fiscal Year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TBA securities,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19,050 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164,465 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(178,183)</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 - payer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47,825 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5,746 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(9,095)</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44,476 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 - receiver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Credit default swaps - buy protection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(1,322)</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1,441 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Payer swaptions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Receiver swaptions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 - short 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(20,143)</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16,169 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 - long 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14,272 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(13,137)</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futures contracts - short 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(31,465)</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34,249 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1.Amounts exclude other miscellaneous gains and losses and other interest income (expense) recognized in gain (loss) on derivative instruments and other securities, net in our consolidated statements of comprehensive income.</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Additionally, as of December 31, 2024 and 2023, we held SOFR futures contracts with a long notional position of $1.2 billion and $0.9 billion, respectively, measured on a two-year swap equivalent basis. For fiscal years 2025, 2024 and 2023, we recognized a gain (loss) of $20 million, $13 million and $(10) million, respectively, on our SOFR futures contracts in gain (loss) on derivative instruments and other securities, net in our consolidated statements of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6. Pledged Assets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funding agreements require us to fully collateralize our obligations based on our counterparties' collateral requirements and their determination of the fair value of the securities pledged, which fluctuates with changes in interest rates, credit spreads, liquidity, and overall market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Bilateral funding agreements typically include a "haircut," or discount applied to the market value of pledged collateral, which reflects the risk characteristics of the underlying securities. Haircuts are determined on a transaction-specific basis and are not contractually fixed under the applicable Master Repurchase Agreement.</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Margin requirements for centrally cleared repurchase agreements executed through the Fixed Income Clearing Corporation ("FICC") are determined in accordance with the FICC's clearing rules. These include an initial margin requirement, calculated daily using a Value-at-Risk ("VaR") model, which takes into account any offsetting risk sensitivities of positions such as repos and reverse repos and is intended to protect the FICC against potential future exposure from a member default. The FICC also imposes variation margin based on amounts borrowed plus accrued interest, adjusted daily for fluctuations in collateral value, which is intended to cover our current repo exposure. Initial margin posted to the FICC may also be mutualized, meaning it can be used to absorb losses from the default of another clearing member, subject to applicable caps and withdrawal provisions.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are also required to post collateral under our derivative agreements. These agreements typically require the posting of initial margin at inception and the daily exchange of variation margin as market values change. Initial margin for derivatives is generally based on counterparty risk models, including VaR-based approaches, and is intended to cover potential future exposure in the event of a default. Variation margin reflects current exposure and serves to settle gains and losses on a daily basis.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funding and derivative agreements expose us to credit risk in the event a counterparty fails to perform its obligations. We seek to mitigate this risk by actively monitoring our collateral positions and limiting our counterparties to registered clearinghouses and regulated financial institutions, including banks and broker-dealers (both bank affiliated and independent) with acceptable credit ratings. In the event of a counterparty default, we may experience delays or losses in recovering pledged collateral or receiving payments due. We believe the credit risk associated with centrally cleared transactions is limited by the clearinghouses' daily margin practices, mutualized loss protections, designations as systemically important financial market utilities, and other risk management safeguards.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our maximum amount at risk with any counterparty related to our repurchase agreements (i.e., the excess/shortfall of the value of collateral pledged/received over our repurchase agreement liabilities/reverse repurchase agreement receivables), excluding the FICC, was less than 2% of our tangible stockholders' equity. As of December 31, 2025, less than 10% of our tangible stockholders' equity was at risk with the FICC.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Assets Pledged to Counterparties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our assets pledged as collateral under our funding, derivative and brokerage and clearing agreements by type, including securities pledged related to securities sold but not yet settled, as of December 31, 2025 and 2024 (in millions):</w:t>
      </w:r>
    </w:p>
    <w:tbl>
      <w:tblPr>
        <w:tblW w:w="10205" w:type="dxa"/>
        <w:jc w:val="center"/>
        <w:tblInd w:w="0" w:type="dxa"/>
        <w:tblLayout w:type="fixed"/>
        <w:tblCellMar>
          <w:top w:w="28" w:type="dxa"/>
          <w:left w:w="28" w:type="dxa"/>
          <w:bottom w:w="28" w:type="dxa"/>
          <w:right w:w="28" w:type="dxa"/>
        </w:tblCellMar>
      </w:tblPr>
      <w:tblGrid>
        <w:gridCol w:w="933"/>
        <w:gridCol w:w="820"/>
        <w:gridCol w:w="825"/>
        <w:gridCol w:w="109"/>
        <w:gridCol w:w="109"/>
        <w:gridCol w:w="109"/>
        <w:gridCol w:w="379"/>
        <w:gridCol w:w="1250"/>
        <w:gridCol w:w="212"/>
        <w:gridCol w:w="109"/>
        <w:gridCol w:w="109"/>
        <w:gridCol w:w="109"/>
        <w:gridCol w:w="334"/>
        <w:gridCol w:w="566"/>
        <w:gridCol w:w="188"/>
        <w:gridCol w:w="109"/>
        <w:gridCol w:w="109"/>
        <w:gridCol w:w="109"/>
        <w:gridCol w:w="542"/>
        <w:gridCol w:w="1542"/>
        <w:gridCol w:w="305"/>
        <w:gridCol w:w="109"/>
        <w:gridCol w:w="109"/>
        <w:gridCol w:w="109"/>
        <w:gridCol w:w="196"/>
        <w:gridCol w:w="646"/>
        <w:gridCol w:w="159"/>
      </w:tblGrid>
      <w:tr>
        <w:trPr/>
        <w:tc>
          <w:tcPr>
            <w:tcW w:w="93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57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Assets Pledged to Counterparties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Repurchase Agreements </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Debt of </w:t>
              <w:br/>
              <w:t xml:space="preserve">Consolidated </w:t>
              <w:br/>
              <w:t>VIEs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Agreements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Agency RMBS -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74,213 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74,413 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CRT -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Non-Agency -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U.S. Treasury securities -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12,636 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13,076 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Accrued interest on pledged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1,248 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87,894 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1,807 </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89,786 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33"/>
        <w:gridCol w:w="820"/>
        <w:gridCol w:w="825"/>
        <w:gridCol w:w="109"/>
        <w:gridCol w:w="109"/>
        <w:gridCol w:w="109"/>
        <w:gridCol w:w="379"/>
        <w:gridCol w:w="1250"/>
        <w:gridCol w:w="212"/>
        <w:gridCol w:w="109"/>
        <w:gridCol w:w="109"/>
        <w:gridCol w:w="109"/>
        <w:gridCol w:w="334"/>
        <w:gridCol w:w="566"/>
        <w:gridCol w:w="188"/>
        <w:gridCol w:w="109"/>
        <w:gridCol w:w="109"/>
        <w:gridCol w:w="109"/>
        <w:gridCol w:w="542"/>
        <w:gridCol w:w="1542"/>
        <w:gridCol w:w="305"/>
        <w:gridCol w:w="109"/>
        <w:gridCol w:w="109"/>
        <w:gridCol w:w="109"/>
        <w:gridCol w:w="196"/>
        <w:gridCol w:w="646"/>
        <w:gridCol w:w="159"/>
      </w:tblGrid>
      <w:tr>
        <w:trPr/>
        <w:tc>
          <w:tcPr>
            <w:tcW w:w="93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57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Assets Pledged to Counterparties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Repurchase Agreements </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Debt of </w:t>
              <w:br/>
              <w:t xml:space="preserve">Consolidated </w:t>
              <w:br/>
              <w:t>VIEs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Agreements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Agency RMBS -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59,958 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60,082 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CRT -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Non-Agency -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U.S. Treasury securities -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1,414 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Accrued interest on pledged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62,833 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1,059 </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63,989 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1.Includes repledged assets received as collateral from counterparties and securities sold but not yet settled.</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2.Includes $30 million and $33 million of retained interests in our consolidated VIEs pledged as collateral under repurchase agreements as of December 31, 2025 and 2024, respectively. </w:t>
      </w:r>
    </w:p>
    <w:p>
      <w:pPr>
        <w:pStyle w:val="TextBody"/>
        <w:bidi w:val="0"/>
        <w:spacing w:lineRule="auto" w:line="288" w:before="180" w:after="283"/>
        <w:ind w:left="0" w:right="0" w:firstLine="495"/>
        <w:jc w:val="both"/>
        <w:rPr/>
      </w:pPr>
      <w:r>
        <w:rPr>
          <w:rFonts w:ascii="Times New Roman;serif" w:hAnsi="Times New Roman;serif"/>
          <w:b w:val="false"/>
          <w:color w:val="000000"/>
          <w:sz w:val="20"/>
        </w:rPr>
        <w:t>The following table summarizes our securities pledged as collateral under our repurchase agreements by the remaining maturity of our borrowings, including securities pledged related to sold but not yet settled securities, as of December 31, 2025 and 2024 (in millions). For the corresponding borrowings associated with the following amounts and the interest rates thereon, refer to Note 4</w:t>
      </w:r>
      <w:r>
        <w:rPr>
          <w:rFonts w:ascii="Times New Roman;serif" w:hAnsi="Times New Roman;serif"/>
          <w:b w:val="false"/>
          <w:i/>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92"/>
        <w:gridCol w:w="610"/>
        <w:gridCol w:w="612"/>
        <w:gridCol w:w="109"/>
        <w:gridCol w:w="109"/>
        <w:gridCol w:w="109"/>
        <w:gridCol w:w="262"/>
        <w:gridCol w:w="866"/>
        <w:gridCol w:w="146"/>
        <w:gridCol w:w="109"/>
        <w:gridCol w:w="109"/>
        <w:gridCol w:w="109"/>
        <w:gridCol w:w="216"/>
        <w:gridCol w:w="714"/>
        <w:gridCol w:w="120"/>
        <w:gridCol w:w="109"/>
        <w:gridCol w:w="109"/>
        <w:gridCol w:w="109"/>
        <w:gridCol w:w="219"/>
        <w:gridCol w:w="472"/>
        <w:gridCol w:w="123"/>
        <w:gridCol w:w="109"/>
        <w:gridCol w:w="109"/>
        <w:gridCol w:w="109"/>
        <w:gridCol w:w="262"/>
        <w:gridCol w:w="866"/>
        <w:gridCol w:w="146"/>
        <w:gridCol w:w="109"/>
        <w:gridCol w:w="109"/>
        <w:gridCol w:w="109"/>
        <w:gridCol w:w="216"/>
        <w:gridCol w:w="714"/>
        <w:gridCol w:w="120"/>
        <w:gridCol w:w="109"/>
        <w:gridCol w:w="109"/>
        <w:gridCol w:w="109"/>
        <w:gridCol w:w="217"/>
        <w:gridCol w:w="469"/>
        <w:gridCol w:w="181"/>
      </w:tblGrid>
      <w:tr>
        <w:trPr/>
        <w:tc>
          <w:tcPr>
            <w:tcW w:w="692"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9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9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Securities Pledged by Remaining Maturity of Repurchase Agreements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of Pledged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 of</w:t>
              <w:br/>
              <w:t>Pledged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Accrued</w:t>
              <w:br/>
              <w:t>Interest on</w:t>
              <w:br/>
              <w:t>Pledged</w:t>
              <w:br/>
              <w:t>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of Pledged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 of</w:t>
              <w:br/>
              <w:t>Pledged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Accrued</w:t>
              <w:br/>
              <w:t>Interest on</w:t>
              <w:br/>
              <w:t>Pledged</w:t>
              <w:br/>
              <w:t>Securities</w:t>
            </w:r>
          </w:p>
        </w:tc>
      </w:tr>
      <w:tr>
        <w:trPr/>
        <w:tc>
          <w:tcPr>
            <w:tcW w:w="1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 </w:t>
            </w:r>
            <w:r>
              <w:rPr>
                <w:rFonts w:ascii="Times New Roman;serif" w:hAnsi="Times New Roman;serif"/>
                <w:b w:val="false"/>
                <w:color w:val="000000"/>
                <w:sz w:val="16"/>
              </w:rPr>
              <w:t>1 month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83,600 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83,502 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58,180 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60,506 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&gt; 1 and ≤ 2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&gt; 2 and ≤ 3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&gt; 3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87,420 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87,440 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62,168 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64,882 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1.Includes $30 million and $33 million of retained interests in our consolidated VIEs pledged as collateral under repurchase agreements as of December 31, 2025 and 2024, respectively.</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Assets Pledged from Counterparties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2024, we had assets pledged to us from counterparties as collateral under our reverse repurchase and derivative agreements summarized in the tables below (in millions). </w:t>
      </w:r>
    </w:p>
    <w:tbl>
      <w:tblPr>
        <w:tblW w:w="11080" w:type="dxa"/>
        <w:jc w:val="left"/>
        <w:tblInd w:w="0" w:type="dxa"/>
        <w:tblLayout w:type="fixed"/>
        <w:tblCellMar>
          <w:top w:w="28" w:type="dxa"/>
          <w:left w:w="28" w:type="dxa"/>
          <w:bottom w:w="28" w:type="dxa"/>
          <w:right w:w="28" w:type="dxa"/>
        </w:tblCellMar>
      </w:tblPr>
      <w:tblGrid>
        <w:gridCol w:w="310"/>
        <w:gridCol w:w="220"/>
        <w:gridCol w:w="221"/>
        <w:gridCol w:w="109"/>
        <w:gridCol w:w="109"/>
        <w:gridCol w:w="109"/>
        <w:gridCol w:w="198"/>
        <w:gridCol w:w="652"/>
        <w:gridCol w:w="111"/>
        <w:gridCol w:w="109"/>
        <w:gridCol w:w="109"/>
        <w:gridCol w:w="109"/>
        <w:gridCol w:w="259"/>
        <w:gridCol w:w="557"/>
        <w:gridCol w:w="145"/>
        <w:gridCol w:w="109"/>
        <w:gridCol w:w="109"/>
        <w:gridCol w:w="109"/>
        <w:gridCol w:w="296"/>
        <w:gridCol w:w="500"/>
        <w:gridCol w:w="165"/>
        <w:gridCol w:w="109"/>
        <w:gridCol w:w="109"/>
        <w:gridCol w:w="109"/>
        <w:gridCol w:w="196"/>
        <w:gridCol w:w="646"/>
        <w:gridCol w:w="109"/>
        <w:gridCol w:w="109"/>
        <w:gridCol w:w="109"/>
        <w:gridCol w:w="109"/>
        <w:gridCol w:w="198"/>
        <w:gridCol w:w="652"/>
        <w:gridCol w:w="111"/>
        <w:gridCol w:w="109"/>
        <w:gridCol w:w="109"/>
        <w:gridCol w:w="109"/>
        <w:gridCol w:w="264"/>
        <w:gridCol w:w="548"/>
        <w:gridCol w:w="149"/>
        <w:gridCol w:w="109"/>
        <w:gridCol w:w="109"/>
        <w:gridCol w:w="109"/>
        <w:gridCol w:w="296"/>
        <w:gridCol w:w="500"/>
        <w:gridCol w:w="165"/>
        <w:gridCol w:w="109"/>
        <w:gridCol w:w="109"/>
        <w:gridCol w:w="109"/>
        <w:gridCol w:w="196"/>
        <w:gridCol w:w="646"/>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 Pledged to AGNC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Reverse Repurchase Agreements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Agreements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Repurchase Agreements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Reverse Repurchase Agreements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Agreements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Repurchase Agreements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Agency securities -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U.S. Treasury securities - fair value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16,429 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16,885 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 xml:space="preserve">Cash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16,429 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16,885 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16,968 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Offsetting Assets and Liabilities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Certain of our repurchase agreements and derivative transactions are governed by underlying agreements that generally provide for a right of setoff under master netting arrangements (or similar agreements), including in the event of default or in the event of bankruptcy of either party to the transactions. We present our assets and liabilities subject to such arrangements on a gross basis in our consolidated balance sheets. The following tables present information about our assets and liabilities that are subject to master netting arrangements and can potentially be offset on our consolidated balance sheets as of December 31, 2025 and 2024 (in millions):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38"/>
        <w:gridCol w:w="393"/>
        <w:gridCol w:w="394"/>
        <w:gridCol w:w="109"/>
        <w:gridCol w:w="109"/>
        <w:gridCol w:w="109"/>
        <w:gridCol w:w="240"/>
        <w:gridCol w:w="792"/>
        <w:gridCol w:w="133"/>
        <w:gridCol w:w="109"/>
        <w:gridCol w:w="109"/>
        <w:gridCol w:w="109"/>
        <w:gridCol w:w="394"/>
        <w:gridCol w:w="818"/>
        <w:gridCol w:w="220"/>
        <w:gridCol w:w="109"/>
        <w:gridCol w:w="109"/>
        <w:gridCol w:w="109"/>
        <w:gridCol w:w="313"/>
        <w:gridCol w:w="1034"/>
        <w:gridCol w:w="177"/>
        <w:gridCol w:w="109"/>
        <w:gridCol w:w="109"/>
        <w:gridCol w:w="109"/>
        <w:gridCol w:w="210"/>
        <w:gridCol w:w="723"/>
        <w:gridCol w:w="117"/>
        <w:gridCol w:w="109"/>
        <w:gridCol w:w="109"/>
        <w:gridCol w:w="109"/>
        <w:gridCol w:w="213"/>
        <w:gridCol w:w="634"/>
        <w:gridCol w:w="118"/>
        <w:gridCol w:w="109"/>
        <w:gridCol w:w="109"/>
        <w:gridCol w:w="109"/>
        <w:gridCol w:w="221"/>
        <w:gridCol w:w="374"/>
        <w:gridCol w:w="187"/>
      </w:tblGrid>
      <w:tr>
        <w:trPr/>
        <w:tc>
          <w:tcPr>
            <w:tcW w:w="53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Offsetting of Financial and Derivative Assets</w:t>
            </w:r>
          </w:p>
        </w:tc>
      </w:tr>
      <w:tr>
        <w:trPr/>
        <w:tc>
          <w:tcPr>
            <w:tcW w:w="13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of Recognized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Offset in the Consolidated Balance Sheets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Amounts of Assets Presented in the Consolidated Balance Sheets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Not Offset</w:t>
              <w:br/>
              <w:t xml:space="preserve"> in the </w:t>
              <w:br/>
              <w:t>Consolidated Balance Sheets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w:t>
            </w:r>
          </w:p>
        </w:tc>
      </w:tr>
      <w:tr>
        <w:trPr/>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Financial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Collateral Received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3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Interest rate swap and swaption agreements, at fair value </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TBA securities, at fair value </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 under reverse repurchase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16,615 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16,615 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16,773 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16,773 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(12,509)</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(4,207)</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Interest rate swap and swaption agreements, at fair value</w:t>
            </w:r>
            <w:r>
              <w:rPr>
                <w:color w:val="000000"/>
              </w:rPr>
              <w:t xml:space="preserve"> </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TBA securities, at fair value </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 under reverse repurchase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17,137 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17,137 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(11,680)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17,259 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17,259 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(11,741)</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(5,485)</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494"/>
        <w:gridCol w:w="354"/>
        <w:gridCol w:w="355"/>
        <w:gridCol w:w="109"/>
        <w:gridCol w:w="109"/>
        <w:gridCol w:w="109"/>
        <w:gridCol w:w="245"/>
        <w:gridCol w:w="810"/>
        <w:gridCol w:w="136"/>
        <w:gridCol w:w="109"/>
        <w:gridCol w:w="109"/>
        <w:gridCol w:w="109"/>
        <w:gridCol w:w="391"/>
        <w:gridCol w:w="813"/>
        <w:gridCol w:w="219"/>
        <w:gridCol w:w="109"/>
        <w:gridCol w:w="109"/>
        <w:gridCol w:w="109"/>
        <w:gridCol w:w="317"/>
        <w:gridCol w:w="1048"/>
        <w:gridCol w:w="179"/>
        <w:gridCol w:w="109"/>
        <w:gridCol w:w="109"/>
        <w:gridCol w:w="109"/>
        <w:gridCol w:w="210"/>
        <w:gridCol w:w="721"/>
        <w:gridCol w:w="117"/>
        <w:gridCol w:w="109"/>
        <w:gridCol w:w="109"/>
        <w:gridCol w:w="109"/>
        <w:gridCol w:w="207"/>
        <w:gridCol w:w="711"/>
        <w:gridCol w:w="115"/>
        <w:gridCol w:w="109"/>
        <w:gridCol w:w="109"/>
        <w:gridCol w:w="109"/>
        <w:gridCol w:w="204"/>
        <w:gridCol w:w="423"/>
        <w:gridCol w:w="174"/>
      </w:tblGrid>
      <w:tr>
        <w:trPr/>
        <w:tc>
          <w:tcPr>
            <w:tcW w:w="49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Offsetting of Financial and Derivative Liabilities</w:t>
            </w:r>
          </w:p>
        </w:tc>
      </w:tr>
      <w:tr>
        <w:trPr/>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of Recognized 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Offset in the Consolidated Balance Sheets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Amounts of Liabilities Presented in the Consolidated Balance Sheets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Not Offset</w:t>
              <w:br/>
              <w:t xml:space="preserve"> in the </w:t>
              <w:br/>
              <w:t>Consolidated Balance Sheets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w:t>
            </w:r>
          </w:p>
        </w:tc>
      </w:tr>
      <w:tr>
        <w:trPr/>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Financial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Collateral Pledged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Interest rate swap agreements, at fair value </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TBA securities, at fair value </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85,286 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85,286 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(72,783)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85,292 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85,292 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(12,509)</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(72,783)</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TBA securities, at fair value </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60,798 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60,798 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(11,680)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(49,118)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60,885 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60,885 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(11,741)</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(49,144)</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1.Reported under derivative assets / liabilities, at fair value in the accompanying consolidated balance sheets. Refer to Note 5 for a reconciliation of derivative assets / liabilities, at fair value to their sub-components.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2.Includes cash and securities pledged / received as collateral, at fair value. Amounts include repledged collateral. Amounts presented are limited to collateral pledged sufficient to reduce the net amount to zero for individual counterparties, as applicable.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7. Fair Value Measurements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a summary of our assets and liabilities that are measured at fair value on a recurring basis, as of December 31, 2025 and 2024, based on their categorization within the valuation hierarchy (in millions). There were no transfers between valuation hierarchy levels during the periods presented in our accompanying consolidated statements of comprehensive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18"/>
        <w:gridCol w:w="852"/>
        <w:gridCol w:w="843"/>
        <w:gridCol w:w="109"/>
        <w:gridCol w:w="109"/>
        <w:gridCol w:w="109"/>
        <w:gridCol w:w="196"/>
        <w:gridCol w:w="646"/>
        <w:gridCol w:w="109"/>
        <w:gridCol w:w="109"/>
        <w:gridCol w:w="109"/>
        <w:gridCol w:w="109"/>
        <w:gridCol w:w="196"/>
        <w:gridCol w:w="646"/>
        <w:gridCol w:w="109"/>
        <w:gridCol w:w="109"/>
        <w:gridCol w:w="109"/>
        <w:gridCol w:w="109"/>
        <w:gridCol w:w="196"/>
        <w:gridCol w:w="406"/>
        <w:gridCol w:w="109"/>
        <w:gridCol w:w="109"/>
        <w:gridCol w:w="109"/>
        <w:gridCol w:w="109"/>
        <w:gridCol w:w="196"/>
        <w:gridCol w:w="646"/>
        <w:gridCol w:w="109"/>
        <w:gridCol w:w="109"/>
        <w:gridCol w:w="109"/>
        <w:gridCol w:w="109"/>
        <w:gridCol w:w="196"/>
        <w:gridCol w:w="646"/>
        <w:gridCol w:w="109"/>
        <w:gridCol w:w="109"/>
        <w:gridCol w:w="109"/>
        <w:gridCol w:w="109"/>
        <w:gridCol w:w="196"/>
        <w:gridCol w:w="406"/>
        <w:gridCol w:w="313"/>
      </w:tblGrid>
      <w:tr>
        <w:trPr/>
        <w:tc>
          <w:tcPr>
            <w:tcW w:w="111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2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Agency securities transferred to consolidated VIEs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Credit risk transfer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Non-Agency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16"/>
              </w:rPr>
              <w:t xml:space="preserve">Interest rate swaps </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Swaptions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TBA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SOFR Futures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U.S. Treasury futures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of consolidated VIEs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Obligation to return U.S. Treasury securities borrowed under reverse repurchase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16"/>
              </w:rPr>
              <w:t xml:space="preserve">Interest rate swaps </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2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TBA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2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SOFR Futures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1.As of December 31, 2025 and 2024, the net fair value of our interest rate swaps excluding the recognition of variation margin settlements as a direct reduction of carrying value was a net asset (liability) of $1.3 billion and $2.3 billion, respectively, based on "Level 2" inputs.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Excluded from the table above are financial instruments reported at cost and other mortgage credit investments reported under the equity method of accounting in our consolidated financial statements. As of December 31, 2025 and 2024, the fair value of our repurchase agreements approximated cost, given their short-term nature (less than one year) and the rates on our outstanding repurchase agreements largely corresponded to prevailing rates observed in the repo market. The fair value of cash and cash equivalents, restricted cash, receivables and other payables were determined to approximate cost as of such dates due to their short duration. We estimate the fair value of these instruments carried at cost using "Level 1" or "Level 2" inputs. As of December 31, 2025 and 2024, the carrying value of other mortgage credit investments reported under the equity method of accounting was $70 million and $64 million, respectively.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8. Net Income (Loss) Per Common Share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Basic net income (loss) per common share is computed by dividing (i) net income (loss) available (attributable) to common stockholders by (ii) the sum of our weighted-average number of common shares outstanding and the weighted-average number of vested but not yet issued time- and performance-based restricted stock units ("RSUs") that were outstanding during the period, which were granted under our long-term incentive program to employees and non-employee members of the Board of Directors ("the Board"). Diluted net income (loss) per common share assumes the issuance of all potential common stock equivalents unless doing so would reduce a loss or increase income per common share. Our potential common stock equivalents consist of unvested time- and performance-based RSUs. The following table presents the computations of basic and diluted net income (loss) per common share for the periods indicated (shares and dollars in millions):</w:t>
      </w:r>
    </w:p>
    <w:tbl>
      <w:tblPr>
        <w:tblW w:w="9549" w:type="dxa"/>
        <w:jc w:val="center"/>
        <w:tblInd w:w="0" w:type="dxa"/>
        <w:tblLayout w:type="fixed"/>
        <w:tblCellMar>
          <w:top w:w="28" w:type="dxa"/>
          <w:left w:w="28" w:type="dxa"/>
          <w:bottom w:w="28" w:type="dxa"/>
          <w:right w:w="28" w:type="dxa"/>
        </w:tblCellMar>
      </w:tblPr>
      <w:tblGrid>
        <w:gridCol w:w="2058"/>
        <w:gridCol w:w="1807"/>
        <w:gridCol w:w="1819"/>
        <w:gridCol w:w="109"/>
        <w:gridCol w:w="109"/>
        <w:gridCol w:w="109"/>
        <w:gridCol w:w="109"/>
        <w:gridCol w:w="109"/>
        <w:gridCol w:w="109"/>
        <w:gridCol w:w="109"/>
        <w:gridCol w:w="196"/>
        <w:gridCol w:w="556"/>
        <w:gridCol w:w="109"/>
        <w:gridCol w:w="109"/>
        <w:gridCol w:w="109"/>
        <w:gridCol w:w="109"/>
        <w:gridCol w:w="196"/>
        <w:gridCol w:w="466"/>
        <w:gridCol w:w="109"/>
        <w:gridCol w:w="109"/>
        <w:gridCol w:w="109"/>
        <w:gridCol w:w="109"/>
        <w:gridCol w:w="196"/>
        <w:gridCol w:w="466"/>
        <w:gridCol w:w="154"/>
      </w:tblGrid>
      <w:tr>
        <w:trPr/>
        <w:tc>
          <w:tcPr>
            <w:tcW w:w="2058"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1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Fiscal Year </w:t>
            </w:r>
          </w:p>
        </w:tc>
        <w:tc>
          <w:tcPr>
            <w:tcW w:w="1143" w:type="dxa"/>
            <w:gridSpan w:val="6"/>
            <w:tcBorders/>
          </w:tcPr>
          <w:p>
            <w:pPr>
              <w:pStyle w:val="TableContents"/>
              <w:bidi w:val="0"/>
              <w:spacing w:before="0" w:after="283"/>
              <w:jc w:val="left"/>
              <w:rPr>
                <w:sz w:val="4"/>
                <w:szCs w:val="4"/>
              </w:rPr>
            </w:pPr>
            <w:r>
              <w:rPr>
                <w:sz w:val="4"/>
                <w:szCs w:val="4"/>
              </w:rPr>
            </w:r>
          </w:p>
        </w:tc>
      </w:tr>
      <w:tr>
        <w:trPr/>
        <w:tc>
          <w:tcPr>
            <w:tcW w:w="5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number of common shares issued and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number of fully vested restricted stock units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number of common shares outstanding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number of dilutive unvested restricted stock units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number of common shares outstanding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619.6</w:t>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available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per common share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0.05 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per common share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0.05 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9. Stockholders' Equity</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are authorized to designate and issue up to 10.0 million shares of preferred stock in one or more classes or series. As of December 31, 2025 and 2024, 13,800, 10,350, 16,100, 23,000 and 6,900 shares of preferred stock were designated as 7.00% Series C Fixed-to-Floating Rate Cumulative Redeemable Preferred Stock, 6.875% Series D Fixed-to-Floating Rate Cumulative Redeemable Preferred Stock, 6.50% Series E Fixed-to-Floating Rate Cumulative Redeemable Preferred Stock, 6.125% Series F Fixed-to-Floating Rate Cumulative Redeemable Preferred Stock and 7.75% Series G Fixed-Rate Reset Cumulative Redeemable Preferred Stock, respectively, (referred to as "Series C, D, E, F and G Preferred Stock", respectively). As of December 31, 2025, an additional 13,800 shares were designated as 8.75% Series H Fixed-Rate Cumulative Redeemable Preferred stock (referred to as "Series H Preferred Stock"). As of December 31, 2025 and 2024, 13,000, 9,400, 16,100, 23,000 and 6,000 shares of Series C, D, E, F and G Preferred Stock, respectively, were issued and outstanding. As of December 31, 2025, an additional 13,800 shares of Series H Preferred Stock were issued and outstanding. Each share of preferred stock is represented by 1,000 depositary shares. Each share of preferred stock has a liquidation preference of $25,000 per share ($25 per depositary share).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preferred stock ranks senior to our common stock with respect to the payment of dividends and the distribution of assets upon a voluntary or involuntary liquidation, dissolution or winding up of the Company. Our preferred stock has no stated maturity, is not subject to any sinking fund or mandatory redemption and each series of preferred stock ranks on parity with one another. Under certain circumstances upon a change of control, our preferred stock is convertible to shares of our common stock. Holders of our preferred stock and depositary shares underlying our preferred stock have no voting rights, except under limited conditions. Beginning on each series' optional redemption date, we may redeem shares at $25.00 per depositary share, plus accumulated and unpaid dividends (whether or not declared), exclusively at our option.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includes a summary of preferred stock depositary shares issued and outstanding as of December 31, 2025 (dollars and shares in millions):</w:t>
      </w:r>
    </w:p>
    <w:tbl>
      <w:tblPr>
        <w:tblW w:w="10205" w:type="dxa"/>
        <w:jc w:val="center"/>
        <w:tblInd w:w="0" w:type="dxa"/>
        <w:tblLayout w:type="fixed"/>
        <w:tblCellMar>
          <w:top w:w="28" w:type="dxa"/>
          <w:left w:w="28" w:type="dxa"/>
          <w:bottom w:w="28" w:type="dxa"/>
          <w:right w:w="28" w:type="dxa"/>
        </w:tblCellMar>
      </w:tblPr>
      <w:tblGrid>
        <w:gridCol w:w="745"/>
        <w:gridCol w:w="481"/>
        <w:gridCol w:w="482"/>
        <w:gridCol w:w="109"/>
        <w:gridCol w:w="109"/>
        <w:gridCol w:w="109"/>
        <w:gridCol w:w="415"/>
        <w:gridCol w:w="272"/>
        <w:gridCol w:w="247"/>
        <w:gridCol w:w="109"/>
        <w:gridCol w:w="109"/>
        <w:gridCol w:w="109"/>
        <w:gridCol w:w="310"/>
        <w:gridCol w:w="310"/>
        <w:gridCol w:w="311"/>
        <w:gridCol w:w="109"/>
        <w:gridCol w:w="109"/>
        <w:gridCol w:w="109"/>
        <w:gridCol w:w="181"/>
        <w:gridCol w:w="496"/>
        <w:gridCol w:w="109"/>
        <w:gridCol w:w="109"/>
        <w:gridCol w:w="109"/>
        <w:gridCol w:w="109"/>
        <w:gridCol w:w="261"/>
        <w:gridCol w:w="716"/>
        <w:gridCol w:w="158"/>
        <w:gridCol w:w="109"/>
        <w:gridCol w:w="109"/>
        <w:gridCol w:w="109"/>
        <w:gridCol w:w="325"/>
        <w:gridCol w:w="325"/>
        <w:gridCol w:w="326"/>
        <w:gridCol w:w="109"/>
        <w:gridCol w:w="109"/>
        <w:gridCol w:w="109"/>
        <w:gridCol w:w="501"/>
        <w:gridCol w:w="501"/>
        <w:gridCol w:w="502"/>
        <w:gridCol w:w="109"/>
        <w:gridCol w:w="160"/>
      </w:tblGrid>
      <w:tr>
        <w:trPr/>
        <w:tc>
          <w:tcPr>
            <w:tcW w:w="745"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Issue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Depositary</w:t>
              <w:br/>
              <w:t>Shares</w:t>
              <w:br/>
              <w:t>Issued</w:t>
              <w:br/>
              <w:t>and</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Aggregate</w:t>
              <w:br/>
              <w:t>Liquidation Preference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 Annum Dividend</w:t>
            </w:r>
          </w:p>
          <w:p>
            <w:pPr>
              <w:pStyle w:val="TableContents"/>
              <w:bidi w:val="0"/>
              <w:spacing w:lineRule="auto" w:line="240" w:before="0" w:after="0"/>
              <w:jc w:val="center"/>
              <w:rPr/>
            </w:pPr>
            <w:r>
              <w:rPr>
                <w:rFonts w:ascii="Times New Roman;serif" w:hAnsi="Times New Roman;serif"/>
                <w:b/>
                <w:color w:val="000000"/>
                <w:sz w:val="16"/>
              </w:rPr>
              <w:t xml:space="preserve">Rate </w:t>
            </w:r>
            <w:r>
              <w:rPr>
                <w:rFonts w:ascii="Times New Roman;serif" w:hAnsi="Times New Roman;serif"/>
                <w:b/>
                <w:color w:val="000000"/>
                <w:sz w:val="1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First Optional</w:t>
            </w:r>
          </w:p>
          <w:p>
            <w:pPr>
              <w:pStyle w:val="TableContents"/>
              <w:bidi w:val="0"/>
              <w:spacing w:lineRule="auto" w:line="240" w:before="0" w:after="0"/>
              <w:jc w:val="center"/>
              <w:rPr/>
            </w:pPr>
            <w:r>
              <w:rPr>
                <w:rFonts w:ascii="Times New Roman;serif" w:hAnsi="Times New Roman;serif"/>
                <w:b/>
                <w:color w:val="000000"/>
                <w:sz w:val="16"/>
              </w:rPr>
              <w:t xml:space="preserve">Redemption Date / Conversion Date </w:t>
            </w:r>
            <w:r>
              <w:rPr>
                <w:rFonts w:ascii="Times New Roman;serif" w:hAnsi="Times New Roman;serif"/>
                <w:b/>
                <w:color w:val="000000"/>
                <w:sz w:val="10"/>
              </w:rPr>
              <w:t>2,3</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Fixed-to-Floating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Series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22, 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9.26624%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October 15, 2022</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Series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 6, 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8.48724%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15, 2024</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Series 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October 3, 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9.14824%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October 15, 2024</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Series 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February 11,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8.85224%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15, 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Fixed-Rate Reset: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Series 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14,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October 15, 2027</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Series 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10,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8.75000%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October 15, 2030</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2,033 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1.The depositary shares underlying our preferred stock accrue dividends on the $25.00 liquidation preference per depositary share from the issuance date until they are redeemed in accordance with their terms. The per annum dividend rates for the depositary shares underlying the Series C, D, E and F Preferred Stock represent the rates in effect as of December 31, 2025, and are reset quarterly. The depositary shares underlying the Series G Preferred Stock accrue dividends at an initial annual fixed rate until the fixed-rate-reset conversion date, after which dividends on these depositary shares accrue on a fixed-rate-reset basis equal to the conversion rate plus a fixed spread. The depositary shares underlying the Series H Preferred Stock accrue dividends at a fixed rate.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2.The Series C, D, E and F dividends accrue at a rate equal to the 3-Month CME Term SOFR plus 0.26161%, plus spreads of 5.111%, 4.332%, 4.993% and 4.697%, respectively, per annum, resetting quarterly in accordance with the certificate of designations for such series and the Adjustable Interest Rate (LIBOR) Act of 2021 (the "LIBOR Act"). At the conclusion of the fixed rate period for the Series G Preferred Stock, the dividend will accrue at a floating rate equal to the 5-Year US Treasury rate plus a spread of 4.39% per annum and will reset in accordance with the certificate of designations for such series.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3.Shares may be redeemed prior to our optional redemption date under certain circumstances intended to preserve our qualification as a REIT for U.S federal income tax purposes.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At-the-Market Offering Program</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authorized by our Board to enter into agreements with sales agents to publicly offer and sell shares of our common stock in privately negotiated and/or at-the-market transactions from time-to-time up to a maximum aggregate offering price of our common stock. The following table includes a summary of shares of our common stock issued under the sales agreements for fiscal years 2025, 2024 and 2023 (in millions, except for per share data). As of December 31, 2025, shares of our common stock with an aggregate offering price of $0.7 billion remained authorized for issuance under this program through December 31, 2026.</w:t>
      </w:r>
    </w:p>
    <w:tbl>
      <w:tblPr>
        <w:tblW w:w="7448" w:type="dxa"/>
        <w:jc w:val="center"/>
        <w:tblInd w:w="0" w:type="dxa"/>
        <w:tblLayout w:type="fixed"/>
        <w:tblCellMar>
          <w:top w:w="28" w:type="dxa"/>
          <w:left w:w="28" w:type="dxa"/>
          <w:bottom w:w="28" w:type="dxa"/>
          <w:right w:w="28" w:type="dxa"/>
        </w:tblCellMar>
      </w:tblPr>
      <w:tblGrid>
        <w:gridCol w:w="533"/>
        <w:gridCol w:w="467"/>
        <w:gridCol w:w="470"/>
        <w:gridCol w:w="109"/>
        <w:gridCol w:w="109"/>
        <w:gridCol w:w="109"/>
        <w:gridCol w:w="979"/>
        <w:gridCol w:w="979"/>
        <w:gridCol w:w="982"/>
        <w:gridCol w:w="109"/>
        <w:gridCol w:w="109"/>
        <w:gridCol w:w="109"/>
        <w:gridCol w:w="319"/>
        <w:gridCol w:w="319"/>
        <w:gridCol w:w="323"/>
        <w:gridCol w:w="109"/>
        <w:gridCol w:w="109"/>
        <w:gridCol w:w="109"/>
        <w:gridCol w:w="320"/>
        <w:gridCol w:w="320"/>
        <w:gridCol w:w="456"/>
      </w:tblGrid>
      <w:tr>
        <w:trPr/>
        <w:tc>
          <w:tcPr>
            <w:tcW w:w="53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ATM Offerings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Received Per Share,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Proceeds</w:t>
            </w:r>
          </w:p>
        </w:tc>
      </w:tr>
      <w:tr>
        <w:trPr/>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   </w:t>
            </w:r>
            <w:r>
              <w:rPr>
                <w:rFonts w:ascii="Times New Roman;serif" w:hAnsi="Times New Roman;serif"/>
                <w:b w:val="false"/>
                <w:color w:val="000000"/>
                <w:sz w:val="16"/>
              </w:rPr>
              <w:t>Fiscal Year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180" w:after="283"/>
              <w:ind w:left="0" w:right="0" w:firstLine="450"/>
              <w:jc w:val="right"/>
              <w:rPr>
                <w:rFonts w:ascii="Times New Roman;serif" w:hAnsi="Times New Roman;serif"/>
                <w:b w:val="false"/>
                <w:color w:val="000000"/>
                <w:sz w:val="16"/>
              </w:rPr>
            </w:pPr>
            <w:r>
              <w:rPr>
                <w:rFonts w:ascii="Times New Roman;serif" w:hAnsi="Times New Roman;serif"/>
                <w:b w:val="false"/>
                <w:color w:val="000000"/>
                <w:sz w:val="16"/>
              </w:rPr>
              <w:t>$9.47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ind w:left="0" w:right="0" w:firstLine="450"/>
              <w:jc w:val="right"/>
              <w:rPr>
                <w:rFonts w:ascii="Times New Roman;serif" w:hAnsi="Times New Roman;serif"/>
                <w:b w:val="false"/>
                <w:color w:val="000000"/>
                <w:sz w:val="16"/>
              </w:rPr>
            </w:pPr>
            <w:r>
              <w:rPr>
                <w:rFonts w:ascii="Times New Roman;serif" w:hAnsi="Times New Roman;serif"/>
                <w:b w:val="false"/>
                <w:color w:val="000000"/>
                <w:sz w:val="16"/>
              </w:rPr>
              <w:t>208.2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180" w:after="283"/>
              <w:ind w:left="0" w:right="0" w:firstLine="450"/>
              <w:jc w:val="right"/>
              <w:rPr>
                <w:rFonts w:ascii="Times New Roman;serif" w:hAnsi="Times New Roman;serif"/>
                <w:b w:val="false"/>
                <w:color w:val="000000"/>
                <w:sz w:val="16"/>
              </w:rPr>
            </w:pPr>
            <w:r>
              <w:rPr>
                <w:rFonts w:ascii="Times New Roman;serif" w:hAnsi="Times New Roman;serif"/>
                <w:b w:val="false"/>
                <w:color w:val="000000"/>
                <w:sz w:val="16"/>
              </w:rPr>
              <w:t>$1,973</w:t>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6"/>
              </w:rPr>
              <w:t>Fiscal Year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450"/>
              <w:jc w:val="right"/>
              <w:rPr>
                <w:rFonts w:ascii="Times New Roman;serif" w:hAnsi="Times New Roman;serif"/>
                <w:b w:val="false"/>
                <w:color w:val="000000"/>
                <w:sz w:val="16"/>
              </w:rPr>
            </w:pPr>
            <w:r>
              <w:rPr>
                <w:rFonts w:ascii="Times New Roman;serif" w:hAnsi="Times New Roman;serif"/>
                <w:b w:val="false"/>
                <w:color w:val="000000"/>
                <w:sz w:val="16"/>
              </w:rPr>
              <w:t>$9.73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450"/>
              <w:jc w:val="right"/>
              <w:rPr>
                <w:rFonts w:ascii="Times New Roman;serif" w:hAnsi="Times New Roman;serif"/>
                <w:b w:val="false"/>
                <w:color w:val="000000"/>
                <w:sz w:val="16"/>
              </w:rPr>
            </w:pPr>
            <w:r>
              <w:rPr>
                <w:rFonts w:ascii="Times New Roman;serif" w:hAnsi="Times New Roman;serif"/>
                <w:b w:val="false"/>
                <w:color w:val="000000"/>
                <w:sz w:val="16"/>
              </w:rPr>
              <w:t>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450"/>
              <w:jc w:val="right"/>
              <w:rPr>
                <w:rFonts w:ascii="Times New Roman;serif" w:hAnsi="Times New Roman;serif"/>
                <w:b w:val="false"/>
                <w:color w:val="000000"/>
                <w:sz w:val="16"/>
              </w:rPr>
            </w:pPr>
            <w:r>
              <w:rPr>
                <w:rFonts w:ascii="Times New Roman;serif" w:hAnsi="Times New Roman;serif"/>
                <w:b w:val="false"/>
                <w:color w:val="000000"/>
                <w:sz w:val="16"/>
              </w:rPr>
              <w:t>$1,967</w:t>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6"/>
              </w:rPr>
              <w:t>Fiscal Year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450"/>
              <w:jc w:val="right"/>
              <w:rPr>
                <w:rFonts w:ascii="Times New Roman;serif" w:hAnsi="Times New Roman;serif"/>
                <w:b w:val="false"/>
                <w:color w:val="000000"/>
                <w:sz w:val="16"/>
              </w:rPr>
            </w:pPr>
            <w:r>
              <w:rPr>
                <w:rFonts w:ascii="Times New Roman;serif" w:hAnsi="Times New Roman;serif"/>
                <w:b w:val="false"/>
                <w:color w:val="000000"/>
                <w:sz w:val="16"/>
              </w:rPr>
              <w:t>$9.14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450"/>
              <w:jc w:val="right"/>
              <w:rPr>
                <w:rFonts w:ascii="Times New Roman;serif" w:hAnsi="Times New Roman;serif"/>
                <w:b w:val="false"/>
                <w:color w:val="000000"/>
                <w:sz w:val="16"/>
              </w:rPr>
            </w:pPr>
            <w:r>
              <w:rPr>
                <w:rFonts w:ascii="Times New Roman;serif" w:hAnsi="Times New Roman;serif"/>
                <w:b w:val="false"/>
                <w:color w:val="000000"/>
                <w:sz w:val="16"/>
              </w:rPr>
              <w:t>118.8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450"/>
              <w:jc w:val="right"/>
              <w:rPr>
                <w:rFonts w:ascii="Times New Roman;serif" w:hAnsi="Times New Roman;serif"/>
                <w:b w:val="false"/>
                <w:color w:val="000000"/>
                <w:sz w:val="16"/>
              </w:rPr>
            </w:pPr>
            <w:r>
              <w:rPr>
                <w:rFonts w:ascii="Times New Roman;serif" w:hAnsi="Times New Roman;serif"/>
                <w:b w:val="false"/>
                <w:color w:val="000000"/>
                <w:sz w:val="16"/>
              </w:rPr>
              <w:t>$1,085</w:t>
            </w:r>
          </w:p>
        </w:tc>
      </w:tr>
    </w:tbl>
    <w:p>
      <w:pPr>
        <w:pStyle w:val="TextBody"/>
        <w:bidi w:val="0"/>
        <w:spacing w:lineRule="auto" w:line="288" w:before="18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Common Stock Repurchase Program</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authorized by our Board to repurchase shares of our common stock in the open market, through privately negotiated transactions, or pursuant to a trading plan that may be adopted in accordance with Rule 10b5-1 of the Securities Exchange Act of 1934, as amended. During fiscal years 2023, 2024 and 2025, we did not repurchase shares under this program. As of December 31, 2025, $1.0 billion remained authorized to repurchase shares of our common stock through December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Distributions to Stockholders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dividends declared during fiscal years 2025, 2024 and 2023 (in millions, except per share amounts):</w:t>
      </w:r>
    </w:p>
    <w:tbl>
      <w:tblPr>
        <w:tblW w:w="6908" w:type="dxa"/>
        <w:jc w:val="center"/>
        <w:tblInd w:w="0" w:type="dxa"/>
        <w:tblLayout w:type="fixed"/>
        <w:tblCellMar>
          <w:top w:w="28" w:type="dxa"/>
          <w:left w:w="28" w:type="dxa"/>
          <w:bottom w:w="28" w:type="dxa"/>
          <w:right w:w="28" w:type="dxa"/>
        </w:tblCellMar>
      </w:tblPr>
      <w:tblGrid>
        <w:gridCol w:w="759"/>
        <w:gridCol w:w="668"/>
        <w:gridCol w:w="673"/>
        <w:gridCol w:w="109"/>
        <w:gridCol w:w="109"/>
        <w:gridCol w:w="109"/>
        <w:gridCol w:w="364"/>
        <w:gridCol w:w="1036"/>
        <w:gridCol w:w="204"/>
        <w:gridCol w:w="109"/>
        <w:gridCol w:w="109"/>
        <w:gridCol w:w="109"/>
        <w:gridCol w:w="375"/>
        <w:gridCol w:w="1580"/>
        <w:gridCol w:w="595"/>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Dividends Declared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Dividends Declared Per Share </w:t>
            </w:r>
            <w:r>
              <w:rPr>
                <w:rFonts w:ascii="Times New Roman;serif" w:hAnsi="Times New Roman;serif"/>
                <w:b/>
                <w:color w:val="000000"/>
                <w:sz w:val="12"/>
              </w:rPr>
              <w:t>1</w:t>
            </w:r>
          </w:p>
        </w:tc>
      </w:tr>
      <w:tr>
        <w:trPr/>
        <w:tc>
          <w:tcPr>
            <w:tcW w:w="21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Series C Preferred Stock </w:t>
            </w:r>
            <w:r>
              <w:rPr>
                <w:rFonts w:ascii="Times New Roman;serif" w:hAnsi="Times New Roman;serif"/>
                <w:b/>
                <w:color w:val="000000"/>
                <w:sz w:val="12"/>
              </w:rPr>
              <w:t>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2.424890 </w:t>
            </w:r>
          </w:p>
        </w:tc>
        <w:tc>
          <w:tcPr>
            <w:tcW w:w="595"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2.672820 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2.660390 </w:t>
            </w:r>
          </w:p>
        </w:tc>
        <w:tc>
          <w:tcPr>
            <w:tcW w:w="5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Series D Preferred Stock </w:t>
            </w:r>
            <w:r>
              <w:rPr>
                <w:rFonts w:ascii="Times New Roman;serif" w:hAnsi="Times New Roman;serif"/>
                <w:b/>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2.227430 </w:t>
            </w:r>
          </w:p>
        </w:tc>
        <w:tc>
          <w:tcPr>
            <w:tcW w:w="595"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2.278248 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1.718750 </w:t>
            </w:r>
          </w:p>
        </w:tc>
        <w:tc>
          <w:tcPr>
            <w:tcW w:w="5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Series E Preferred Stock </w:t>
            </w:r>
            <w:r>
              <w:rPr>
                <w:rFonts w:ascii="Times New Roman;serif" w:hAnsi="Times New Roman;serif"/>
                <w:b/>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2.394980 </w:t>
            </w:r>
          </w:p>
        </w:tc>
        <w:tc>
          <w:tcPr>
            <w:tcW w:w="595"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1.851370 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1.625000 </w:t>
            </w:r>
          </w:p>
        </w:tc>
        <w:tc>
          <w:tcPr>
            <w:tcW w:w="5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Series F Preferred Stock </w:t>
            </w:r>
            <w:r>
              <w:rPr>
                <w:rFonts w:ascii="Times New Roman;serif" w:hAnsi="Times New Roman;serif"/>
                <w:b/>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2.123633 </w:t>
            </w:r>
          </w:p>
        </w:tc>
        <w:tc>
          <w:tcPr>
            <w:tcW w:w="595"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1.531250 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1.531250 </w:t>
            </w:r>
          </w:p>
        </w:tc>
        <w:tc>
          <w:tcPr>
            <w:tcW w:w="5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Series G Preferred Stock </w:t>
            </w:r>
            <w:r>
              <w:rPr>
                <w:rFonts w:ascii="Times New Roman;serif" w:hAnsi="Times New Roman;serif"/>
                <w:b/>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1.937520 </w:t>
            </w:r>
          </w:p>
        </w:tc>
        <w:tc>
          <w:tcPr>
            <w:tcW w:w="595"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1.937520 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1.937520 </w:t>
            </w:r>
          </w:p>
        </w:tc>
        <w:tc>
          <w:tcPr>
            <w:tcW w:w="5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Series H Preferred Stock </w:t>
            </w:r>
            <w:r>
              <w:rPr>
                <w:rFonts w:ascii="Times New Roman;serif" w:hAnsi="Times New Roman;serif"/>
                <w:b/>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0.759550 </w:t>
            </w:r>
          </w:p>
        </w:tc>
        <w:tc>
          <w:tcPr>
            <w:tcW w:w="5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Common Stock </w:t>
            </w:r>
            <w:r>
              <w:rPr>
                <w:rFonts w:ascii="Times New Roman;serif" w:hAnsi="Times New Roman;serif"/>
                <w:b/>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1.440000 </w:t>
            </w:r>
          </w:p>
        </w:tc>
        <w:tc>
          <w:tcPr>
            <w:tcW w:w="595"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1.440000 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1.440000 </w:t>
            </w:r>
          </w:p>
        </w:tc>
        <w:tc>
          <w:tcPr>
            <w:tcW w:w="5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1.Preferred stock per share amounts are per depositary share.</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2.For the years ended December 31, 2025, 2024, and 2023, 100% of the preferred stock dividends per share paid during each such calendar year were taxable as ordinary income.</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3.For the years ended December 31, 2025 and 2024, 100% of common stock dividends declared in each such calendar year, totaling $1.44 per share, were taxable as ordinary income. For the year ended December 31, 2023, 100% of common stock dividends paid in such calendar year, totaling $1.44 per share, and the $0.12 per share declared in December 2022 that was paid in January 2023, or $1.56 in total per share, were taxable as ordinary income.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Accumulated Other Comprehensive Income (Loss)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changes to accumulated OCI for fiscal years 2025, 2024 and 2023 (in millions):</w:t>
      </w:r>
    </w:p>
    <w:tbl>
      <w:tblPr>
        <w:tblW w:w="10205" w:type="dxa"/>
        <w:jc w:val="center"/>
        <w:tblInd w:w="0" w:type="dxa"/>
        <w:tblLayout w:type="fixed"/>
        <w:tblCellMar>
          <w:top w:w="28" w:type="dxa"/>
          <w:left w:w="28" w:type="dxa"/>
          <w:bottom w:w="28" w:type="dxa"/>
          <w:right w:w="28" w:type="dxa"/>
        </w:tblCellMar>
      </w:tblPr>
      <w:tblGrid>
        <w:gridCol w:w="2368"/>
        <w:gridCol w:w="2023"/>
        <w:gridCol w:w="2027"/>
        <w:gridCol w:w="109"/>
        <w:gridCol w:w="109"/>
        <w:gridCol w:w="109"/>
        <w:gridCol w:w="109"/>
        <w:gridCol w:w="109"/>
        <w:gridCol w:w="109"/>
        <w:gridCol w:w="109"/>
        <w:gridCol w:w="196"/>
        <w:gridCol w:w="469"/>
        <w:gridCol w:w="109"/>
        <w:gridCol w:w="109"/>
        <w:gridCol w:w="109"/>
        <w:gridCol w:w="109"/>
        <w:gridCol w:w="196"/>
        <w:gridCol w:w="469"/>
        <w:gridCol w:w="109"/>
        <w:gridCol w:w="109"/>
        <w:gridCol w:w="109"/>
        <w:gridCol w:w="109"/>
        <w:gridCol w:w="196"/>
        <w:gridCol w:w="469"/>
        <w:gridCol w:w="157"/>
      </w:tblGrid>
      <w:tr>
        <w:trPr/>
        <w:tc>
          <w:tcPr>
            <w:tcW w:w="2368"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1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Fiscal Year </w:t>
            </w:r>
          </w:p>
        </w:tc>
        <w:tc>
          <w:tcPr>
            <w:tcW w:w="1149" w:type="dxa"/>
            <w:gridSpan w:val="6"/>
            <w:tcBorders/>
          </w:tcPr>
          <w:p>
            <w:pPr>
              <w:pStyle w:val="TableContents"/>
              <w:bidi w:val="0"/>
              <w:spacing w:before="0" w:after="283"/>
              <w:jc w:val="left"/>
              <w:rPr>
                <w:sz w:val="4"/>
                <w:szCs w:val="4"/>
              </w:rPr>
            </w:pPr>
            <w:r>
              <w:rPr>
                <w:sz w:val="4"/>
                <w:szCs w:val="4"/>
              </w:rPr>
            </w:r>
          </w:p>
        </w:tc>
      </w:tr>
      <w:tr>
        <w:trPr/>
        <w:tc>
          <w:tcPr>
            <w:tcW w:w="64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4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Beginning Balance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(672)</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OCI before reclassifications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(gain) loss amounts for available-for-sale securities reclassified from accumulated OCI to realized gain (loss) on sale of investment securities,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10. Segment Reporting</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investment portfolio consists primarily of Agency RMBS, and we fund our investments primarily through collateralized borrowings structured as repurchase agreements. As part of our operations, we are exposed to market risks, including interest rate, prepayment, extension, spread, and credit risks.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Our portfolio is managed as a whole, with investment and hedging decisions assessed collectively by the Chief Operating Decision Maker (CODM). The CODM, represented by our Chief Executive Officer with the support of our Executive Management Committee, allocates resources and evaluates financial performance by considering the market risks identified above. The CODM also considers factors such as total assets and repurchase agreements outstanding, as reported on the consolidated balance sheet; our TBA position, as disclosed in Note 5. </w:t>
      </w:r>
      <w:r>
        <w:rPr>
          <w:rFonts w:ascii="Times New Roman;serif" w:hAnsi="Times New Roman;serif"/>
          <w:b w:val="false"/>
          <w:i/>
          <w:color w:val="000000"/>
          <w:sz w:val="20"/>
        </w:rPr>
        <w:t>Derivative and Other Hedging Instruments</w:t>
      </w:r>
      <w:r>
        <w:rPr>
          <w:rFonts w:ascii="Times New Roman;serif" w:hAnsi="Times New Roman;serif"/>
          <w:b w:val="false"/>
          <w:color w:val="000000"/>
          <w:sz w:val="20"/>
        </w:rPr>
        <w:t>; our ability to hedge certain risks; and our intention to qualify as a REIT. Consequently, the Company operates as a single reportable segment, as reflected in the accompanying consolidated financial statements and notes.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CODM assesses performance using comprehensive income (loss), as reported on the consolidated statement of comprehensive income (loss). Comprehensive income (loss) is a key determinant of the Company's economic return, calculated as the change in tangible stockholders' equity attributable to common stockholders plus common stock dividends declared, divided by the prior period's tangible stockholders' equity attributable to common stockholders, each computed on a per common share basis. This measure is used to monitor actual results, benchmark performance against peers, and inform management's compensation. Additionally, the CODM also evaluates consolidated expense information, including interest expense, compensation and benefits, and other operating expenses, as significant metrics in decision-making.</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11. Stock-Based Compensation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fiscal years 2025, 2024 and 2023, we granted RSU awards to employees with a total grant date fair value of $11 million, $10 million and $11 million, respectively, which generally vest annually over a three-year period, and to independent directors with a total grant date fair value of $1.1 million, $1.2 million and $1.2 million, respectively, which vest at the end of a one-year period from grant date. During the same periods, we also granted PSU awards to employees, which vest at the end of a three-year period provided that specified performance criteria are met. The performance criteria are based on a formula tied to our achievement of long-term economic returns consisting of the change in tangible net book value and dividends paid per common share on an absolute basis and relative to a select group of our peers. The grant-date fair value of PSU awards totaled $10 million for each of fiscal years 2025, 2024 and 2023, assuming the target levels of performance are achieved. The actual value of the awards will vary within a range of 0% to 200% of the target based on the actual performance achieved relative to the targets.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2016 Equity Plan, as amended, authorizes a total of 40 million shares of our common stock that may be used to satisfy awards granted under the Plan, subject to the share counting rules set forth within the Plan. As of December 31, 2025, 23.1 million shares remained available for awards under the 2016 Equity Plan. For purposes of determining the total number of shares available for awards under the 2016 Equity Plan, available shares are reduced by (i) shares issued for vested awards, net of units withheld to cover minimum statutory tax withholding requirements paid by us in cash on behalf of the employee, (ii) outstanding unvested awards, (iii) outstanding previously vested awards, if distribution of such awards has been deferred beyond the vesting date ("deferred awards"), and (iv) accrued dividend equivalent units on outstanding awards through December 31, 2025. Unvested PSU awards assume the maximum potential payout under the terms of the award. As of December 31, 2025, 1.4 million of deferred awards, including accrued dividend equivalents, were outstanding.</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fiscal years 2025, 2024 and 2023, we recognized total compensation expense of $37.1 million, $23.5 million and $15.0 million, respectively, for stock-based awards to employees, and other operating expense of $1.1 million, $1.2 million and $1.1 million, respectively, for awards to independent directors. Compensation expense for PSU awards is based on our estimate of the probability that the applicable performance criteria will be achieved and includes cumulative effect adjustments for changes in such estimates. As of December 31, 2025, we estimate that PSU awards granted in fiscal year 2023 will vest at 156.9% of target based on actual performance achieved through the end of the performance period, and that PSU awards granted in fiscal years 2024 and 2025 will vest at 140% and 100% of target, respectively, based on our current probability assessments. As of December 31, 2025, we had $10 million of unrecognized expense related to stock-based awards that we expect to recognize over a weighted average period of 1.4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summarize awards under our 2016 Equity Plan for fiscal years 2025, 2024 and 2023: </w:t>
      </w:r>
    </w:p>
    <w:tbl>
      <w:tblPr>
        <w:tblW w:w="10205" w:type="dxa"/>
        <w:jc w:val="left"/>
        <w:tblInd w:w="0" w:type="dxa"/>
        <w:tblLayout w:type="fixed"/>
        <w:tblCellMar>
          <w:top w:w="28" w:type="dxa"/>
          <w:left w:w="28" w:type="dxa"/>
          <w:bottom w:w="28" w:type="dxa"/>
          <w:right w:w="28" w:type="dxa"/>
        </w:tblCellMar>
      </w:tblPr>
      <w:tblGrid>
        <w:gridCol w:w="1042"/>
        <w:gridCol w:w="824"/>
        <w:gridCol w:w="831"/>
        <w:gridCol w:w="109"/>
        <w:gridCol w:w="109"/>
        <w:gridCol w:w="109"/>
        <w:gridCol w:w="462"/>
        <w:gridCol w:w="465"/>
        <w:gridCol w:w="364"/>
        <w:gridCol w:w="109"/>
        <w:gridCol w:w="109"/>
        <w:gridCol w:w="109"/>
        <w:gridCol w:w="603"/>
        <w:gridCol w:w="1711"/>
        <w:gridCol w:w="335"/>
        <w:gridCol w:w="109"/>
        <w:gridCol w:w="109"/>
        <w:gridCol w:w="109"/>
        <w:gridCol w:w="476"/>
        <w:gridCol w:w="1350"/>
        <w:gridCol w:w="761"/>
      </w:tblGrid>
      <w:tr>
        <w:trPr/>
        <w:tc>
          <w:tcPr>
            <w:tcW w:w="104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2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RSU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RSU Awards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Weighted Average Grant Date Fair Value </w:t>
            </w:r>
            <w:r>
              <w:rPr>
                <w:rFonts w:ascii="Times New Roman;serif" w:hAnsi="Times New Roman;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Vest Date Fair Value</w:t>
            </w:r>
          </w:p>
        </w:tc>
      </w:tr>
      <w:tr>
        <w:trPr/>
        <w:tc>
          <w:tcPr>
            <w:tcW w:w="26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Unvested balance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1,333,691 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1,140,758 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Accrued RSU dividend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273,189 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(703,557)</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7" w:type="dxa"/>
            <w:gridSpan w:val="3"/>
            <w:tcBorders/>
            <w:vAlign w:val="center"/>
          </w:tcPr>
          <w:p>
            <w:pPr>
              <w:pStyle w:val="TableContents"/>
              <w:bidi w:val="0"/>
              <w:spacing w:before="0" w:after="283"/>
              <w:jc w:val="left"/>
              <w:rPr>
                <w:sz w:val="4"/>
                <w:szCs w:val="4"/>
              </w:rPr>
            </w:pPr>
            <w:r>
              <w:rPr>
                <w:sz w:val="4"/>
                <w:szCs w:val="4"/>
              </w:rPr>
            </w:r>
          </w:p>
        </w:tc>
      </w:tr>
      <w:tr>
        <w:trPr/>
        <w:tc>
          <w:tcPr>
            <w:tcW w:w="2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Unvested 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2,044,081 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1,154,343 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Accrued RSU dividend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337,739 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(1,062,526)</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7" w:type="dxa"/>
            <w:gridSpan w:val="3"/>
            <w:tcBorders/>
            <w:vAlign w:val="center"/>
          </w:tcPr>
          <w:p>
            <w:pPr>
              <w:pStyle w:val="TableContents"/>
              <w:bidi w:val="0"/>
              <w:spacing w:before="0" w:after="283"/>
              <w:jc w:val="left"/>
              <w:rPr>
                <w:sz w:val="4"/>
                <w:szCs w:val="4"/>
              </w:rPr>
            </w:pPr>
            <w:r>
              <w:rPr>
                <w:sz w:val="4"/>
                <w:szCs w:val="4"/>
              </w:rPr>
            </w:r>
          </w:p>
        </w:tc>
      </w:tr>
      <w:tr>
        <w:trPr/>
        <w:tc>
          <w:tcPr>
            <w:tcW w:w="2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Unvested 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2,473,637 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1,159,333 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Accrued RSU dividend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366,031 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(1,336,366)</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7" w:type="dxa"/>
            <w:gridSpan w:val="3"/>
            <w:tcBorders/>
            <w:vAlign w:val="center"/>
          </w:tcPr>
          <w:p>
            <w:pPr>
              <w:pStyle w:val="TableContents"/>
              <w:bidi w:val="0"/>
              <w:spacing w:before="0" w:after="283"/>
              <w:jc w:val="left"/>
              <w:rPr>
                <w:sz w:val="4"/>
                <w:szCs w:val="4"/>
              </w:rPr>
            </w:pPr>
            <w:r>
              <w:rPr>
                <w:sz w:val="4"/>
                <w:szCs w:val="4"/>
              </w:rPr>
            </w:r>
          </w:p>
        </w:tc>
      </w:tr>
      <w:tr>
        <w:trPr/>
        <w:tc>
          <w:tcPr>
            <w:tcW w:w="2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Unvested 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2,662,635 </w:t>
            </w:r>
          </w:p>
        </w:tc>
        <w:tc>
          <w:tcPr>
            <w:tcW w:w="3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8.05 </w:t>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1.There were no forfeitures of awards during the periods presented.</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2.Accrued RSU award dividend equivalents have a weighted average grant date fair value of $0. </w:t>
      </w:r>
    </w:p>
    <w:tbl>
      <w:tblPr>
        <w:tblW w:w="10205" w:type="dxa"/>
        <w:jc w:val="center"/>
        <w:tblInd w:w="0" w:type="dxa"/>
        <w:tblLayout w:type="fixed"/>
        <w:tblCellMar>
          <w:top w:w="28" w:type="dxa"/>
          <w:left w:w="28" w:type="dxa"/>
          <w:bottom w:w="28" w:type="dxa"/>
          <w:right w:w="28" w:type="dxa"/>
        </w:tblCellMar>
      </w:tblPr>
      <w:tblGrid>
        <w:gridCol w:w="1237"/>
        <w:gridCol w:w="904"/>
        <w:gridCol w:w="908"/>
        <w:gridCol w:w="109"/>
        <w:gridCol w:w="109"/>
        <w:gridCol w:w="109"/>
        <w:gridCol w:w="660"/>
        <w:gridCol w:w="589"/>
        <w:gridCol w:w="591"/>
        <w:gridCol w:w="109"/>
        <w:gridCol w:w="109"/>
        <w:gridCol w:w="109"/>
        <w:gridCol w:w="500"/>
        <w:gridCol w:w="1420"/>
        <w:gridCol w:w="278"/>
        <w:gridCol w:w="109"/>
        <w:gridCol w:w="109"/>
        <w:gridCol w:w="109"/>
        <w:gridCol w:w="488"/>
        <w:gridCol w:w="1287"/>
        <w:gridCol w:w="362"/>
      </w:tblGrid>
      <w:tr>
        <w:trPr/>
        <w:tc>
          <w:tcPr>
            <w:tcW w:w="1237"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3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PSU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PSUs </w:t>
            </w:r>
          </w:p>
          <w:p>
            <w:pPr>
              <w:pStyle w:val="TableContents"/>
              <w:bidi w:val="0"/>
              <w:spacing w:lineRule="auto" w:line="240" w:before="0" w:after="0"/>
              <w:jc w:val="center"/>
              <w:rPr/>
            </w:pPr>
            <w:r>
              <w:rPr>
                <w:rFonts w:ascii="Times New Roman;serif" w:hAnsi="Times New Roman;serif"/>
                <w:b/>
                <w:color w:val="000000"/>
                <w:sz w:val="18"/>
              </w:rPr>
              <w:t xml:space="preserve">at Target Performance Level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Weighted Average Grant Date Fair Value </w:t>
            </w:r>
            <w:r>
              <w:rPr>
                <w:rFonts w:ascii="Times New Roman;serif" w:hAnsi="Times New Roman;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Vest Date Fair Value</w:t>
            </w:r>
          </w:p>
        </w:tc>
      </w:tr>
      <w:tr>
        <w:trPr/>
        <w:tc>
          <w:tcPr>
            <w:tcW w:w="3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Unvested balance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2,380,575 </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12.87 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950,840 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Accrued PSU dividend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402,368 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18"/>
              </w:rPr>
              <w:t xml:space="preserve">Performance adjustment - March 2021 base grant </w:t>
            </w:r>
            <w:r>
              <w:rPr>
                <w:rFonts w:ascii="Times New Roman;serif" w:hAnsi="Times New Roman;serif"/>
                <w:b w:val="false"/>
                <w:color w:val="000000"/>
                <w:sz w:val="12"/>
              </w:rPr>
              <w:t>3</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(210,425)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15.96 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18"/>
              </w:rPr>
              <w:t xml:space="preserve">Performance adjustment - accrued PSU dividend equivalents </w:t>
            </w:r>
            <w:r>
              <w:rPr>
                <w:rFonts w:ascii="Times New Roman;serif" w:hAnsi="Times New Roman;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(87,375)</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(699,128)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14.18 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11.48 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7" w:type="dxa"/>
            <w:gridSpan w:val="3"/>
            <w:tcBorders/>
            <w:vAlign w:val="center"/>
          </w:tcPr>
          <w:p>
            <w:pPr>
              <w:pStyle w:val="TableContents"/>
              <w:bidi w:val="0"/>
              <w:spacing w:before="0" w:after="283"/>
              <w:jc w:val="left"/>
              <w:rPr>
                <w:sz w:val="4"/>
                <w:szCs w:val="4"/>
              </w:rPr>
            </w:pPr>
            <w:r>
              <w:rPr>
                <w:sz w:val="4"/>
                <w:szCs w:val="4"/>
              </w:rPr>
            </w:r>
          </w:p>
        </w:tc>
      </w:tr>
      <w:tr>
        <w:trPr/>
        <w:tc>
          <w:tcPr>
            <w:tcW w:w="3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Unvested 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2,736,855 </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1,058,466 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Accrued PSU dividend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489,216 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18"/>
              </w:rPr>
              <w:t xml:space="preserve">Performance adjustment - March 2022 base grant </w:t>
            </w:r>
            <w:r>
              <w:rPr>
                <w:rFonts w:ascii="Times New Roman;serif" w:hAnsi="Times New Roman;serif"/>
                <w:b w:val="false"/>
                <w:color w:val="000000"/>
                <w:sz w:val="12"/>
              </w:rPr>
              <w:t>3</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(142,273)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18"/>
              </w:rPr>
              <w:t xml:space="preserve">Performance adjustment - accrued PSU dividend equivalents </w:t>
            </w:r>
            <w:r>
              <w:rPr>
                <w:rFonts w:ascii="Times New Roman;serif" w:hAnsi="Times New Roman;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(74,832)</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(595,992)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11.13 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7" w:type="dxa"/>
            <w:gridSpan w:val="3"/>
            <w:tcBorders/>
            <w:vAlign w:val="center"/>
          </w:tcPr>
          <w:p>
            <w:pPr>
              <w:pStyle w:val="TableContents"/>
              <w:bidi w:val="0"/>
              <w:spacing w:before="0" w:after="283"/>
              <w:jc w:val="left"/>
              <w:rPr>
                <w:sz w:val="4"/>
                <w:szCs w:val="4"/>
              </w:rPr>
            </w:pPr>
            <w:r>
              <w:rPr>
                <w:sz w:val="4"/>
                <w:szCs w:val="4"/>
              </w:rPr>
            </w:r>
          </w:p>
        </w:tc>
      </w:tr>
      <w:tr>
        <w:trPr/>
        <w:tc>
          <w:tcPr>
            <w:tcW w:w="3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Unvested 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3,471,440 </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976,186 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Accrued PSU dividend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526,252 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18"/>
              </w:rPr>
              <w:t xml:space="preserve">Performance adjustment - March 2023 base grant </w:t>
            </w:r>
            <w:r>
              <w:rPr>
                <w:rFonts w:ascii="Times New Roman;serif" w:hAnsi="Times New Roman;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541,028 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18"/>
              </w:rPr>
              <w:t xml:space="preserve">Performance adjustment - accrued PSU dividend equivalents </w:t>
            </w:r>
            <w:r>
              <w:rPr>
                <w:rFonts w:ascii="Times New Roman;serif" w:hAnsi="Times New Roman;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281,225 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Other miscellaneous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(94,048)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(947,182)</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7" w:type="dxa"/>
            <w:gridSpan w:val="3"/>
            <w:tcBorders/>
            <w:vAlign w:val="center"/>
          </w:tcPr>
          <w:p>
            <w:pPr>
              <w:pStyle w:val="TableContents"/>
              <w:bidi w:val="0"/>
              <w:spacing w:before="0" w:after="283"/>
              <w:jc w:val="left"/>
              <w:rPr>
                <w:sz w:val="4"/>
                <w:szCs w:val="4"/>
              </w:rPr>
            </w:pPr>
            <w:r>
              <w:rPr>
                <w:sz w:val="4"/>
                <w:szCs w:val="4"/>
              </w:rPr>
            </w:r>
          </w:p>
        </w:tc>
      </w:tr>
      <w:tr>
        <w:trPr/>
        <w:tc>
          <w:tcPr>
            <w:tcW w:w="3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Unvested balance as of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4,754,901 </w:t>
            </w:r>
          </w:p>
        </w:tc>
        <w:tc>
          <w:tcPr>
            <w:tcW w:w="5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7.57 </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left"/>
        <w:rPr>
          <w:rFonts w:ascii="Times New Roman;serif" w:hAnsi="Times New Roman;serif"/>
          <w:b w:val="false"/>
          <w:color w:val="000000"/>
          <w:sz w:val="14"/>
        </w:rPr>
      </w:pPr>
      <w:r>
        <w:rPr>
          <w:rFonts w:ascii="Times New Roman;serif" w:hAnsi="Times New Roman;serif"/>
          <w:b w:val="false"/>
          <w:color w:val="000000"/>
          <w:sz w:val="14"/>
        </w:rPr>
        <w:t>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1.There were no forfeitures of awards during the periods presented.</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2.Accrued PSU award dividend equivalents have a weighted average grant date fair value of $0.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3.Performance adjustments reflect actual performance achieved relative to target, as measured at the end of the three-year performance period on December 31, for awards scheduled to vest in the following year. All other unvested awards at each period end are assumed to achieve target performance (100%). For fiscal years 2025, 2024 and 2023, performance adjustments reflect actual performance of 156.9%, 75.5% and 66.4%, respectively, for awards scheduled to vest in 2026,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Note 12. Income Taxes</w:t>
      </w:r>
    </w:p>
    <w:p>
      <w:pPr>
        <w:pStyle w:val="TextBody"/>
        <w:bidi w:val="0"/>
        <w:spacing w:lineRule="auto" w:line="256"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did not incur an income tax liability for the years ended December 31, 2024 and 2023 and we do not expect to incur an income tax liability for the year ended December 31, 2025. </w:t>
      </w:r>
    </w:p>
    <w:p>
      <w:pPr>
        <w:pStyle w:val="TextBody"/>
        <w:bidi w:val="0"/>
        <w:spacing w:lineRule="auto" w:line="256"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Based on our analysis of any potential uncertain income tax positions, we concluded that we do not have any uncertain tax positions that meet the recognition or measurement criteria of ASC Topic 740, Income Taxes, as of December 31, 2025 or prior periods. Our tax returns for tax years 2022 and forward are open to examination by the IRS. If we incur income tax related interest and penalties, our policy is to classify them as a component of provision for income taxes.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erif" w:hAnsi="Times New Roman;serif"/>
          <w:b/>
          <w:color w:val="000000"/>
          <w:sz w:val="20"/>
        </w:rPr>
        <w:t>Item 9.</w:t>
      </w:r>
      <w:r>
        <w:rPr>
          <w:color w:val="000000"/>
        </w:rPr>
        <w:t xml:space="preserve"> </w:t>
      </w:r>
      <w:r>
        <w:rPr>
          <w:rFonts w:ascii="Times New Roman;serif" w:hAnsi="Times New Roman;serif"/>
          <w:b/>
          <w:i/>
          <w:color w:val="000000"/>
          <w:sz w:val="20"/>
        </w:rPr>
        <w:t>Changes in and Disagreements with Accountants on Accounting and Financial Disclosure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erif" w:hAnsi="Times New Roman;serif"/>
          <w:b/>
          <w:color w:val="000000"/>
          <w:sz w:val="20"/>
        </w:rPr>
        <w:t>Item 9A.</w:t>
      </w:r>
      <w:r>
        <w:rPr>
          <w:color w:val="000000"/>
        </w:rPr>
        <w:t xml:space="preserve"> </w:t>
      </w:r>
      <w:r>
        <w:rPr>
          <w:rFonts w:ascii="Times New Roman;serif" w:hAnsi="Times New Roman;serif"/>
          <w:b/>
          <w:i/>
          <w:color w:val="000000"/>
          <w:sz w:val="20"/>
        </w:rPr>
        <w:t>Controls and Procedures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as promulgated under the Exchange Act and the rules and regulations thereunder.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including our Chief Executive Officer and Chief Financial Officer, evaluated the effectiveness of the design and operation of our disclosure controls and procedures as of December 31, 2025. Based on the foregoing, our Chief Executive Officer and Chief Financial Officer concluded that our disclosure controls and procedures were effective.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Management's Report on Internal Control over Financial Reporting</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Management Report on Internal Control over Financial Reporting is included in "Item 8. Financial Statements and Supplementary Data."</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Attestation Report of Registered Public Accounting Firm</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attestation report of our registered public accounting firm is included in "Item 8. Financial Statements and Supplementary Data."</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20" w:after="4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(as defined in Rule 13a-15(f) of the Exchange Act) that occurred during the last fiscal quarter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erif" w:hAnsi="Times New Roman;serif"/>
          <w:b/>
          <w:color w:val="000000"/>
          <w:sz w:val="20"/>
        </w:rPr>
        <w:t xml:space="preserve">Item 9B. </w:t>
      </w:r>
      <w:r>
        <w:rPr>
          <w:rFonts w:ascii="Times New Roman;serif" w:hAnsi="Times New Roman;serif"/>
          <w:b/>
          <w:i/>
          <w:color w:val="000000"/>
          <w:sz w:val="20"/>
        </w:rPr>
        <w:t>Other Information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Rule 10b5-1 Trading Arrangements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the fiscal quarter ended December 31, 2025, none of our directors or officers (as defined in Rule 16a-1(f) under the Exchange Act) informed us of the adoption or termination of a "Rule 10b5-1 trading arrangement" or "non-Rule 10b5-1 trading arrangement" (as each term is defined in Regulation S-K, Item 408), except as follows: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December 4, 2025, Peter Federico, our President, Chief Executive Officer, Chief Investment Officer, and Director, adopted a Rule 10b5-1 trading arrangement intended to satisfy the affirmative defense of Rule 10b5-1(c) providing for the sale of up to 193,234 shares of our common stock. The trading arrangement will expire on June 30, 2026 or earlier if all transactions under the trading arrangement are completed.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Supplement to U.S. Federal Income Tax Considerations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summary of certain U.S. federal income tax considerations supplements the discussion set forth under the heading "U.S. Federal Income Tax Considerations" in the shelf registration statement on Form S-3 filed with the Securities and Exchange Commission on May 9, 2024, including the base prospectus dated as of May 9, 2024 (the "Prospectus"), as amended by the prospectus supplement to the Prospectus dated as of April 24, 2025, and under the headings "Regulatory Requirements" and "Risk Factors" in our Annual Report on Form 10-K for the year ended December 31, 2024, and is subject to the qualifications set forth therein. Capitalized terms used but not defined herein have the meanings set forth in the Prospectus.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following summary is for general information only and is not tax advice. This discussion does not purport to deal with all aspects of taxation that may be relevant to our shareholders in light of their personal investment or tax circumstances.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New legislation has been recently enacted that modifies certain disclosures in "U.S. Federal Income Tax Considerations" of the Prospectus. Please see below for a brief description of these modifications.</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As described in the Prospectus, stockholders that are individuals, trusts or estates are generally entitled to a deduction equal to 20% of the aggregate amount of ordinary income dividends received from a REIT (not including capital gain dividends or dividends eligible for the reduced rates applicable to "qualified dividend income"), subject to certain limitations. Although originally scheduled to expire for taxable years beginning on or after January 1, 2026, the new legislation makes this 20% deduction permanent.</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The limitation on a REIT's ownership of TRS securities has been increased from 20% to 25% of the value of the REIT's total assets, effective for taxable years beginning after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erif" w:hAnsi="Times New Roman;serif"/>
          <w:b/>
          <w:color w:val="000000"/>
          <w:sz w:val="20"/>
        </w:rPr>
        <w:t xml:space="preserve">Item 10. </w:t>
      </w:r>
      <w:r>
        <w:rPr>
          <w:rFonts w:ascii="Times New Roman;serif" w:hAnsi="Times New Roman;serif"/>
          <w:b/>
          <w:i/>
          <w:color w:val="000000"/>
          <w:sz w:val="20"/>
        </w:rPr>
        <w:t>Directors, Executive Officers and Corporate Governance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Information in response to this Item is incorporated herein by reference to the information provided in our Proxy Statement for our 2026 Annual Meeting of Stockholders (the "2026 Proxy Statement") under the headings "PROPOSAL 1: ELECTION OF DIRECTORS", "EXECUTIVE OFFICERS OF REGISTRANT", and "BOARD AND GOVERNANCE MATTERS."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Insider Trading Policy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has adopted the AGNC Investment Corp. Policy on Insider Trading that applies to our directors, officers, employees, independent contractors, and certain of their respective family members. We believe the policy is reasonably designed to promote compliance with insider trading laws, rules and regulations, and any applicable listing standards. A copy of our policy is filed as Exhibit 19 to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erif" w:hAnsi="Times New Roman;serif"/>
          <w:b/>
          <w:color w:val="000000"/>
          <w:sz w:val="20"/>
        </w:rPr>
        <w:t xml:space="preserve">Item 11. </w:t>
      </w:r>
      <w:r>
        <w:rPr>
          <w:rFonts w:ascii="Times New Roman;serif" w:hAnsi="Times New Roman;serif"/>
          <w:b/>
          <w:i/>
          <w:color w:val="000000"/>
          <w:sz w:val="20"/>
        </w:rPr>
        <w:t>Executive Compensation</w:t>
      </w:r>
      <w:r>
        <w:rPr>
          <w:color w:val="000000"/>
        </w:rPr>
        <w:t>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Information in response to this Item is incorporated herein by reference to the information provided in the 2026 Proxy Statement under the headings "PROPOSAL 1: ELECTION OF DIRECTORS", "EXECUTIVE COMPENSATION", "COMPENSATION DISCUSSION AND ANALYSIS", "REPORT OF THE COMPENSATION AND CORPORATE GOVERNANCE COMMITTEE", and "COMPENSATION COMMITTEE INTERLOCKS AND INSIDER PARTICIPATION."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erif" w:hAnsi="Times New Roman;serif"/>
          <w:b/>
          <w:color w:val="000000"/>
          <w:sz w:val="20"/>
        </w:rPr>
        <w:t xml:space="preserve">Item 12. </w:t>
      </w:r>
      <w:r>
        <w:rPr>
          <w:rFonts w:ascii="Times New Roman;serif" w:hAnsi="Times New Roman;serif"/>
          <w:b/>
          <w:i/>
          <w:color w:val="000000"/>
          <w:sz w:val="20"/>
        </w:rPr>
        <w:t xml:space="preserve">Security Ownership of Certain Beneficial Owners and Management and Related Stockholder Matters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Information in response to this Item is incorporated herein by reference to the information provided in the 2026 Proxy Statement under the heading "SECURITY OWNERSHIP OF MANAGEMENT AND CERTAIN BENEFICIAL OWNERS."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erif" w:hAnsi="Times New Roman;serif"/>
          <w:b/>
          <w:color w:val="000000"/>
          <w:sz w:val="20"/>
        </w:rPr>
        <w:t xml:space="preserve">Item 13. </w:t>
      </w:r>
      <w:r>
        <w:rPr>
          <w:rFonts w:ascii="Times New Roman;serif" w:hAnsi="Times New Roman;serif"/>
          <w:b/>
          <w:i/>
          <w:color w:val="000000"/>
          <w:sz w:val="20"/>
        </w:rPr>
        <w:t xml:space="preserve">Certain Relationships and Related Transactions, and Director Independence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Information in response to this Item is incorporated herein by reference to the information provided in the 2026 Proxy Statement under the headings "CERTAIN TRANSACTIONS WITH RELATED PERSONS" and "PROPOSAL 1: ELECTION OF DIRECTORS."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erif" w:hAnsi="Times New Roman;serif"/>
          <w:b/>
          <w:color w:val="000000"/>
          <w:sz w:val="20"/>
        </w:rPr>
        <w:t xml:space="preserve">Item 14. </w:t>
      </w:r>
      <w:r>
        <w:rPr>
          <w:rFonts w:ascii="Times New Roman;serif" w:hAnsi="Times New Roman;serif"/>
          <w:b/>
          <w:i/>
          <w:color w:val="000000"/>
          <w:sz w:val="20"/>
        </w:rPr>
        <w:t xml:space="preserve">Principal Accounting Fees and Services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Information in response to this Item is incorporated herein by reference to the information provided in the 2026 Proxy Statement under the heading "PROPOSAL 3: RATIFICATION OF APPOINTMENT OF INDEPENDENT PUBLIC ACCOUNTANT."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15.     </w:t>
      </w:r>
      <w:r>
        <w:rPr>
          <w:rFonts w:ascii="Times New Roman;serif" w:hAnsi="Times New Roman;serif"/>
          <w:b/>
          <w:i/>
          <w:color w:val="000000"/>
          <w:sz w:val="20"/>
        </w:rPr>
        <w:t>Exhibits and Financial Statement Schedules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 List of documents filed as part of this report: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(1)    The following financial statements are filed herewith: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15"/>
        <w:jc w:val="both"/>
        <w:rPr/>
      </w:pPr>
      <w:r>
        <w:rPr>
          <w:color w:val="000000"/>
        </w:rPr>
        <w:t>    </w:t>
      </w:r>
      <w:r>
        <w:rPr>
          <w:rFonts w:ascii="Times New Roman;serif" w:hAnsi="Times New Roman;serif"/>
          <w:b w:val="false"/>
          <w:color w:val="000000"/>
          <w:sz w:val="20"/>
        </w:rPr>
        <w:t>Consolidated Balance Sheets as of December 31, 2025 and 2024</w:t>
      </w:r>
      <w:r>
        <w:rPr>
          <w:color w:val="000000"/>
        </w:rPr>
        <w:t> </w:t>
      </w:r>
    </w:p>
    <w:p>
      <w:pPr>
        <w:pStyle w:val="TextBody"/>
        <w:bidi w:val="0"/>
        <w:spacing w:lineRule="auto" w:line="288" w:before="0" w:after="0"/>
        <w:ind w:left="0" w:right="0" w:hanging="315"/>
        <w:jc w:val="both"/>
        <w:rPr>
          <w:color w:val="000000"/>
        </w:rPr>
      </w:pPr>
      <w:r>
        <w:rPr>
          <w:color w:val="000000"/>
        </w:rPr>
        <w:t>    </w:t>
      </w:r>
      <w:r>
        <w:rPr>
          <w:rFonts w:ascii="Times New Roman;serif" w:hAnsi="Times New Roman;serif"/>
          <w:b w:val="false"/>
          <w:color w:val="000000"/>
          <w:sz w:val="20"/>
        </w:rPr>
        <w:t xml:space="preserve">Consolidated Statements of Comprehensive Income for fiscal years 2025, 2024 and 2023 </w:t>
      </w:r>
    </w:p>
    <w:p>
      <w:pPr>
        <w:pStyle w:val="TextBody"/>
        <w:bidi w:val="0"/>
        <w:spacing w:lineRule="auto" w:line="288" w:before="0" w:after="0"/>
        <w:ind w:left="0" w:right="0" w:hanging="315"/>
        <w:jc w:val="both"/>
        <w:rPr>
          <w:color w:val="000000"/>
        </w:rPr>
      </w:pPr>
      <w:r>
        <w:rPr>
          <w:color w:val="000000"/>
        </w:rPr>
        <w:t>    </w:t>
      </w:r>
      <w:r>
        <w:rPr>
          <w:rFonts w:ascii="Times New Roman;serif" w:hAnsi="Times New Roman;serif"/>
          <w:b w:val="false"/>
          <w:color w:val="000000"/>
          <w:sz w:val="20"/>
        </w:rPr>
        <w:t xml:space="preserve">Consolidated Statements of Stockholders' Equity for fiscal years 2025, 2024 and 2023 </w:t>
      </w:r>
    </w:p>
    <w:p>
      <w:pPr>
        <w:pStyle w:val="TextBody"/>
        <w:bidi w:val="0"/>
        <w:spacing w:lineRule="auto" w:line="288" w:before="0" w:after="0"/>
        <w:ind w:left="0" w:right="0" w:hanging="315"/>
        <w:jc w:val="both"/>
        <w:rPr>
          <w:color w:val="000000"/>
        </w:rPr>
      </w:pPr>
      <w:r>
        <w:rPr>
          <w:color w:val="000000"/>
        </w:rPr>
        <w:t>    </w:t>
      </w:r>
      <w:r>
        <w:rPr>
          <w:rFonts w:ascii="Times New Roman;serif" w:hAnsi="Times New Roman;serif"/>
          <w:b w:val="false"/>
          <w:color w:val="000000"/>
          <w:sz w:val="20"/>
        </w:rPr>
        <w:t>Consolidated Statements of Cash Flows for fiscal years 2025, 2024 and 2023</w:t>
      </w:r>
    </w:p>
    <w:p>
      <w:pPr>
        <w:pStyle w:val="TextBody"/>
        <w:bidi w:val="0"/>
        <w:spacing w:lineRule="auto" w:line="288" w:before="18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(2)    The following exhibits are filed herewith or incorporated herein by reference</w:t>
      </w:r>
    </w:p>
    <w:p>
      <w:pPr>
        <w:pStyle w:val="TextBody"/>
        <w:bidi w:val="0"/>
        <w:spacing w:lineRule="auto" w:line="288" w:before="180" w:after="283"/>
        <w:jc w:val="both"/>
        <w:rPr/>
      </w:pPr>
      <w:r>
        <w:rPr>
          <w:rFonts w:ascii="Times New Roman;serif" w:hAnsi="Times New Roman;serif"/>
          <w:b/>
          <w:color w:val="000000"/>
          <w:sz w:val="16"/>
          <w:u w:val="single"/>
        </w:rPr>
        <w:t>Exhibit No.</w:t>
      </w:r>
      <w:r>
        <w:rPr>
          <w:color w:val="000000"/>
        </w:rPr>
        <w:t>    </w:t>
      </w:r>
      <w:r>
        <w:rPr>
          <w:rFonts w:ascii="Times New Roman;serif" w:hAnsi="Times New Roman;serif"/>
          <w:b/>
          <w:color w:val="000000"/>
          <w:sz w:val="16"/>
          <w:u w:val="single"/>
        </w:rPr>
        <w:t>Description</w:t>
      </w:r>
    </w:p>
    <w:p>
      <w:pPr>
        <w:pStyle w:val="TextBody"/>
        <w:bidi w:val="0"/>
        <w:spacing w:lineRule="auto" w:line="288" w:before="180" w:after="283"/>
        <w:ind w:left="0" w:right="0" w:hanging="1440"/>
        <w:jc w:val="both"/>
        <w:rPr/>
      </w:pPr>
      <w:hyperlink r:id="rId4">
        <w:r>
          <w:rPr>
            <w:rStyle w:val="InternetLink"/>
          </w:rPr>
          <w:t>*3.1</w:t>
        </w:r>
      </w:hyperlink>
      <w:r>
        <w:rPr>
          <w:rFonts w:ascii="Times New Roman;serif" w:hAnsi="Times New Roman;serif"/>
          <w:b w:val="false"/>
          <w:color w:val="000000"/>
          <w:sz w:val="20"/>
        </w:rPr>
        <w:t>    </w:t>
      </w:r>
      <w:hyperlink r:id="rId5">
        <w:r>
          <w:rPr>
            <w:rStyle w:val="InternetLink"/>
          </w:rPr>
          <w:t>AGNC Investment Corp. Amended and Restated Certificate of Incorporation, as amended, incorporated herein by reference to Exhibit 3.1 of Form 10-Q for the quarter ended March 31, 2025 (File No. 001-34057), filed May 2, 2025.</w:t>
        </w:r>
      </w:hyperlink>
    </w:p>
    <w:p>
      <w:pPr>
        <w:pStyle w:val="TextBody"/>
        <w:bidi w:val="0"/>
        <w:spacing w:lineRule="auto" w:line="288" w:before="180" w:after="283"/>
        <w:ind w:left="0" w:right="0" w:hanging="1440"/>
        <w:jc w:val="both"/>
        <w:rPr/>
      </w:pPr>
      <w:hyperlink r:id="rId6">
        <w:r>
          <w:rPr>
            <w:rStyle w:val="InternetLink"/>
          </w:rPr>
          <w:t>*3.2</w:t>
        </w:r>
      </w:hyperlink>
      <w:r>
        <w:rPr>
          <w:rFonts w:ascii="Times New Roman;serif" w:hAnsi="Times New Roman;serif"/>
          <w:b w:val="false"/>
          <w:color w:val="000000"/>
          <w:sz w:val="20"/>
        </w:rPr>
        <w:t>    </w:t>
      </w:r>
      <w:hyperlink r:id="rId7">
        <w:r>
          <w:rPr>
            <w:rStyle w:val="InternetLink"/>
          </w:rPr>
          <w:t>AGNC Investment Corp. Amended and Restated Bylaws, as amended, incorporated herein by reference to Exhibit 3.1 of Form 8-K (File No. 001-34057), filed July 21, 2023.</w:t>
        </w:r>
      </w:hyperlink>
    </w:p>
    <w:p>
      <w:pPr>
        <w:pStyle w:val="TextBody"/>
        <w:bidi w:val="0"/>
        <w:spacing w:lineRule="auto" w:line="288" w:before="180" w:after="283"/>
        <w:ind w:left="0" w:right="0" w:hanging="1440"/>
        <w:jc w:val="both"/>
        <w:rPr/>
      </w:pPr>
      <w:hyperlink r:id="rId8">
        <w:r>
          <w:rPr>
            <w:rStyle w:val="InternetLink"/>
          </w:rPr>
          <w:t>*3.3</w:t>
        </w:r>
      </w:hyperlink>
      <w:r>
        <w:rPr>
          <w:rFonts w:ascii="Times New Roman;serif" w:hAnsi="Times New Roman;serif"/>
          <w:b w:val="false"/>
          <w:color w:val="000000"/>
          <w:sz w:val="20"/>
        </w:rPr>
        <w:t>    </w:t>
      </w:r>
      <w:hyperlink r:id="rId9">
        <w:r>
          <w:rPr>
            <w:rStyle w:val="InternetLink"/>
          </w:rPr>
          <w:t>Certificate of Designations of 7.00% Series C Fixed-to-Floating Rate Cumulative Redeemable Preferred Stock, incorporated herein by reference to Exhibit 3.5 of Form 8-A (File No. 001-34057), filed August 18, 2017.</w:t>
        </w:r>
      </w:hyperlink>
    </w:p>
    <w:p>
      <w:pPr>
        <w:pStyle w:val="TextBody"/>
        <w:bidi w:val="0"/>
        <w:spacing w:lineRule="auto" w:line="288" w:before="180" w:after="283"/>
        <w:ind w:left="0" w:right="0" w:hanging="1440"/>
        <w:jc w:val="both"/>
        <w:rPr/>
      </w:pPr>
      <w:hyperlink r:id="rId10">
        <w:r>
          <w:rPr>
            <w:rStyle w:val="InternetLink"/>
          </w:rPr>
          <w:t>*3.4</w:t>
        </w:r>
      </w:hyperlink>
      <w:r>
        <w:rPr>
          <w:rFonts w:ascii="Times New Roman;serif" w:hAnsi="Times New Roman;serif"/>
          <w:b w:val="false"/>
          <w:color w:val="000000"/>
          <w:sz w:val="20"/>
        </w:rPr>
        <w:t>    </w:t>
      </w:r>
      <w:hyperlink r:id="rId11">
        <w:r>
          <w:rPr>
            <w:rStyle w:val="InternetLink"/>
          </w:rPr>
          <w:t>Certificate of Elimination of 8.000% Series A Cumulative Redeemable Preferred Stock, incorporated herein by reference to Exhibit 3.1 of Form 8-K (File No 001-34057), filed October 26, 2017.</w:t>
        </w:r>
      </w:hyperlink>
    </w:p>
    <w:p>
      <w:pPr>
        <w:pStyle w:val="TextBody"/>
        <w:bidi w:val="0"/>
        <w:spacing w:lineRule="auto" w:line="288" w:before="180" w:after="283"/>
        <w:ind w:left="0" w:right="0" w:hanging="1440"/>
        <w:jc w:val="both"/>
        <w:rPr/>
      </w:pPr>
      <w:hyperlink r:id="rId12">
        <w:r>
          <w:rPr>
            <w:rStyle w:val="InternetLink"/>
          </w:rPr>
          <w:t>*3.5</w:t>
        </w:r>
      </w:hyperlink>
      <w:r>
        <w:rPr>
          <w:rFonts w:ascii="Times New Roman;serif" w:hAnsi="Times New Roman;serif"/>
          <w:b w:val="false"/>
          <w:color w:val="000000"/>
          <w:sz w:val="20"/>
        </w:rPr>
        <w:t>    </w:t>
      </w:r>
      <w:hyperlink r:id="rId13">
        <w:r>
          <w:rPr>
            <w:rStyle w:val="InternetLink"/>
          </w:rPr>
          <w:t>Certificate of Designations of 6.875% Series D Fixed-to-Floating Rate Cumulative Redeemable Preferred Stock, incorporated herein by reference to Exhibit 3.5 of Form 8-A (File No 001-34057), filed March 6, 2019.</w:t>
        </w:r>
      </w:hyperlink>
    </w:p>
    <w:p>
      <w:pPr>
        <w:pStyle w:val="TextBody"/>
        <w:bidi w:val="0"/>
        <w:spacing w:lineRule="auto" w:line="288" w:before="180" w:after="283"/>
        <w:ind w:left="0" w:right="0" w:hanging="1440"/>
        <w:jc w:val="both"/>
        <w:rPr/>
      </w:pPr>
      <w:hyperlink r:id="rId14">
        <w:r>
          <w:rPr>
            <w:rStyle w:val="InternetLink"/>
          </w:rPr>
          <w:t>*3.6</w:t>
        </w:r>
      </w:hyperlink>
      <w:r>
        <w:rPr>
          <w:rFonts w:ascii="Times New Roman;serif" w:hAnsi="Times New Roman;serif"/>
          <w:b w:val="false"/>
          <w:color w:val="000000"/>
          <w:sz w:val="20"/>
        </w:rPr>
        <w:t>    </w:t>
      </w:r>
      <w:hyperlink r:id="rId15">
        <w:r>
          <w:rPr>
            <w:rStyle w:val="InternetLink"/>
          </w:rPr>
          <w:t>Certificate of Designations of 6.50% Series E Fixed-to-Floating Rate Cumulative Redeemable Preferred Stock, incorporated herein by reference to Exhibit 3.6 of Form 8-A (File No 001-34057), filed October 3, 2019.</w:t>
        </w:r>
      </w:hyperlink>
    </w:p>
    <w:p>
      <w:pPr>
        <w:pStyle w:val="TextBody"/>
        <w:bidi w:val="0"/>
        <w:spacing w:lineRule="auto" w:line="288" w:before="180" w:after="283"/>
        <w:ind w:left="0" w:right="0" w:hanging="1440"/>
        <w:jc w:val="both"/>
        <w:rPr/>
      </w:pPr>
      <w:hyperlink r:id="rId16">
        <w:r>
          <w:rPr>
            <w:rStyle w:val="InternetLink"/>
          </w:rPr>
          <w:t>*3.7</w:t>
        </w:r>
      </w:hyperlink>
      <w:r>
        <w:rPr>
          <w:rFonts w:ascii="Times New Roman;serif" w:hAnsi="Times New Roman;serif"/>
          <w:b w:val="false"/>
          <w:color w:val="000000"/>
          <w:sz w:val="20"/>
        </w:rPr>
        <w:t>    </w:t>
      </w:r>
      <w:hyperlink r:id="rId17">
        <w:r>
          <w:rPr>
            <w:rStyle w:val="InternetLink"/>
          </w:rPr>
          <w:t>Certificate of Elimination of 7.750% Series B Cumulative Redeemable Preferred Stock, incorporated herein by reference to Exhibit 3.1 of Form 8-K (File No 001-34057), filed December 13, 2019.</w:t>
        </w:r>
      </w:hyperlink>
    </w:p>
    <w:p>
      <w:pPr>
        <w:pStyle w:val="TextBody"/>
        <w:bidi w:val="0"/>
        <w:spacing w:lineRule="auto" w:line="288" w:before="180" w:after="283"/>
        <w:ind w:left="0" w:right="0" w:hanging="1440"/>
        <w:jc w:val="both"/>
        <w:rPr/>
      </w:pPr>
      <w:hyperlink r:id="rId18">
        <w:r>
          <w:rPr>
            <w:rStyle w:val="InternetLink"/>
          </w:rPr>
          <w:t>*3.8</w:t>
        </w:r>
      </w:hyperlink>
      <w:r>
        <w:rPr>
          <w:rFonts w:ascii="Times New Roman;serif" w:hAnsi="Times New Roman;serif"/>
          <w:b w:val="false"/>
          <w:color w:val="000000"/>
          <w:sz w:val="20"/>
        </w:rPr>
        <w:t>    </w:t>
      </w:r>
      <w:hyperlink r:id="rId19">
        <w:r>
          <w:rPr>
            <w:rStyle w:val="InternetLink"/>
          </w:rPr>
          <w:t>Certificate of Designations of 6.125% Series F Fixed-to-Floating Rate Cumulative Redeemable Preferred Stock, incorporated herein by reference to Exhibit 3.6 of Form 8-A (File No 001-34057), filed February 11, 2020.</w:t>
        </w:r>
      </w:hyperlink>
    </w:p>
    <w:p>
      <w:pPr>
        <w:pStyle w:val="TextBody"/>
        <w:bidi w:val="0"/>
        <w:spacing w:lineRule="auto" w:line="288" w:before="180" w:after="283"/>
        <w:ind w:left="0" w:right="0" w:hanging="1440"/>
        <w:jc w:val="both"/>
        <w:rPr/>
      </w:pPr>
      <w:hyperlink r:id="rId20">
        <w:r>
          <w:rPr>
            <w:rStyle w:val="InternetLink"/>
          </w:rPr>
          <w:t>*3.9</w:t>
        </w:r>
      </w:hyperlink>
      <w:r>
        <w:rPr>
          <w:rFonts w:ascii="Times New Roman;serif" w:hAnsi="Times New Roman;serif"/>
          <w:b w:val="false"/>
          <w:color w:val="000000"/>
          <w:sz w:val="20"/>
        </w:rPr>
        <w:t>    </w:t>
      </w:r>
      <w:hyperlink r:id="rId21">
        <w:r>
          <w:rPr>
            <w:rStyle w:val="InternetLink"/>
          </w:rPr>
          <w:t>Certificate of Designations of 7.75% Series G Fixed-Rate Reset Cumulative Redeemable Preferred Stock, incorporated herein by reference to Exhibit 3.7 of Form 8-A (File No 001-34057), filed September 14, 2022.</w:t>
        </w:r>
      </w:hyperlink>
    </w:p>
    <w:p>
      <w:pPr>
        <w:pStyle w:val="TextBody"/>
        <w:bidi w:val="0"/>
        <w:spacing w:lineRule="auto" w:line="288" w:before="180" w:after="283"/>
        <w:ind w:left="0" w:right="0" w:hanging="1440"/>
        <w:jc w:val="both"/>
        <w:rPr/>
      </w:pPr>
      <w:hyperlink r:id="rId22">
        <w:r>
          <w:rPr>
            <w:rStyle w:val="InternetLink"/>
          </w:rPr>
          <w:t>*3.10</w:t>
        </w:r>
      </w:hyperlink>
      <w:r>
        <w:rPr>
          <w:rFonts w:ascii="Times New Roman;serif" w:hAnsi="Times New Roman;serif"/>
          <w:b w:val="false"/>
          <w:color w:val="000000"/>
          <w:sz w:val="20"/>
        </w:rPr>
        <w:t>    </w:t>
      </w:r>
      <w:hyperlink r:id="rId23">
        <w:r>
          <w:rPr>
            <w:rStyle w:val="InternetLink"/>
          </w:rPr>
          <w:t>Certificate of Designations of 8.75% Series H Fixed-Rate Cumulative Redeemable Preferred Stock, incorporated herein by reference to Exhibit 3.8 of Form 8-A (File No 001-34057), filed September 10, 2025.</w:t>
        </w:r>
      </w:hyperlink>
    </w:p>
    <w:p>
      <w:pPr>
        <w:pStyle w:val="TextBody"/>
        <w:bidi w:val="0"/>
        <w:spacing w:lineRule="auto" w:line="288" w:before="180" w:after="283"/>
        <w:ind w:left="0" w:right="0" w:hanging="1440"/>
        <w:jc w:val="both"/>
        <w:rPr/>
      </w:pPr>
      <w:hyperlink r:id="rId24">
        <w:r>
          <w:rPr>
            <w:rStyle w:val="InternetLink"/>
          </w:rPr>
          <w:t>*4.1</w:t>
        </w:r>
      </w:hyperlink>
      <w:r>
        <w:rPr>
          <w:rFonts w:ascii="Times New Roman;serif" w:hAnsi="Times New Roman;serif"/>
          <w:b w:val="false"/>
          <w:color w:val="000000"/>
          <w:sz w:val="20"/>
        </w:rPr>
        <w:t>    </w:t>
      </w:r>
      <w:hyperlink r:id="rId25">
        <w:r>
          <w:rPr>
            <w:rStyle w:val="InternetLink"/>
          </w:rPr>
          <w:t>Instruments defining the rights of holders of securities: See Article IV of our Amended and Restated Certificate of Incorporation, as amended, incorporated herein by reference to Exhibit 3.1 of Form 10-Q for the quarter ended March 31, 2025 (File No. 001-34057), filed May 2, 2025.</w:t>
        </w:r>
      </w:hyperlink>
    </w:p>
    <w:p>
      <w:pPr>
        <w:pStyle w:val="TextBody"/>
        <w:bidi w:val="0"/>
        <w:spacing w:lineRule="auto" w:line="288" w:before="180" w:after="283"/>
        <w:ind w:left="0" w:right="0" w:hanging="1440"/>
        <w:jc w:val="both"/>
        <w:rPr/>
      </w:pPr>
      <w:hyperlink r:id="rId26">
        <w:r>
          <w:rPr>
            <w:rStyle w:val="InternetLink"/>
          </w:rPr>
          <w:t>*4.2</w:t>
        </w:r>
      </w:hyperlink>
      <w:r>
        <w:rPr>
          <w:rFonts w:ascii="Times New Roman;serif" w:hAnsi="Times New Roman;serif"/>
          <w:b w:val="false"/>
          <w:color w:val="000000"/>
          <w:sz w:val="20"/>
        </w:rPr>
        <w:t>    </w:t>
      </w:r>
      <w:hyperlink r:id="rId27">
        <w:r>
          <w:rPr>
            <w:rStyle w:val="InternetLink"/>
          </w:rPr>
          <w:t>Instruments defining the rights of holders of securities: See Article VI of our Amended and Restated Bylaws, as amended, incorporated herein by reference to Exhibit 3.1 of Form 8-K, filed July 21, 2023.</w:t>
        </w:r>
      </w:hyperlink>
    </w:p>
    <w:p>
      <w:pPr>
        <w:pStyle w:val="TextBody"/>
        <w:bidi w:val="0"/>
        <w:spacing w:lineRule="auto" w:line="288" w:before="180" w:after="283"/>
        <w:ind w:left="0" w:right="0" w:hanging="1440"/>
        <w:jc w:val="both"/>
        <w:rPr/>
      </w:pPr>
      <w:hyperlink r:id="rId28">
        <w:r>
          <w:rPr>
            <w:rStyle w:val="InternetLink"/>
          </w:rPr>
          <w:t>*4.3</w:t>
        </w:r>
      </w:hyperlink>
      <w:r>
        <w:rPr>
          <w:rFonts w:ascii="Times New Roman;serif" w:hAnsi="Times New Roman;serif"/>
          <w:b w:val="false"/>
          <w:color w:val="000000"/>
          <w:sz w:val="20"/>
        </w:rPr>
        <w:t>    </w:t>
      </w:r>
      <w:hyperlink r:id="rId29">
        <w:r>
          <w:rPr>
            <w:rStyle w:val="InternetLink"/>
          </w:rPr>
          <w:t>Form of Certificate for Common Stock, incorporated herein by reference to Exhibit 4.3 of Form 10-Q for the quarter ended September 30, 2022 (File No. 001-34057), filed November 7, 2022.</w:t>
        </w:r>
      </w:hyperlink>
    </w:p>
    <w:p>
      <w:pPr>
        <w:pStyle w:val="TextBody"/>
        <w:bidi w:val="0"/>
        <w:spacing w:lineRule="auto" w:line="288" w:before="180" w:after="283"/>
        <w:ind w:left="0" w:right="0" w:hanging="1440"/>
        <w:jc w:val="both"/>
        <w:rPr/>
      </w:pPr>
      <w:hyperlink r:id="rId30">
        <w:r>
          <w:rPr>
            <w:rStyle w:val="InternetLink"/>
          </w:rPr>
          <w:t>*4.4</w:t>
        </w:r>
      </w:hyperlink>
      <w:r>
        <w:rPr>
          <w:rFonts w:ascii="Times New Roman;serif" w:hAnsi="Times New Roman;serif"/>
          <w:b w:val="false"/>
          <w:color w:val="000000"/>
          <w:sz w:val="20"/>
        </w:rPr>
        <w:t>    </w:t>
      </w:r>
      <w:hyperlink r:id="rId31">
        <w:r>
          <w:rPr>
            <w:rStyle w:val="InternetLink"/>
          </w:rPr>
          <w:t>Specimen 7.00% Series C Fixed-to-Floating Rate Cumulative Redeemable Preferred Stock Certificate, incorporated herein by reference to Exhibit 4.1 of Form 8-A (File No. 001-34057), filed August 18, 2017.</w:t>
        </w:r>
      </w:hyperlink>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1440"/>
        <w:jc w:val="both"/>
        <w:rPr/>
      </w:pPr>
      <w:hyperlink r:id="rId32">
        <w:r>
          <w:rPr>
            <w:rStyle w:val="InternetLink"/>
          </w:rPr>
          <w:t>*4.5</w:t>
        </w:r>
      </w:hyperlink>
      <w:r>
        <w:rPr>
          <w:rFonts w:ascii="Times New Roman;serif" w:hAnsi="Times New Roman;serif"/>
          <w:b w:val="false"/>
          <w:color w:val="000000"/>
          <w:sz w:val="20"/>
        </w:rPr>
        <w:t>    </w:t>
      </w:r>
      <w:hyperlink r:id="rId33">
        <w:r>
          <w:rPr>
            <w:rStyle w:val="InternetLink"/>
          </w:rPr>
          <w:t>Specimen 6.875% Series D Fixed-to-Floating Rate Cumulative Redeemable Preferred Stock Certificate, incorporated herein by reference to Exhibit 4.1 of Form 8-A (File No. 001-34057), filed March 6, 2019.</w:t>
        </w:r>
      </w:hyperlink>
    </w:p>
    <w:p>
      <w:pPr>
        <w:pStyle w:val="TextBody"/>
        <w:bidi w:val="0"/>
        <w:spacing w:lineRule="auto" w:line="288" w:before="180" w:after="283"/>
        <w:ind w:left="0" w:right="0" w:hanging="1440"/>
        <w:jc w:val="both"/>
        <w:rPr/>
      </w:pPr>
      <w:hyperlink r:id="rId34">
        <w:r>
          <w:rPr>
            <w:rStyle w:val="InternetLink"/>
          </w:rPr>
          <w:t>*4.6</w:t>
        </w:r>
      </w:hyperlink>
      <w:r>
        <w:rPr>
          <w:rFonts w:ascii="Times New Roman;serif" w:hAnsi="Times New Roman;serif"/>
          <w:b w:val="false"/>
          <w:color w:val="000000"/>
          <w:sz w:val="20"/>
        </w:rPr>
        <w:t>    </w:t>
      </w:r>
      <w:hyperlink r:id="rId35">
        <w:r>
          <w:rPr>
            <w:rStyle w:val="InternetLink"/>
          </w:rPr>
          <w:t>Specimen 6.50% Series E Fixed-to-Floating Rate Cumulative Redeemable Preferred Stock Certificate, incorporated herein by reference to Exhibit 4.1 of Form 8-A (File No. 001-34057), filed October 3, 2019.</w:t>
        </w:r>
      </w:hyperlink>
    </w:p>
    <w:p>
      <w:pPr>
        <w:pStyle w:val="TextBody"/>
        <w:bidi w:val="0"/>
        <w:spacing w:lineRule="auto" w:line="288" w:before="180" w:after="283"/>
        <w:ind w:left="0" w:right="0" w:hanging="1440"/>
        <w:jc w:val="both"/>
        <w:rPr/>
      </w:pPr>
      <w:hyperlink r:id="rId36">
        <w:r>
          <w:rPr>
            <w:rStyle w:val="InternetLink"/>
          </w:rPr>
          <w:t>*4.7</w:t>
        </w:r>
      </w:hyperlink>
      <w:r>
        <w:rPr>
          <w:rFonts w:ascii="Times New Roman;serif" w:hAnsi="Times New Roman;serif"/>
          <w:b w:val="false"/>
          <w:color w:val="000000"/>
          <w:sz w:val="20"/>
        </w:rPr>
        <w:t>    </w:t>
      </w:r>
      <w:hyperlink r:id="rId37">
        <w:r>
          <w:rPr>
            <w:rStyle w:val="InternetLink"/>
          </w:rPr>
          <w:t>Specimen 6.125% Series F Fixed-to-Floating Rate Cumulative Redeemable Preferred Stock Certificate, incorporated herein by reference to Exhibit 4.1 of Form 8-A (File No 001-34057), filed February 11, 2020.</w:t>
        </w:r>
      </w:hyperlink>
    </w:p>
    <w:p>
      <w:pPr>
        <w:pStyle w:val="TextBody"/>
        <w:bidi w:val="0"/>
        <w:spacing w:lineRule="auto" w:line="288" w:before="180" w:after="283"/>
        <w:ind w:left="0" w:right="0" w:hanging="1440"/>
        <w:jc w:val="both"/>
        <w:rPr/>
      </w:pPr>
      <w:hyperlink r:id="rId38">
        <w:r>
          <w:rPr>
            <w:rStyle w:val="InternetLink"/>
          </w:rPr>
          <w:t>*4.8</w:t>
        </w:r>
      </w:hyperlink>
      <w:r>
        <w:rPr>
          <w:rFonts w:ascii="Times New Roman;serif" w:hAnsi="Times New Roman;serif"/>
          <w:b w:val="false"/>
          <w:color w:val="000000"/>
          <w:sz w:val="20"/>
        </w:rPr>
        <w:t>    </w:t>
      </w:r>
      <w:hyperlink r:id="rId39">
        <w:r>
          <w:rPr>
            <w:rStyle w:val="InternetLink"/>
          </w:rPr>
          <w:t>Specimen 7.75% Series G Fixed-Rate Reset Cumulative Redeemable Preferred Stock Certificate, incorporated herein by reference to Exhibit 4.1 of Form 8-A (File No 001-34057), filed September 14, 2022.</w:t>
        </w:r>
      </w:hyperlink>
    </w:p>
    <w:p>
      <w:pPr>
        <w:pStyle w:val="TextBody"/>
        <w:bidi w:val="0"/>
        <w:spacing w:lineRule="auto" w:line="288" w:before="180" w:after="283"/>
        <w:ind w:left="0" w:right="0" w:hanging="1440"/>
        <w:jc w:val="both"/>
        <w:rPr/>
      </w:pPr>
      <w:hyperlink r:id="rId40">
        <w:r>
          <w:rPr>
            <w:rStyle w:val="InternetLink"/>
          </w:rPr>
          <w:t>*4.9</w:t>
        </w:r>
      </w:hyperlink>
      <w:r>
        <w:rPr>
          <w:rFonts w:ascii="Times New Roman;serif" w:hAnsi="Times New Roman;serif"/>
          <w:b w:val="false"/>
          <w:color w:val="000000"/>
          <w:sz w:val="20"/>
        </w:rPr>
        <w:t>    </w:t>
      </w:r>
      <w:hyperlink r:id="rId41">
        <w:r>
          <w:rPr>
            <w:rStyle w:val="InternetLink"/>
          </w:rPr>
          <w:t>Specimen 8.75% Series H Fixed-Rate Cumulative Redeemable Preferred Stock Certificate. incorporated herein by reference to Exhibit 4.1 of Form 8-A (File No 001-34057), filed September 10, 2025.</w:t>
        </w:r>
      </w:hyperlink>
    </w:p>
    <w:p>
      <w:pPr>
        <w:pStyle w:val="TextBody"/>
        <w:bidi w:val="0"/>
        <w:spacing w:lineRule="auto" w:line="288" w:before="180" w:after="283"/>
        <w:ind w:left="0" w:right="0" w:hanging="1440"/>
        <w:jc w:val="both"/>
        <w:rPr/>
      </w:pPr>
      <w:hyperlink r:id="rId42">
        <w:r>
          <w:rPr>
            <w:rStyle w:val="InternetLink"/>
          </w:rPr>
          <w:t>*4.</w:t>
        </w:r>
      </w:hyperlink>
      <w:r>
        <w:rPr>
          <w:rFonts w:ascii="Times New Roman;serif" w:hAnsi="Times New Roman;serif"/>
          <w:b w:val="false"/>
          <w:color w:val="000000"/>
          <w:sz w:val="20"/>
        </w:rPr>
        <w:t>10    </w:t>
      </w:r>
      <w:hyperlink r:id="rId43">
        <w:r>
          <w:rPr>
            <w:rStyle w:val="InternetLink"/>
          </w:rPr>
          <w:t>Deposit Agreement relating to 7.00% Series C Fixed-to-Floating Rate Cumulative Redeemable Preferred Stock, dated August 22, 2017, among AGNC Investment Corp., Computershare Inc. and Computershare Trust Company, N.A., jointly as depositary, incorporated herein by reference to Exhibit 4.2 of Form 8-K (File No. 001-34057) filed August 22, 2017.</w:t>
        </w:r>
      </w:hyperlink>
      <w:r>
        <w:rPr>
          <w:rFonts w:ascii="Times New Roman;serif" w:hAnsi="Times New Roman;serif"/>
          <w:b w:val="false"/>
          <w:color w:val="000000"/>
          <w:sz w:val="20"/>
        </w:rPr>
        <w:t xml:space="preserve"> </w:t>
      </w:r>
    </w:p>
    <w:p>
      <w:pPr>
        <w:pStyle w:val="TextBody"/>
        <w:bidi w:val="0"/>
        <w:spacing w:lineRule="auto" w:line="288" w:before="180" w:after="283"/>
        <w:ind w:left="0" w:right="0" w:hanging="1440"/>
        <w:jc w:val="both"/>
        <w:rPr/>
      </w:pPr>
      <w:hyperlink r:id="rId44">
        <w:r>
          <w:rPr>
            <w:rStyle w:val="InternetLink"/>
          </w:rPr>
          <w:t>*4.1</w:t>
        </w:r>
      </w:hyperlink>
      <w:r>
        <w:rPr>
          <w:rFonts w:ascii="Times New Roman;serif" w:hAnsi="Times New Roman;serif"/>
          <w:b w:val="false"/>
          <w:color w:val="000000"/>
          <w:sz w:val="20"/>
        </w:rPr>
        <w:t>1    </w:t>
      </w:r>
      <w:hyperlink r:id="rId45">
        <w:r>
          <w:rPr>
            <w:rStyle w:val="InternetLink"/>
          </w:rPr>
          <w:t>Form of Depositary Receipt representing 1/1,000th of a share of 7.00% Series C Fixed-to-Floating Rate Cumulative Redeemable Preferred Stock (included as part of Exhibit 4.10), incorporated herein by reference to Exhibit A of Exhibit 4.2 of Form 8-K (File No. 001-34057) filed August 22, 2017.</w:t>
        </w:r>
      </w:hyperlink>
    </w:p>
    <w:p>
      <w:pPr>
        <w:pStyle w:val="TextBody"/>
        <w:bidi w:val="0"/>
        <w:spacing w:lineRule="auto" w:line="288" w:before="180" w:after="283"/>
        <w:ind w:left="0" w:right="0" w:hanging="1440"/>
        <w:jc w:val="both"/>
        <w:rPr/>
      </w:pPr>
      <w:hyperlink r:id="rId46">
        <w:r>
          <w:rPr>
            <w:rStyle w:val="InternetLink"/>
          </w:rPr>
          <w:t>*4.1</w:t>
        </w:r>
      </w:hyperlink>
      <w:r>
        <w:rPr>
          <w:rFonts w:ascii="Times New Roman;serif" w:hAnsi="Times New Roman;serif"/>
          <w:b w:val="false"/>
          <w:color w:val="000000"/>
          <w:sz w:val="20"/>
        </w:rPr>
        <w:t>2    </w:t>
      </w:r>
      <w:hyperlink r:id="rId47">
        <w:r>
          <w:rPr>
            <w:rStyle w:val="InternetLink"/>
          </w:rPr>
          <w:t xml:space="preserve">Deposit Agreement relating to 6.875% Series D Fixed-to-Floating Rate Cumulative Redeemable Preferred Stock, dated March 6, 2019, among AGNC Investment Corp., Computershare Inc. and Computershare Trust Company, N.A., jointly as depositary, incorporated herein by reference to Exhibit 4.2 of Form 8-K (File No. 001-34057) filed March 6, 2019. </w:t>
        </w:r>
      </w:hyperlink>
    </w:p>
    <w:p>
      <w:pPr>
        <w:pStyle w:val="TextBody"/>
        <w:bidi w:val="0"/>
        <w:spacing w:lineRule="auto" w:line="288" w:before="180" w:after="283"/>
        <w:ind w:left="0" w:right="0" w:hanging="1440"/>
        <w:jc w:val="both"/>
        <w:rPr/>
      </w:pPr>
      <w:hyperlink r:id="rId48">
        <w:r>
          <w:rPr>
            <w:rStyle w:val="InternetLink"/>
          </w:rPr>
          <w:t>*4.1</w:t>
        </w:r>
      </w:hyperlink>
      <w:r>
        <w:rPr>
          <w:rFonts w:ascii="Times New Roman;serif" w:hAnsi="Times New Roman;serif"/>
          <w:b w:val="false"/>
          <w:color w:val="000000"/>
          <w:sz w:val="20"/>
        </w:rPr>
        <w:t>3    </w:t>
      </w:r>
      <w:hyperlink r:id="rId49">
        <w:r>
          <w:rPr>
            <w:rStyle w:val="InternetLink"/>
          </w:rPr>
          <w:t>Form of Depositary Receipt representing 1/1,000th of a share of 6.875% Series D Fixed-to-Floating Rate Cumulative Redeemable Preferred Stock (included as part of Exhibit 4.12), incorporated herein by reference to Exhibit A of Exhibit 4.2 of Form 8-K (File No. 001-34057) filed March 6, 2019</w:t>
        </w:r>
      </w:hyperlink>
      <w:r>
        <w:rPr>
          <w:rFonts w:ascii="Times New Roman;serif" w:hAnsi="Times New Roman;serif"/>
          <w:b w:val="false"/>
          <w:color w:val="000000"/>
          <w:sz w:val="20"/>
        </w:rPr>
        <w:t>.</w:t>
      </w:r>
    </w:p>
    <w:p>
      <w:pPr>
        <w:pStyle w:val="TextBody"/>
        <w:bidi w:val="0"/>
        <w:spacing w:lineRule="auto" w:line="288" w:before="180" w:after="283"/>
        <w:ind w:left="0" w:right="0" w:hanging="1440"/>
        <w:jc w:val="left"/>
        <w:rPr/>
      </w:pPr>
      <w:hyperlink r:id="rId50">
        <w:r>
          <w:rPr>
            <w:rStyle w:val="InternetLink"/>
          </w:rPr>
          <w:t>*4.1</w:t>
        </w:r>
      </w:hyperlink>
      <w:r>
        <w:rPr>
          <w:rFonts w:ascii="Times New Roman;serif" w:hAnsi="Times New Roman;serif"/>
          <w:b w:val="false"/>
          <w:color w:val="000000"/>
          <w:sz w:val="20"/>
        </w:rPr>
        <w:t>4    </w:t>
      </w:r>
      <w:hyperlink r:id="rId51">
        <w:r>
          <w:rPr>
            <w:rStyle w:val="InternetLink"/>
          </w:rPr>
          <w:t>Deposit Agreement relating to 6.50% Series E Fixed-to-Floating Rate Cumulative Redeemable Preferred Stock, dated October 3, 2019, among AGNC Investment Corp., Computershare Inc. and Computershare Trust Company, N.A., jointly as depositary, incorporated herein by reference to Exhibit 4.2 of Form 8-K (File No. 001-34057) filed October 3, 2019.</w:t>
        </w:r>
      </w:hyperlink>
    </w:p>
    <w:p>
      <w:pPr>
        <w:pStyle w:val="TextBody"/>
        <w:bidi w:val="0"/>
        <w:spacing w:lineRule="auto" w:line="288" w:before="180" w:after="283"/>
        <w:ind w:left="0" w:right="0" w:hanging="1440"/>
        <w:jc w:val="left"/>
        <w:rPr/>
      </w:pPr>
      <w:hyperlink r:id="rId52">
        <w:r>
          <w:rPr>
            <w:rStyle w:val="InternetLink"/>
          </w:rPr>
          <w:t>*4.1</w:t>
        </w:r>
      </w:hyperlink>
      <w:r>
        <w:rPr>
          <w:rFonts w:ascii="Times New Roman;serif" w:hAnsi="Times New Roman;serif"/>
          <w:b w:val="false"/>
          <w:color w:val="000000"/>
          <w:sz w:val="20"/>
        </w:rPr>
        <w:t>5    </w:t>
      </w:r>
      <w:hyperlink r:id="rId53">
        <w:r>
          <w:rPr>
            <w:rStyle w:val="InternetLink"/>
          </w:rPr>
          <w:t>Form of Depositary Receipt representing 1/1,000th of a share of 6.50% Series E Fixed-to-Floating Rate Cumulative Redeemable Preferred Stock (included as part of Exhibit 4.14), incorporated herein by reference to Exhibit A of Exhibit 4.2 of Form 8-K (File No. 001-34057) filed October 3, 2019</w:t>
        </w:r>
      </w:hyperlink>
      <w:r>
        <w:rPr>
          <w:rFonts w:ascii="Times New Roman;serif" w:hAnsi="Times New Roman;serif"/>
          <w:b w:val="false"/>
          <w:color w:val="000000"/>
          <w:sz w:val="20"/>
        </w:rPr>
        <w:t>.</w:t>
      </w:r>
    </w:p>
    <w:p>
      <w:pPr>
        <w:pStyle w:val="TextBody"/>
        <w:bidi w:val="0"/>
        <w:spacing w:lineRule="auto" w:line="288" w:before="180" w:after="283"/>
        <w:ind w:left="0" w:right="0" w:hanging="1440"/>
        <w:jc w:val="left"/>
        <w:rPr/>
      </w:pPr>
      <w:hyperlink r:id="rId54">
        <w:r>
          <w:rPr>
            <w:rStyle w:val="InternetLink"/>
          </w:rPr>
          <w:t>*4.1</w:t>
        </w:r>
      </w:hyperlink>
      <w:r>
        <w:rPr>
          <w:rFonts w:ascii="Times New Roman;serif" w:hAnsi="Times New Roman;serif"/>
          <w:b w:val="false"/>
          <w:color w:val="000000"/>
          <w:sz w:val="20"/>
        </w:rPr>
        <w:t>6    </w:t>
      </w:r>
      <w:hyperlink r:id="rId55">
        <w:r>
          <w:rPr>
            <w:rStyle w:val="InternetLink"/>
          </w:rPr>
          <w:t>Deposit Agreement relating to 6.125% Series F Fixed-to-Floating Rate Cumulative Redeemable Preferred Stock, dated February 11, 2020, among AGNC Investment Corp., Computershare Inc. and Computershare Trust Company, N.A., jointly as depositary, incorporated herein by reference to Exhibit 4.1 of Form 8-K (File No. 001-34057) filed February 11, 2020.</w:t>
        </w:r>
      </w:hyperlink>
    </w:p>
    <w:p>
      <w:pPr>
        <w:pStyle w:val="TextBody"/>
        <w:bidi w:val="0"/>
        <w:spacing w:lineRule="auto" w:line="288" w:before="180" w:after="283"/>
        <w:ind w:left="0" w:right="0" w:hanging="1440"/>
        <w:jc w:val="left"/>
        <w:rPr/>
      </w:pPr>
      <w:hyperlink r:id="rId56">
        <w:r>
          <w:rPr>
            <w:rStyle w:val="InternetLink"/>
          </w:rPr>
          <w:t>*4.1</w:t>
        </w:r>
      </w:hyperlink>
      <w:r>
        <w:rPr>
          <w:rFonts w:ascii="Times New Roman;serif" w:hAnsi="Times New Roman;serif"/>
          <w:b w:val="false"/>
          <w:color w:val="000000"/>
          <w:sz w:val="20"/>
        </w:rPr>
        <w:t>7    </w:t>
      </w:r>
      <w:hyperlink r:id="rId57">
        <w:r>
          <w:rPr>
            <w:rStyle w:val="InternetLink"/>
          </w:rPr>
          <w:t>Form of Depositary Receipt representing 1/1,000th of a share of 6.125% Series F Fixed-to-Floating Rate Cumulative Redeemable Preferred Stock (included as part of Exhibit 4.16), incorporated herein by reference to Exhibit A of Exhibit 4.1 of Form 8-K (File No. 001-34057) filed February 11, 2020.</w:t>
        </w:r>
      </w:hyperlink>
    </w:p>
    <w:p>
      <w:pPr>
        <w:pStyle w:val="TextBody"/>
        <w:bidi w:val="0"/>
        <w:spacing w:lineRule="auto" w:line="288" w:before="180" w:after="283"/>
        <w:ind w:left="0" w:right="0" w:hanging="1440"/>
        <w:jc w:val="left"/>
        <w:rPr/>
      </w:pPr>
      <w:hyperlink r:id="rId58">
        <w:r>
          <w:rPr>
            <w:rStyle w:val="InternetLink"/>
          </w:rPr>
          <w:t>*4.1</w:t>
        </w:r>
      </w:hyperlink>
      <w:r>
        <w:rPr>
          <w:rFonts w:ascii="Times New Roman;serif" w:hAnsi="Times New Roman;serif"/>
          <w:b w:val="false"/>
          <w:color w:val="000000"/>
          <w:sz w:val="20"/>
        </w:rPr>
        <w:t>8    </w:t>
      </w:r>
      <w:hyperlink r:id="rId59">
        <w:r>
          <w:rPr>
            <w:rStyle w:val="InternetLink"/>
          </w:rPr>
          <w:t>Deposit Agreement relating to 7.75% Series G Fixed-Rate Reset Cumulative Redeemable Preferred Stock, dated September 14, 2022, among AGNC Investment Corp., Computershare Inc. and Computershare Trust Company, N.A., jointly as depositary, incorporated herein by reference to Exhibit 4.2 of Form 8-K (File No. 001-34057) filed September 14, 2022.</w:t>
        </w:r>
      </w:hyperlink>
    </w:p>
    <w:p>
      <w:pPr>
        <w:pStyle w:val="TextBody"/>
        <w:bidi w:val="0"/>
        <w:spacing w:lineRule="auto" w:line="288" w:before="180" w:after="283"/>
        <w:ind w:left="0" w:right="0" w:hanging="1440"/>
        <w:jc w:val="left"/>
        <w:rPr/>
      </w:pPr>
      <w:hyperlink r:id="rId60">
        <w:r>
          <w:rPr>
            <w:rStyle w:val="InternetLink"/>
          </w:rPr>
          <w:t>*4.1</w:t>
        </w:r>
      </w:hyperlink>
      <w:r>
        <w:rPr>
          <w:rFonts w:ascii="Times New Roman;serif" w:hAnsi="Times New Roman;serif"/>
          <w:b w:val="false"/>
          <w:color w:val="000000"/>
          <w:sz w:val="20"/>
        </w:rPr>
        <w:t>9    </w:t>
      </w:r>
      <w:hyperlink r:id="rId61">
        <w:r>
          <w:rPr>
            <w:rStyle w:val="InternetLink"/>
          </w:rPr>
          <w:t>Form of Depositary Receipt representing 1/1,000th of a share of 7.75% Series G Fixed-Rate Reset Cumulative Redeemable Preferred Stock (included as part of Exhibit 4.18), incorporated herein by reference to Exhibit A of Exhibit 4.2 of Form 8-K (File No. 001-34057) filed September 14, 2022.</w:t>
        </w:r>
      </w:hyperlink>
    </w:p>
    <w:p>
      <w:pPr>
        <w:pStyle w:val="TextBody"/>
        <w:bidi w:val="0"/>
        <w:spacing w:lineRule="auto" w:line="288" w:before="180" w:after="283"/>
        <w:ind w:left="0" w:right="0" w:hanging="1440"/>
        <w:jc w:val="left"/>
        <w:rPr/>
      </w:pPr>
      <w:hyperlink r:id="rId62">
        <w:r>
          <w:rPr>
            <w:rStyle w:val="InternetLink"/>
          </w:rPr>
          <w:t>*4.20</w:t>
        </w:r>
      </w:hyperlink>
      <w:r>
        <w:rPr>
          <w:rFonts w:ascii="Times New Roman;serif" w:hAnsi="Times New Roman;serif"/>
          <w:b w:val="false"/>
          <w:color w:val="000000"/>
          <w:sz w:val="20"/>
        </w:rPr>
        <w:t>    </w:t>
      </w:r>
      <w:hyperlink r:id="rId63">
        <w:r>
          <w:rPr>
            <w:rStyle w:val="InternetLink"/>
          </w:rPr>
          <w:t xml:space="preserve">Deposit Agreement relating to 8.75% Series H Fixed-Rate Cumulative Redeemable Preferred Stock, dated September 10, 2025, among AGNC Investment Corp., Computershare Inc. and Computershare Trust </w:t>
        </w:r>
      </w:hyperlink>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pPr>
      <w:hyperlink r:id="rId64">
        <w:r>
          <w:rPr>
            <w:rStyle w:val="InternetLink"/>
            <w:rFonts w:ascii="Times New Roman;serif" w:hAnsi="Times New Roman;serif"/>
            <w:b w:val="false"/>
            <w:color w:val="000000"/>
            <w:sz w:val="20"/>
          </w:rPr>
          <w:t>Company, N.A., jointly as depositary, incorporated herein by reference to Exhibit 4.2 of Form 8-K (File No. 001-34057) filed September 10, 2025.</w:t>
        </w:r>
      </w:hyperlink>
    </w:p>
    <w:p>
      <w:pPr>
        <w:pStyle w:val="TextBody"/>
        <w:bidi w:val="0"/>
        <w:spacing w:lineRule="auto" w:line="288" w:before="180" w:after="283"/>
        <w:ind w:left="0" w:right="0" w:hanging="1440"/>
        <w:jc w:val="left"/>
        <w:rPr/>
      </w:pPr>
      <w:hyperlink r:id="rId65">
        <w:r>
          <w:rPr>
            <w:rStyle w:val="InternetLink"/>
          </w:rPr>
          <w:t>*4.21</w:t>
        </w:r>
      </w:hyperlink>
      <w:r>
        <w:rPr>
          <w:rFonts w:ascii="Times New Roman;serif" w:hAnsi="Times New Roman;serif"/>
          <w:b w:val="false"/>
          <w:color w:val="000000"/>
          <w:sz w:val="20"/>
        </w:rPr>
        <w:t>    </w:t>
      </w:r>
      <w:hyperlink r:id="rId66">
        <w:r>
          <w:rPr>
            <w:rStyle w:val="InternetLink"/>
          </w:rPr>
          <w:t>Form of Depositary Receipt representing 1/1,000th of a share of 8.75% Series H Fixed-Rate Cumulative Redeemable Preferred Stock (included as part of Exhibit 4.20), incorporated herein by reference to Exhibit A of Exhibit 4.2 of Form 8-K (File No. 001-34057) filed September 10, 2025.</w:t>
        </w:r>
      </w:hyperlink>
    </w:p>
    <w:p>
      <w:pPr>
        <w:pStyle w:val="TextBody"/>
        <w:bidi w:val="0"/>
        <w:spacing w:lineRule="auto" w:line="288" w:before="180" w:after="283"/>
        <w:ind w:left="0" w:right="0" w:hanging="1440"/>
        <w:jc w:val="left"/>
        <w:rPr/>
      </w:pPr>
      <w:hyperlink w:anchor="agncexhibit42212312510-k.htm">
        <w:r>
          <w:rPr>
            <w:rStyle w:val="InternetLink"/>
          </w:rPr>
          <w:t>4.22</w:t>
        </w:r>
      </w:hyperlink>
      <w:r>
        <w:rPr>
          <w:rFonts w:ascii="Times New Roman;serif" w:hAnsi="Times New Roman;serif"/>
          <w:b w:val="false"/>
          <w:color w:val="000000"/>
          <w:sz w:val="20"/>
        </w:rPr>
        <w:t>    </w:t>
      </w:r>
      <w:hyperlink w:anchor="agncexhibit42212312510-k.htm">
        <w:r>
          <w:rPr>
            <w:rStyle w:val="InternetLink"/>
          </w:rPr>
          <w:t>Description of Registrant's Securities, fi</w:t>
        </w:r>
      </w:hyperlink>
      <w:hyperlink w:anchor="agncexhibit42212312510-k.htm">
        <w:r>
          <w:rPr>
            <w:rStyle w:val="InternetLink"/>
          </w:rPr>
          <w:t>led here</w:t>
        </w:r>
      </w:hyperlink>
      <w:hyperlink w:anchor="agncexhibit42212312510-k.htm">
        <w:r>
          <w:rPr>
            <w:rStyle w:val="InternetLink"/>
          </w:rPr>
          <w:t>with.</w:t>
        </w:r>
      </w:hyperlink>
    </w:p>
    <w:p>
      <w:pPr>
        <w:pStyle w:val="TextBody"/>
        <w:bidi w:val="0"/>
        <w:spacing w:lineRule="auto" w:line="288" w:before="180" w:after="283"/>
        <w:ind w:left="0" w:right="0" w:hanging="1440"/>
        <w:jc w:val="left"/>
        <w:rPr/>
      </w:pPr>
      <w:hyperlink r:id="rId67">
        <w:r>
          <w:rPr>
            <w:rStyle w:val="InternetLink"/>
            <w:color w:val="000000"/>
          </w:rPr>
          <w:t>†</w:t>
        </w:r>
      </w:hyperlink>
      <w:hyperlink r:id="rId68">
        <w:r>
          <w:rPr>
            <w:rStyle w:val="InternetLink"/>
            <w:rFonts w:ascii="Times New Roman;serif" w:hAnsi="Times New Roman;serif"/>
            <w:b w:val="false"/>
            <w:color w:val="000000"/>
            <w:sz w:val="20"/>
          </w:rPr>
          <w:t>* 10.1</w:t>
        </w:r>
      </w:hyperlink>
      <w:r>
        <w:rPr>
          <w:rFonts w:ascii="Times New Roman;serif" w:hAnsi="Times New Roman;serif"/>
          <w:b w:val="false"/>
          <w:color w:val="000000"/>
          <w:sz w:val="20"/>
        </w:rPr>
        <w:t>    </w:t>
      </w:r>
      <w:hyperlink r:id="rId69">
        <w:r>
          <w:rPr>
            <w:rStyle w:val="InternetLink"/>
          </w:rPr>
          <w:t>Form of Indemnification Agreement, incorporated herein by reference to Exhibit 10.1 of Form 8-K (File No. 001-34057) filed October 25, 2021.</w:t>
        </w:r>
      </w:hyperlink>
    </w:p>
    <w:p>
      <w:pPr>
        <w:pStyle w:val="TextBody"/>
        <w:bidi w:val="0"/>
        <w:spacing w:lineRule="auto" w:line="288" w:before="180" w:after="283"/>
        <w:ind w:left="0" w:right="0" w:hanging="1440"/>
        <w:jc w:val="left"/>
        <w:rPr/>
      </w:pPr>
      <w:hyperlink r:id="rId70">
        <w:r>
          <w:rPr>
            <w:rStyle w:val="InternetLink"/>
            <w:color w:val="000000"/>
          </w:rPr>
          <w:t>†</w:t>
        </w:r>
      </w:hyperlink>
      <w:hyperlink r:id="rId71">
        <w:r>
          <w:rPr>
            <w:rStyle w:val="InternetLink"/>
            <w:rFonts w:ascii="Times New Roman;serif" w:hAnsi="Times New Roman;serif"/>
            <w:b w:val="false"/>
            <w:color w:val="000000"/>
            <w:sz w:val="20"/>
          </w:rPr>
          <w:t>* 10.2</w:t>
        </w:r>
      </w:hyperlink>
      <w:r>
        <w:rPr>
          <w:rFonts w:ascii="Times New Roman;serif" w:hAnsi="Times New Roman;serif"/>
          <w:b w:val="false"/>
          <w:color w:val="000000"/>
          <w:sz w:val="20"/>
        </w:rPr>
        <w:t>    </w:t>
      </w:r>
      <w:hyperlink r:id="rId72">
        <w:r>
          <w:rPr>
            <w:rStyle w:val="InternetLink"/>
          </w:rPr>
          <w:t>Sixth Amended and Restated Employment Agreement dated July18, 2024, between AGNC Mortgage Management, LLC and Gary Kain, incorporated herein by reference to Exhibit 10.1 of Form 8-K (File No. 001-34057), filed July 19, 2024.</w:t>
        </w:r>
      </w:hyperlink>
    </w:p>
    <w:p>
      <w:pPr>
        <w:pStyle w:val="TextBody"/>
        <w:bidi w:val="0"/>
        <w:spacing w:lineRule="auto" w:line="288" w:before="180" w:after="283"/>
        <w:ind w:left="0" w:right="0" w:hanging="1440"/>
        <w:jc w:val="left"/>
        <w:rPr/>
      </w:pPr>
      <w:hyperlink r:id="rId73">
        <w:r>
          <w:rPr>
            <w:rStyle w:val="InternetLink"/>
            <w:color w:val="000000"/>
          </w:rPr>
          <w:t>†</w:t>
        </w:r>
      </w:hyperlink>
      <w:hyperlink r:id="rId74">
        <w:r>
          <w:rPr>
            <w:rStyle w:val="InternetLink"/>
            <w:rFonts w:ascii="Times New Roman;serif" w:hAnsi="Times New Roman;serif"/>
            <w:b w:val="false"/>
            <w:color w:val="000000"/>
            <w:sz w:val="20"/>
          </w:rPr>
          <w:t>* 10.3</w:t>
        </w:r>
      </w:hyperlink>
      <w:r>
        <w:rPr>
          <w:rFonts w:ascii="Times New Roman;serif" w:hAnsi="Times New Roman;serif"/>
          <w:b w:val="false"/>
          <w:color w:val="000000"/>
          <w:sz w:val="20"/>
        </w:rPr>
        <w:t>    </w:t>
      </w:r>
      <w:hyperlink r:id="rId75">
        <w:r>
          <w:rPr>
            <w:rStyle w:val="InternetLink"/>
          </w:rPr>
          <w:t>Second Amended and Restated Employment Agreement, dated December 10, 2020, by and between AGNC Mortgage Management, LLC and Peter Federico, incorporated herein by reference to Exhibit 10.2 of Form 8-K (File No. 001-34057), filed December 10, 2020.</w:t>
        </w:r>
      </w:hyperlink>
    </w:p>
    <w:p>
      <w:pPr>
        <w:pStyle w:val="TextBody"/>
        <w:bidi w:val="0"/>
        <w:spacing w:lineRule="auto" w:line="288" w:before="180" w:after="283"/>
        <w:ind w:left="0" w:right="0" w:hanging="1440"/>
        <w:jc w:val="left"/>
        <w:rPr/>
      </w:pPr>
      <w:hyperlink r:id="rId76">
        <w:r>
          <w:rPr>
            <w:rStyle w:val="InternetLink"/>
            <w:color w:val="000000"/>
          </w:rPr>
          <w:t>†</w:t>
        </w:r>
      </w:hyperlink>
      <w:hyperlink r:id="rId77">
        <w:r>
          <w:rPr>
            <w:rStyle w:val="InternetLink"/>
            <w:rFonts w:ascii="Times New Roman;serif" w:hAnsi="Times New Roman;serif"/>
            <w:b w:val="false"/>
            <w:color w:val="000000"/>
            <w:sz w:val="20"/>
          </w:rPr>
          <w:t>* 10.4</w:t>
        </w:r>
      </w:hyperlink>
      <w:r>
        <w:rPr>
          <w:rFonts w:ascii="Times New Roman;serif" w:hAnsi="Times New Roman;serif"/>
          <w:b w:val="false"/>
          <w:color w:val="000000"/>
          <w:sz w:val="20"/>
        </w:rPr>
        <w:t>    </w:t>
      </w:r>
      <w:hyperlink r:id="rId78">
        <w:r>
          <w:rPr>
            <w:rStyle w:val="InternetLink"/>
          </w:rPr>
          <w:t>First Amendment to Second Amended and Restated Employment Agreement dated January 31, 2023 between AGNC Mortgage Management, LLC and Peter Federico, incorporated herein by reference to Exhibit 10.4 of Form 10-K (File No. 001-34057), filed February 27, 2023.</w:t>
        </w:r>
      </w:hyperlink>
    </w:p>
    <w:p>
      <w:pPr>
        <w:pStyle w:val="TextBody"/>
        <w:bidi w:val="0"/>
        <w:spacing w:lineRule="auto" w:line="288" w:before="180" w:after="283"/>
        <w:ind w:left="0" w:right="0" w:hanging="1440"/>
        <w:jc w:val="left"/>
        <w:rPr/>
      </w:pPr>
      <w:hyperlink r:id="rId79">
        <w:r>
          <w:rPr>
            <w:rStyle w:val="InternetLink"/>
            <w:color w:val="000000"/>
          </w:rPr>
          <w:t>†</w:t>
        </w:r>
      </w:hyperlink>
      <w:hyperlink r:id="rId80">
        <w:r>
          <w:rPr>
            <w:rStyle w:val="InternetLink"/>
            <w:rFonts w:ascii="Times New Roman;serif" w:hAnsi="Times New Roman;serif"/>
            <w:b w:val="false"/>
            <w:color w:val="000000"/>
            <w:sz w:val="20"/>
          </w:rPr>
          <w:t>* 10.5</w:t>
        </w:r>
      </w:hyperlink>
      <w:r>
        <w:rPr>
          <w:rFonts w:ascii="Times New Roman;serif" w:hAnsi="Times New Roman;serif"/>
          <w:b w:val="false"/>
          <w:color w:val="000000"/>
          <w:sz w:val="20"/>
        </w:rPr>
        <w:t>    </w:t>
      </w:r>
      <w:hyperlink r:id="rId81">
        <w:r>
          <w:rPr>
            <w:rStyle w:val="InternetLink"/>
          </w:rPr>
          <w:t>Third</w:t>
        </w:r>
      </w:hyperlink>
      <w:hyperlink r:id="rId82">
        <w:r>
          <w:rPr>
            <w:rStyle w:val="InternetLink"/>
          </w:rPr>
          <w:t xml:space="preserve"> Amended and Restated Employment Agreement, dated </w:t>
        </w:r>
      </w:hyperlink>
      <w:hyperlink r:id="rId83">
        <w:r>
          <w:rPr>
            <w:rStyle w:val="InternetLink"/>
          </w:rPr>
          <w:t>March</w:t>
        </w:r>
      </w:hyperlink>
      <w:hyperlink r:id="rId84">
        <w:r>
          <w:rPr>
            <w:rStyle w:val="InternetLink"/>
          </w:rPr>
          <w:t xml:space="preserve"> </w:t>
        </w:r>
      </w:hyperlink>
      <w:hyperlink r:id="rId85">
        <w:r>
          <w:rPr>
            <w:rStyle w:val="InternetLink"/>
          </w:rPr>
          <w:t>2</w:t>
        </w:r>
      </w:hyperlink>
      <w:hyperlink r:id="rId86">
        <w:r>
          <w:rPr>
            <w:rStyle w:val="InternetLink"/>
          </w:rPr>
          <w:t>0, 202</w:t>
        </w:r>
      </w:hyperlink>
      <w:hyperlink r:id="rId87">
        <w:r>
          <w:rPr>
            <w:rStyle w:val="InternetLink"/>
          </w:rPr>
          <w:t>5</w:t>
        </w:r>
      </w:hyperlink>
      <w:hyperlink r:id="rId88">
        <w:r>
          <w:rPr>
            <w:rStyle w:val="InternetLink"/>
          </w:rPr>
          <w:t>, by and between AGNC Mortgage Management, LLC and Christopher Kuehl, incorporated herein by reference to Exhibit 10.</w:t>
        </w:r>
      </w:hyperlink>
      <w:hyperlink r:id="rId89">
        <w:r>
          <w:rPr>
            <w:rStyle w:val="InternetLink"/>
          </w:rPr>
          <w:t>1</w:t>
        </w:r>
      </w:hyperlink>
      <w:hyperlink r:id="rId90">
        <w:r>
          <w:rPr>
            <w:rStyle w:val="InternetLink"/>
          </w:rPr>
          <w:t xml:space="preserve"> of Form 8-K (File No. 001-34057), filed </w:t>
        </w:r>
      </w:hyperlink>
      <w:hyperlink r:id="rId91">
        <w:r>
          <w:rPr>
            <w:rStyle w:val="InternetLink"/>
          </w:rPr>
          <w:t>March</w:t>
        </w:r>
      </w:hyperlink>
      <w:hyperlink r:id="rId92">
        <w:r>
          <w:rPr>
            <w:rStyle w:val="InternetLink"/>
          </w:rPr>
          <w:t xml:space="preserve"> </w:t>
        </w:r>
      </w:hyperlink>
      <w:hyperlink r:id="rId93">
        <w:r>
          <w:rPr>
            <w:rStyle w:val="InternetLink"/>
          </w:rPr>
          <w:t>2</w:t>
        </w:r>
      </w:hyperlink>
      <w:hyperlink r:id="rId94">
        <w:r>
          <w:rPr>
            <w:rStyle w:val="InternetLink"/>
          </w:rPr>
          <w:t>0, 202</w:t>
        </w:r>
      </w:hyperlink>
      <w:hyperlink r:id="rId95">
        <w:r>
          <w:rPr>
            <w:rStyle w:val="InternetLink"/>
          </w:rPr>
          <w:t>5</w:t>
        </w:r>
      </w:hyperlink>
      <w:hyperlink r:id="rId96">
        <w:r>
          <w:rPr>
            <w:rStyle w:val="InternetLink"/>
          </w:rPr>
          <w:t>.</w:t>
        </w:r>
      </w:hyperlink>
    </w:p>
    <w:p>
      <w:pPr>
        <w:pStyle w:val="TextBody"/>
        <w:bidi w:val="0"/>
        <w:spacing w:lineRule="auto" w:line="288" w:before="180" w:after="283"/>
        <w:ind w:left="0" w:right="0" w:hanging="1440"/>
        <w:jc w:val="left"/>
        <w:rPr/>
      </w:pPr>
      <w:hyperlink r:id="rId97">
        <w:r>
          <w:rPr>
            <w:rStyle w:val="InternetLink"/>
            <w:color w:val="000000"/>
          </w:rPr>
          <w:t>†</w:t>
        </w:r>
      </w:hyperlink>
      <w:hyperlink r:id="rId98">
        <w:r>
          <w:rPr>
            <w:rStyle w:val="InternetLink"/>
            <w:rFonts w:ascii="Times New Roman;serif" w:hAnsi="Times New Roman;serif"/>
            <w:b w:val="false"/>
            <w:color w:val="000000"/>
            <w:sz w:val="20"/>
          </w:rPr>
          <w:t>* 10.6</w:t>
        </w:r>
      </w:hyperlink>
      <w:r>
        <w:rPr>
          <w:rFonts w:ascii="Times New Roman;serif" w:hAnsi="Times New Roman;serif"/>
          <w:b w:val="false"/>
          <w:color w:val="000000"/>
          <w:sz w:val="20"/>
        </w:rPr>
        <w:t>    </w:t>
      </w:r>
      <w:hyperlink r:id="rId99">
        <w:r>
          <w:rPr>
            <w:rStyle w:val="InternetLink"/>
          </w:rPr>
          <w:t>Amended and Restated Employment Agreement, dated January 22, 2021, by and between AGNC Mortgage Management, LLC and Bernice Bell, incorporated herein by reference to Exhibit 10.1 of Form 8-K (File No. 001-34057), filed January 22, 2021.</w:t>
        </w:r>
      </w:hyperlink>
    </w:p>
    <w:p>
      <w:pPr>
        <w:pStyle w:val="TextBody"/>
        <w:bidi w:val="0"/>
        <w:spacing w:lineRule="auto" w:line="288" w:before="180" w:after="283"/>
        <w:ind w:left="0" w:right="0" w:hanging="1440"/>
        <w:jc w:val="left"/>
        <w:rPr/>
      </w:pPr>
      <w:hyperlink r:id="rId100">
        <w:r>
          <w:rPr>
            <w:rStyle w:val="InternetLink"/>
            <w:color w:val="000000"/>
          </w:rPr>
          <w:t>†</w:t>
        </w:r>
      </w:hyperlink>
      <w:hyperlink r:id="rId101">
        <w:r>
          <w:rPr>
            <w:rStyle w:val="InternetLink"/>
            <w:rFonts w:ascii="Times New Roman;serif" w:hAnsi="Times New Roman;serif"/>
            <w:b w:val="false"/>
            <w:color w:val="000000"/>
            <w:sz w:val="20"/>
          </w:rPr>
          <w:t>* 10.7</w:t>
        </w:r>
      </w:hyperlink>
      <w:r>
        <w:rPr>
          <w:rFonts w:ascii="Times New Roman;serif" w:hAnsi="Times New Roman;serif"/>
          <w:b w:val="false"/>
          <w:color w:val="000000"/>
          <w:sz w:val="20"/>
        </w:rPr>
        <w:t>    </w:t>
      </w:r>
      <w:hyperlink r:id="rId102">
        <w:r>
          <w:rPr>
            <w:rStyle w:val="InternetLink"/>
          </w:rPr>
          <w:t>First Amendment to Amended and Restated Employment Agreement dated January 21, 2022 between AGNC Mortgage Management, LLC and Bernice Bell, incorporated herein by reference to Exhibit 10.1 of Form 8-K (File No. 001-34057), filed January 21, 2022.</w:t>
        </w:r>
      </w:hyperlink>
    </w:p>
    <w:p>
      <w:pPr>
        <w:pStyle w:val="TextBody"/>
        <w:bidi w:val="0"/>
        <w:spacing w:lineRule="auto" w:line="288" w:before="180" w:after="283"/>
        <w:ind w:left="0" w:right="0" w:hanging="1440"/>
        <w:jc w:val="left"/>
        <w:rPr/>
      </w:pPr>
      <w:hyperlink r:id="rId103">
        <w:r>
          <w:rPr>
            <w:rStyle w:val="InternetLink"/>
            <w:color w:val="000000"/>
          </w:rPr>
          <w:t>†</w:t>
        </w:r>
      </w:hyperlink>
      <w:hyperlink r:id="rId104">
        <w:r>
          <w:rPr>
            <w:rStyle w:val="InternetLink"/>
            <w:rFonts w:ascii="Times New Roman;serif" w:hAnsi="Times New Roman;serif"/>
            <w:b w:val="false"/>
            <w:color w:val="000000"/>
            <w:sz w:val="20"/>
          </w:rPr>
          <w:t>* 10.8</w:t>
        </w:r>
      </w:hyperlink>
      <w:r>
        <w:rPr>
          <w:rFonts w:ascii="Times New Roman;serif" w:hAnsi="Times New Roman;serif"/>
          <w:b w:val="false"/>
          <w:color w:val="000000"/>
          <w:sz w:val="20"/>
        </w:rPr>
        <w:t>    </w:t>
      </w:r>
      <w:hyperlink r:id="rId105">
        <w:r>
          <w:rPr>
            <w:rStyle w:val="InternetLink"/>
          </w:rPr>
          <w:t>Second Amendment to Amended and Restated Employment Agreement dated January 31, 2023 between AGNC Mortgage Management, LLC and Bernice Bell, incorporated by reference to Exhibit 10.3 of Form 8-K (File No. 001-34057), filed February 3, 2023.</w:t>
        </w:r>
      </w:hyperlink>
    </w:p>
    <w:p>
      <w:pPr>
        <w:pStyle w:val="TextBody"/>
        <w:bidi w:val="0"/>
        <w:spacing w:lineRule="auto" w:line="288" w:before="180" w:after="283"/>
        <w:ind w:left="0" w:right="0" w:hanging="1440"/>
        <w:jc w:val="left"/>
        <w:rPr/>
      </w:pPr>
      <w:hyperlink r:id="rId106">
        <w:r>
          <w:rPr>
            <w:rStyle w:val="InternetLink"/>
            <w:color w:val="000000"/>
          </w:rPr>
          <w:t>†</w:t>
        </w:r>
      </w:hyperlink>
      <w:hyperlink r:id="rId107">
        <w:r>
          <w:rPr>
            <w:rStyle w:val="InternetLink"/>
            <w:rFonts w:ascii="Times New Roman;serif" w:hAnsi="Times New Roman;serif"/>
            <w:b w:val="false"/>
            <w:color w:val="000000"/>
            <w:sz w:val="20"/>
          </w:rPr>
          <w:t>* 10.9</w:t>
        </w:r>
      </w:hyperlink>
      <w:r>
        <w:rPr>
          <w:rFonts w:ascii="Times New Roman;serif" w:hAnsi="Times New Roman;serif"/>
          <w:b w:val="false"/>
          <w:color w:val="000000"/>
          <w:sz w:val="20"/>
        </w:rPr>
        <w:t>    </w:t>
      </w:r>
      <w:hyperlink r:id="rId108">
        <w:r>
          <w:rPr>
            <w:rStyle w:val="InternetLink"/>
          </w:rPr>
          <w:t>Amended and Restated Employment Agreement, dated January 22, 2021, by and between AGNC Mortgage Management, LLC and Kenneth Pollack, incorporated herein by reference to Exhibit 10.15 of Form 10-K (File No. 001-34057), filed February 26, 2021.</w:t>
        </w:r>
      </w:hyperlink>
    </w:p>
    <w:p>
      <w:pPr>
        <w:pStyle w:val="TextBody"/>
        <w:bidi w:val="0"/>
        <w:spacing w:lineRule="auto" w:line="288" w:before="180" w:after="283"/>
        <w:ind w:left="0" w:right="0" w:hanging="1440"/>
        <w:jc w:val="left"/>
        <w:rPr/>
      </w:pPr>
      <w:hyperlink r:id="rId109">
        <w:r>
          <w:rPr>
            <w:rStyle w:val="InternetLink"/>
            <w:color w:val="000000"/>
          </w:rPr>
          <w:t>†</w:t>
        </w:r>
      </w:hyperlink>
      <w:hyperlink r:id="rId110">
        <w:r>
          <w:rPr>
            <w:rStyle w:val="InternetLink"/>
            <w:rFonts w:ascii="Times New Roman;serif" w:hAnsi="Times New Roman;serif"/>
            <w:b w:val="false"/>
            <w:color w:val="000000"/>
            <w:sz w:val="20"/>
          </w:rPr>
          <w:t>* 10.10</w:t>
        </w:r>
      </w:hyperlink>
      <w:r>
        <w:rPr>
          <w:rFonts w:ascii="Times New Roman;serif" w:hAnsi="Times New Roman;serif"/>
          <w:b w:val="false"/>
          <w:color w:val="000000"/>
          <w:sz w:val="20"/>
        </w:rPr>
        <w:t>    </w:t>
      </w:r>
      <w:hyperlink r:id="rId111">
        <w:r>
          <w:rPr>
            <w:rStyle w:val="InternetLink"/>
          </w:rPr>
          <w:t>First Amendment to Amended and Restated Employment Agreement dated January 21, 2022 between AGNC Mortgage Management, LLC and Kenneth Pollack, incorporated herein by reference to Exhibit 10.2 of Form 8-K (File No. 001-34057), filed January 21, 2022.</w:t>
        </w:r>
      </w:hyperlink>
    </w:p>
    <w:p>
      <w:pPr>
        <w:pStyle w:val="TextBody"/>
        <w:bidi w:val="0"/>
        <w:spacing w:lineRule="auto" w:line="288" w:before="180" w:after="283"/>
        <w:ind w:left="0" w:right="0" w:hanging="1440"/>
        <w:jc w:val="left"/>
        <w:rPr/>
      </w:pPr>
      <w:hyperlink r:id="rId112">
        <w:r>
          <w:rPr>
            <w:rStyle w:val="InternetLink"/>
            <w:color w:val="000000"/>
          </w:rPr>
          <w:t>†</w:t>
        </w:r>
      </w:hyperlink>
      <w:hyperlink r:id="rId113">
        <w:r>
          <w:rPr>
            <w:rStyle w:val="InternetLink"/>
            <w:rFonts w:ascii="Times New Roman;serif" w:hAnsi="Times New Roman;serif"/>
            <w:b w:val="false"/>
            <w:color w:val="000000"/>
            <w:sz w:val="20"/>
          </w:rPr>
          <w:t>* 10.11</w:t>
        </w:r>
      </w:hyperlink>
      <w:r>
        <w:rPr>
          <w:rFonts w:ascii="Times New Roman;serif" w:hAnsi="Times New Roman;serif"/>
          <w:b w:val="false"/>
          <w:color w:val="000000"/>
          <w:sz w:val="20"/>
        </w:rPr>
        <w:t>    </w:t>
      </w:r>
      <w:hyperlink r:id="rId114">
        <w:r>
          <w:rPr>
            <w:rStyle w:val="InternetLink"/>
          </w:rPr>
          <w:t>Second Amendment to Amended and Restated Employment Agreement dated January 31, 2023 between AGNC Mortgage Management, LLC and Kenneth Pollack, incorporated by reference to Exhibit 10.4 of Form 8-K (File No. 001-34057), filed February 3, 2023.</w:t>
        </w:r>
      </w:hyperlink>
    </w:p>
    <w:p>
      <w:pPr>
        <w:pStyle w:val="TextBody"/>
        <w:bidi w:val="0"/>
        <w:spacing w:lineRule="auto" w:line="288" w:before="180" w:after="283"/>
        <w:ind w:left="0" w:right="0" w:hanging="1440"/>
        <w:jc w:val="left"/>
        <w:rPr/>
      </w:pPr>
      <w:hyperlink r:id="rId115">
        <w:r>
          <w:rPr>
            <w:rStyle w:val="InternetLink"/>
            <w:color w:val="000000"/>
          </w:rPr>
          <w:t>†</w:t>
        </w:r>
      </w:hyperlink>
      <w:hyperlink r:id="rId116">
        <w:r>
          <w:rPr>
            <w:rStyle w:val="InternetLink"/>
            <w:rFonts w:ascii="Times New Roman;serif" w:hAnsi="Times New Roman;serif"/>
            <w:b w:val="false"/>
            <w:color w:val="000000"/>
            <w:sz w:val="20"/>
          </w:rPr>
          <w:t>* 10.12</w:t>
        </w:r>
      </w:hyperlink>
      <w:r>
        <w:rPr>
          <w:rFonts w:ascii="Times New Roman;serif" w:hAnsi="Times New Roman;serif"/>
          <w:b w:val="false"/>
          <w:color w:val="000000"/>
          <w:sz w:val="20"/>
        </w:rPr>
        <w:t>    </w:t>
      </w:r>
      <w:hyperlink r:id="rId117">
        <w:r>
          <w:rPr>
            <w:rStyle w:val="InternetLink"/>
          </w:rPr>
          <w:t>Amended and Restated Employment Agreement dated January 31, 2023 between AGNC Mortgage Management, LLC and Sean Reid, incorporated by reference to Exhibit 10 of Form 10-Q (File No. 001-34057), filed May 7, 2024.</w:t>
        </w:r>
      </w:hyperlink>
    </w:p>
    <w:p>
      <w:pPr>
        <w:pStyle w:val="TextBody"/>
        <w:bidi w:val="0"/>
        <w:spacing w:lineRule="auto" w:line="288" w:before="180" w:after="283"/>
        <w:ind w:left="0" w:right="0" w:hanging="1440"/>
        <w:jc w:val="left"/>
        <w:rPr/>
      </w:pPr>
      <w:hyperlink r:id="rId118">
        <w:r>
          <w:rPr>
            <w:rStyle w:val="InternetLink"/>
            <w:color w:val="000000"/>
          </w:rPr>
          <w:t>†</w:t>
        </w:r>
      </w:hyperlink>
      <w:hyperlink r:id="rId119">
        <w:r>
          <w:rPr>
            <w:rStyle w:val="InternetLink"/>
            <w:rFonts w:ascii="Times New Roman;serif" w:hAnsi="Times New Roman;serif"/>
            <w:b w:val="false"/>
            <w:color w:val="000000"/>
            <w:sz w:val="20"/>
          </w:rPr>
          <w:t>* 10.13</w:t>
        </w:r>
      </w:hyperlink>
      <w:r>
        <w:rPr>
          <w:rFonts w:ascii="Times New Roman;serif" w:hAnsi="Times New Roman;serif"/>
          <w:b w:val="false"/>
          <w:color w:val="000000"/>
          <w:sz w:val="20"/>
        </w:rPr>
        <w:t>    </w:t>
      </w:r>
      <w:hyperlink r:id="rId120">
        <w:r>
          <w:rPr>
            <w:rStyle w:val="InternetLink"/>
          </w:rPr>
          <w:t xml:space="preserve">Amended and Restated AGNC Investment Corp. 2016 Equity and Incentive Compensation Plan, </w:t>
        </w:r>
      </w:hyperlink>
      <w:hyperlink r:id="rId121">
        <w:r>
          <w:rPr>
            <w:rStyle w:val="InternetLink"/>
          </w:rPr>
          <w:t>incorporated herein by reference to Exhibit 10.11 of Form 10-K (File No, 001-34057), filed February 23, 2022</w:t>
        </w:r>
      </w:hyperlink>
      <w:hyperlink r:id="rId122">
        <w:r>
          <w:rPr>
            <w:rStyle w:val="InternetLink"/>
          </w:rPr>
          <w:t>.</w:t>
        </w:r>
      </w:hyperlink>
    </w:p>
    <w:p>
      <w:pPr>
        <w:pStyle w:val="TextBody"/>
        <w:bidi w:val="0"/>
        <w:spacing w:lineRule="auto" w:line="288" w:before="180" w:after="283"/>
        <w:ind w:left="0" w:right="0" w:hanging="1440"/>
        <w:jc w:val="left"/>
        <w:rPr/>
      </w:pPr>
      <w:hyperlink r:id="rId123">
        <w:r>
          <w:rPr>
            <w:rStyle w:val="InternetLink"/>
            <w:color w:val="000000"/>
          </w:rPr>
          <w:t>†</w:t>
        </w:r>
      </w:hyperlink>
      <w:hyperlink r:id="rId124">
        <w:r>
          <w:rPr>
            <w:rStyle w:val="InternetLink"/>
            <w:rFonts w:ascii="Times New Roman;serif" w:hAnsi="Times New Roman;serif"/>
            <w:b w:val="false"/>
            <w:color w:val="000000"/>
            <w:sz w:val="20"/>
          </w:rPr>
          <w:t>* 10.14</w:t>
        </w:r>
      </w:hyperlink>
      <w:r>
        <w:rPr>
          <w:rFonts w:ascii="Times New Roman;serif" w:hAnsi="Times New Roman;serif"/>
          <w:b w:val="false"/>
          <w:color w:val="000000"/>
          <w:sz w:val="20"/>
        </w:rPr>
        <w:t>    </w:t>
      </w:r>
      <w:hyperlink r:id="rId125">
        <w:r>
          <w:rPr>
            <w:rStyle w:val="InternetLink"/>
          </w:rPr>
          <w:t>Form of AGNC Investment Corp. 2016 Equity and Incentive Compensation Plan Restricted Stock Unit Agreement for Non-Employee Directors, incorporated herein by reference to Exhibit 10.14 of Form 10-K (File No. 001-34057), filed February 26, 2018.</w:t>
        </w:r>
      </w:hyperlink>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1440"/>
        <w:jc w:val="left"/>
        <w:rPr/>
      </w:pPr>
      <w:hyperlink r:id="rId126">
        <w:r>
          <w:rPr>
            <w:rStyle w:val="InternetLink"/>
            <w:color w:val="000000"/>
          </w:rPr>
          <w:t>†</w:t>
        </w:r>
      </w:hyperlink>
      <w:hyperlink r:id="rId127">
        <w:r>
          <w:rPr>
            <w:rStyle w:val="InternetLink"/>
            <w:rFonts w:ascii="Times New Roman;serif" w:hAnsi="Times New Roman;serif"/>
            <w:b w:val="false"/>
            <w:color w:val="000000"/>
            <w:sz w:val="20"/>
          </w:rPr>
          <w:t>* 10.15</w:t>
        </w:r>
      </w:hyperlink>
      <w:r>
        <w:rPr>
          <w:rFonts w:ascii="Times New Roman;serif" w:hAnsi="Times New Roman;serif"/>
          <w:b w:val="false"/>
          <w:color w:val="000000"/>
          <w:sz w:val="20"/>
        </w:rPr>
        <w:t>    </w:t>
      </w:r>
      <w:hyperlink r:id="rId128">
        <w:r>
          <w:rPr>
            <w:rStyle w:val="InternetLink"/>
          </w:rPr>
          <w:t>Form of AGNC Investment Corp. 2016 Equity and Incentive Compensation Plan Deferred Stock Unit Agreement incorporated herein by reference to Exhibit 10 of Form 10-Q for the quarter ended September 30, 2018 (File No. 001-34057), filed November 5, 2018.</w:t>
        </w:r>
      </w:hyperlink>
    </w:p>
    <w:p>
      <w:pPr>
        <w:pStyle w:val="TextBody"/>
        <w:bidi w:val="0"/>
        <w:spacing w:lineRule="auto" w:line="288" w:before="180" w:after="283"/>
        <w:ind w:left="0" w:right="0" w:hanging="1440"/>
        <w:jc w:val="left"/>
        <w:rPr/>
      </w:pPr>
      <w:hyperlink r:id="rId129">
        <w:r>
          <w:rPr>
            <w:rStyle w:val="InternetLink"/>
            <w:color w:val="000000"/>
          </w:rPr>
          <w:t>†</w:t>
        </w:r>
      </w:hyperlink>
      <w:hyperlink r:id="rId130">
        <w:r>
          <w:rPr>
            <w:rStyle w:val="InternetLink"/>
            <w:rFonts w:ascii="Times New Roman;serif" w:hAnsi="Times New Roman;serif"/>
            <w:b w:val="false"/>
            <w:color w:val="000000"/>
            <w:sz w:val="20"/>
          </w:rPr>
          <w:t>* 10.16</w:t>
        </w:r>
      </w:hyperlink>
      <w:r>
        <w:rPr>
          <w:rFonts w:ascii="Times New Roman;serif" w:hAnsi="Times New Roman;serif"/>
          <w:b w:val="false"/>
          <w:color w:val="000000"/>
          <w:sz w:val="20"/>
        </w:rPr>
        <w:t>    </w:t>
      </w:r>
      <w:hyperlink r:id="rId131">
        <w:r>
          <w:rPr>
            <w:rStyle w:val="InternetLink"/>
          </w:rPr>
          <w:t>Form of AGNC Investment Corp. 2016 Equity and Incentive Compensation Plan Restricted Stock Unit Agreement for Section 16 Officers with Retirement Provisions, incorporated herein by reference to Exhibit 10.26 of Form 10-K (File No. 001-34057), filed February 26, 2021.</w:t>
        </w:r>
      </w:hyperlink>
    </w:p>
    <w:p>
      <w:pPr>
        <w:pStyle w:val="TextBody"/>
        <w:bidi w:val="0"/>
        <w:spacing w:lineRule="auto" w:line="288" w:before="180" w:after="283"/>
        <w:ind w:left="0" w:right="0" w:hanging="1440"/>
        <w:jc w:val="left"/>
        <w:rPr/>
      </w:pPr>
      <w:hyperlink r:id="rId132">
        <w:r>
          <w:rPr>
            <w:rStyle w:val="InternetLink"/>
            <w:color w:val="000000"/>
          </w:rPr>
          <w:t>†</w:t>
        </w:r>
      </w:hyperlink>
      <w:hyperlink r:id="rId133">
        <w:r>
          <w:rPr>
            <w:rStyle w:val="InternetLink"/>
            <w:rFonts w:ascii="Times New Roman;serif" w:hAnsi="Times New Roman;serif"/>
            <w:b w:val="false"/>
            <w:color w:val="000000"/>
            <w:sz w:val="20"/>
          </w:rPr>
          <w:t>* 10.17</w:t>
        </w:r>
      </w:hyperlink>
      <w:r>
        <w:rPr>
          <w:rFonts w:ascii="Times New Roman;serif" w:hAnsi="Times New Roman;serif"/>
          <w:b w:val="false"/>
          <w:color w:val="000000"/>
          <w:sz w:val="20"/>
        </w:rPr>
        <w:t>    </w:t>
      </w:r>
      <w:hyperlink r:id="rId134">
        <w:r>
          <w:rPr>
            <w:rStyle w:val="InternetLink"/>
          </w:rPr>
          <w:t>Form of AGNC Investment Corp. 2016 Equity and Incentive Compensation Plan Performance-Based Restricted Stock Unit Agreement for Section 16 Officers with Retirement Provisions, incorporated herein by reference to Exhibit 10.27 of Form 10-K (File No. 001-34057), filed February 26, 2021.</w:t>
        </w:r>
      </w:hyperlink>
    </w:p>
    <w:p>
      <w:pPr>
        <w:pStyle w:val="TextBody"/>
        <w:bidi w:val="0"/>
        <w:spacing w:lineRule="auto" w:line="288" w:before="180" w:after="283"/>
        <w:ind w:left="0" w:right="0" w:hanging="1440"/>
        <w:jc w:val="left"/>
        <w:rPr/>
      </w:pPr>
      <w:hyperlink r:id="rId135">
        <w:r>
          <w:rPr>
            <w:rStyle w:val="InternetLink"/>
            <w:color w:val="000000"/>
          </w:rPr>
          <w:t>†</w:t>
        </w:r>
      </w:hyperlink>
      <w:hyperlink r:id="rId136">
        <w:r>
          <w:rPr>
            <w:rStyle w:val="InternetLink"/>
            <w:rFonts w:ascii="Times New Roman;serif" w:hAnsi="Times New Roman;serif"/>
            <w:b w:val="false"/>
            <w:color w:val="000000"/>
            <w:sz w:val="20"/>
          </w:rPr>
          <w:t>* 10.18</w:t>
        </w:r>
      </w:hyperlink>
      <w:r>
        <w:rPr>
          <w:rFonts w:ascii="Times New Roman;serif" w:hAnsi="Times New Roman;serif"/>
          <w:b w:val="false"/>
          <w:color w:val="000000"/>
          <w:sz w:val="20"/>
        </w:rPr>
        <w:t>    </w:t>
      </w:r>
      <w:hyperlink r:id="rId137">
        <w:r>
          <w:rPr>
            <w:rStyle w:val="InternetLink"/>
          </w:rPr>
          <w:t>Form of AGNC Investment Corp. 2016 Equity and Incentive Compensation Plan Restricted Stock Unit Agreement for Section 16 Officers with Employment Contracts, incorporated herein by reference to Exhibit 10.28 of Form 10-K (File No. 001-34057), filed February 26, 2021.</w:t>
        </w:r>
      </w:hyperlink>
    </w:p>
    <w:p>
      <w:pPr>
        <w:pStyle w:val="TextBody"/>
        <w:bidi w:val="0"/>
        <w:spacing w:lineRule="auto" w:line="288" w:before="180" w:after="283"/>
        <w:ind w:left="0" w:right="0" w:hanging="1440"/>
        <w:jc w:val="left"/>
        <w:rPr/>
      </w:pPr>
      <w:hyperlink r:id="rId138">
        <w:r>
          <w:rPr>
            <w:rStyle w:val="InternetLink"/>
            <w:color w:val="000000"/>
          </w:rPr>
          <w:t>†</w:t>
        </w:r>
      </w:hyperlink>
      <w:hyperlink r:id="rId139">
        <w:r>
          <w:rPr>
            <w:rStyle w:val="InternetLink"/>
            <w:rFonts w:ascii="Times New Roman;serif" w:hAnsi="Times New Roman;serif"/>
            <w:b w:val="false"/>
            <w:color w:val="000000"/>
            <w:sz w:val="20"/>
          </w:rPr>
          <w:t>* 10.19</w:t>
        </w:r>
      </w:hyperlink>
      <w:r>
        <w:rPr>
          <w:rFonts w:ascii="Times New Roman;serif" w:hAnsi="Times New Roman;serif"/>
          <w:b w:val="false"/>
          <w:color w:val="000000"/>
          <w:sz w:val="20"/>
        </w:rPr>
        <w:t>    </w:t>
      </w:r>
      <w:hyperlink r:id="rId140">
        <w:r>
          <w:rPr>
            <w:rStyle w:val="InternetLink"/>
          </w:rPr>
          <w:t>Form of AGNC Investment Corp. 2016 Equity and Incentive Compensation Plan Performance-Based Restricted Stock Unit Agreement for Section 16 Officers with Employment Contracts, incorporated herein by reference to Exhibit 10.29 of Form 10-K (File No. 001-34057), filed February 26, 2021.</w:t>
        </w:r>
      </w:hyperlink>
    </w:p>
    <w:p>
      <w:pPr>
        <w:pStyle w:val="TextBody"/>
        <w:bidi w:val="0"/>
        <w:spacing w:lineRule="auto" w:line="288" w:before="180" w:after="283"/>
        <w:ind w:left="0" w:right="0" w:hanging="1440"/>
        <w:jc w:val="left"/>
        <w:rPr/>
      </w:pPr>
      <w:hyperlink r:id="rId141">
        <w:r>
          <w:rPr>
            <w:rStyle w:val="InternetLink"/>
            <w:color w:val="000000"/>
          </w:rPr>
          <w:t>†</w:t>
        </w:r>
      </w:hyperlink>
      <w:hyperlink r:id="rId142">
        <w:r>
          <w:rPr>
            <w:rStyle w:val="InternetLink"/>
            <w:rFonts w:ascii="Times New Roman;serif" w:hAnsi="Times New Roman;serif"/>
            <w:b w:val="false"/>
            <w:color w:val="000000"/>
            <w:sz w:val="20"/>
          </w:rPr>
          <w:t>* 10.20</w:t>
        </w:r>
      </w:hyperlink>
      <w:r>
        <w:rPr>
          <w:rFonts w:ascii="Times New Roman;serif" w:hAnsi="Times New Roman;serif"/>
          <w:b w:val="false"/>
          <w:color w:val="000000"/>
          <w:sz w:val="20"/>
        </w:rPr>
        <w:t>    </w:t>
      </w:r>
      <w:hyperlink r:id="rId143">
        <w:r>
          <w:rPr>
            <w:rStyle w:val="InternetLink"/>
          </w:rPr>
          <w:t>Form of AGNC Investment Corp. 2016 Equity and Incentive Compensation Plan Restricted Stock Unit Agreement for Section 16 Officers with Retirement Plan Language, incorporated herein by reference to Exhibit 10.20 of Form 10-K (File No. 001-34057), filed February 22, 2024.</w:t>
        </w:r>
      </w:hyperlink>
    </w:p>
    <w:p>
      <w:pPr>
        <w:pStyle w:val="TextBody"/>
        <w:bidi w:val="0"/>
        <w:spacing w:lineRule="auto" w:line="288" w:before="180" w:after="283"/>
        <w:ind w:left="0" w:right="0" w:hanging="1440"/>
        <w:jc w:val="left"/>
        <w:rPr/>
      </w:pPr>
      <w:hyperlink r:id="rId144">
        <w:r>
          <w:rPr>
            <w:rStyle w:val="InternetLink"/>
            <w:color w:val="000000"/>
          </w:rPr>
          <w:t>†</w:t>
        </w:r>
      </w:hyperlink>
      <w:hyperlink r:id="rId145">
        <w:r>
          <w:rPr>
            <w:rStyle w:val="InternetLink"/>
            <w:rFonts w:ascii="Times New Roman;serif" w:hAnsi="Times New Roman;serif"/>
            <w:b w:val="false"/>
            <w:color w:val="000000"/>
            <w:sz w:val="20"/>
          </w:rPr>
          <w:t>* 10.21</w:t>
        </w:r>
      </w:hyperlink>
      <w:r>
        <w:rPr>
          <w:rFonts w:ascii="Times New Roman;serif" w:hAnsi="Times New Roman;serif"/>
          <w:b w:val="false"/>
          <w:color w:val="000000"/>
          <w:sz w:val="20"/>
        </w:rPr>
        <w:t>    </w:t>
      </w:r>
      <w:hyperlink r:id="rId146">
        <w:r>
          <w:rPr>
            <w:rStyle w:val="InternetLink"/>
          </w:rPr>
          <w:t xml:space="preserve">Form of AGNC Investment Corp. 2016 Equity and Incentive Compensation Plan Performance-Based Restricted Stock Unit Agreement for Section 16 Officers with Retirement Plan Language, </w:t>
        </w:r>
      </w:hyperlink>
      <w:hyperlink r:id="rId147">
        <w:r>
          <w:rPr>
            <w:rStyle w:val="InternetLink"/>
          </w:rPr>
          <w:t>incorporated herein by reference to Exhibit 10.21 of Form 10-K (File No. 001-34057), filed February 22, 2024</w:t>
        </w:r>
      </w:hyperlink>
      <w:hyperlink r:id="rId148">
        <w:r>
          <w:rPr>
            <w:rStyle w:val="InternetLink"/>
          </w:rPr>
          <w:t>.</w:t>
        </w:r>
      </w:hyperlink>
    </w:p>
    <w:p>
      <w:pPr>
        <w:pStyle w:val="TextBody"/>
        <w:bidi w:val="0"/>
        <w:spacing w:lineRule="auto" w:line="288" w:before="180" w:after="283"/>
        <w:ind w:left="0" w:right="0" w:hanging="1440"/>
        <w:jc w:val="left"/>
        <w:rPr/>
      </w:pPr>
      <w:hyperlink r:id="rId149">
        <w:r>
          <w:rPr>
            <w:rStyle w:val="InternetLink"/>
          </w:rPr>
          <w:t>*14</w:t>
        </w:r>
      </w:hyperlink>
      <w:r>
        <w:rPr>
          <w:rFonts w:ascii="Times New Roman;serif" w:hAnsi="Times New Roman;serif"/>
          <w:b w:val="false"/>
          <w:color w:val="000000"/>
          <w:sz w:val="20"/>
        </w:rPr>
        <w:t>    </w:t>
      </w:r>
      <w:hyperlink r:id="rId150">
        <w:r>
          <w:rPr>
            <w:rStyle w:val="InternetLink"/>
          </w:rPr>
          <w:t>AGNC Investment Corp. Code of Ethics and Conduct, adopted July 17, 2025, incorporated herein by reference to Exhibit 14 of Form 10-Q for the quarter ended June 30, 2025 (File No. 001-34057), filed August 1, 2025.</w:t>
        </w:r>
      </w:hyperlink>
    </w:p>
    <w:p>
      <w:pPr>
        <w:pStyle w:val="TextBody"/>
        <w:bidi w:val="0"/>
        <w:spacing w:lineRule="auto" w:line="288" w:before="180" w:after="283"/>
        <w:ind w:left="0" w:right="0" w:hanging="1440"/>
        <w:jc w:val="both"/>
        <w:rPr/>
      </w:pPr>
      <w:hyperlink r:id="rId151">
        <w:r>
          <w:rPr>
            <w:rStyle w:val="InternetLink"/>
          </w:rPr>
          <w:t>*19</w:t>
        </w:r>
      </w:hyperlink>
      <w:r>
        <w:rPr>
          <w:rFonts w:ascii="Times New Roman;serif" w:hAnsi="Times New Roman;serif"/>
          <w:b w:val="false"/>
          <w:color w:val="000000"/>
          <w:sz w:val="20"/>
        </w:rPr>
        <w:t>    </w:t>
      </w:r>
      <w:hyperlink r:id="rId152">
        <w:r>
          <w:rPr>
            <w:rStyle w:val="InternetLink"/>
          </w:rPr>
          <w:t xml:space="preserve">AGNC Investment Corp. Policy on Insider Trading, adopted July 18, 2024, </w:t>
        </w:r>
      </w:hyperlink>
      <w:hyperlink r:id="rId153">
        <w:r>
          <w:rPr>
            <w:rStyle w:val="InternetLink"/>
          </w:rPr>
          <w:t>incorporated herein by reference to Exhibit 19 of Form 10-K for the year ended December 31, 2024 (File No. 0</w:t>
        </w:r>
      </w:hyperlink>
      <w:hyperlink r:id="rId154">
        <w:r>
          <w:rPr>
            <w:rStyle w:val="InternetLink"/>
          </w:rPr>
          <w:t>01-</w:t>
        </w:r>
      </w:hyperlink>
      <w:hyperlink r:id="rId155">
        <w:r>
          <w:rPr>
            <w:rStyle w:val="InternetLink"/>
          </w:rPr>
          <w:t>34057), filed February 21, 2025</w:t>
        </w:r>
      </w:hyperlink>
      <w:hyperlink r:id="rId156">
        <w:r>
          <w:rPr>
            <w:rStyle w:val="InternetLink"/>
          </w:rPr>
          <w:t>.</w:t>
        </w:r>
      </w:hyperlink>
    </w:p>
    <w:p>
      <w:pPr>
        <w:pStyle w:val="TextBody"/>
        <w:bidi w:val="0"/>
        <w:spacing w:lineRule="auto" w:line="288" w:before="180" w:after="283"/>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21    Subsidiaries of the Company and jurisdiction of incorporation:</w:t>
      </w:r>
    </w:p>
    <w:p>
      <w:pPr>
        <w:pStyle w:val="TextBody"/>
        <w:bidi w:val="0"/>
        <w:spacing w:lineRule="auto" w:line="288" w:before="18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1)AGNC TRS, LLC, a Delaware limited liability company</w:t>
      </w:r>
    </w:p>
    <w:p>
      <w:pPr>
        <w:pStyle w:val="TextBody"/>
        <w:bidi w:val="0"/>
        <w:spacing w:lineRule="auto" w:line="288" w:before="18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2)Bethesda Securities, LLC, a Delaware limited liability company</w:t>
      </w:r>
    </w:p>
    <w:p>
      <w:pPr>
        <w:pStyle w:val="TextBody"/>
        <w:bidi w:val="0"/>
        <w:spacing w:lineRule="auto" w:line="288" w:before="18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3)AGNC Mortgage Management, LLC, a Delaware limited liability company</w:t>
      </w:r>
    </w:p>
    <w:p>
      <w:pPr>
        <w:pStyle w:val="TextBody"/>
        <w:bidi w:val="0"/>
        <w:spacing w:lineRule="auto" w:line="288" w:before="180" w:after="283"/>
        <w:ind w:left="0" w:right="0" w:hanging="1440"/>
        <w:jc w:val="left"/>
        <w:rPr/>
      </w:pPr>
      <w:hyperlink w:anchor="agncexhibit2312312510-k.htm">
        <w:r>
          <w:rPr>
            <w:rStyle w:val="InternetLink"/>
          </w:rPr>
          <w:t>23</w:t>
        </w:r>
      </w:hyperlink>
      <w:r>
        <w:rPr>
          <w:rFonts w:ascii="Times New Roman;serif" w:hAnsi="Times New Roman;serif"/>
          <w:b w:val="false"/>
          <w:color w:val="000000"/>
          <w:sz w:val="20"/>
        </w:rPr>
        <w:t>    </w:t>
      </w:r>
      <w:hyperlink w:anchor="agncexhibit2312312510-k.htm">
        <w:r>
          <w:rPr>
            <w:rStyle w:val="InternetLink"/>
          </w:rPr>
          <w:t>Consent of Ernst &amp; Young LLP, filed herewith.</w:t>
        </w:r>
      </w:hyperlink>
    </w:p>
    <w:p>
      <w:pPr>
        <w:pStyle w:val="TextBody"/>
        <w:bidi w:val="0"/>
        <w:spacing w:lineRule="auto" w:line="288" w:before="180" w:after="283"/>
        <w:ind w:left="0" w:right="0" w:hanging="1440"/>
        <w:jc w:val="left"/>
        <w:rPr/>
      </w:pPr>
      <w:hyperlink w:anchor="agncexhibit2412312510-k.htm">
        <w:r>
          <w:rPr>
            <w:rStyle w:val="InternetLink"/>
          </w:rPr>
          <w:t>24</w:t>
        </w:r>
      </w:hyperlink>
      <w:r>
        <w:rPr>
          <w:rFonts w:ascii="Times New Roman;serif" w:hAnsi="Times New Roman;serif"/>
          <w:b w:val="false"/>
          <w:color w:val="000000"/>
          <w:sz w:val="20"/>
        </w:rPr>
        <w:t>    </w:t>
      </w:r>
      <w:hyperlink w:anchor="agncexhibit2412312510-k.htm">
        <w:r>
          <w:rPr>
            <w:rStyle w:val="InternetLink"/>
          </w:rPr>
          <w:t>Powers of Attorney of directors, filed herewith.</w:t>
        </w:r>
      </w:hyperlink>
    </w:p>
    <w:p>
      <w:pPr>
        <w:pStyle w:val="TextBody"/>
        <w:bidi w:val="0"/>
        <w:spacing w:lineRule="auto" w:line="288" w:before="180" w:after="283"/>
        <w:ind w:left="0" w:right="0" w:hanging="1440"/>
        <w:jc w:val="both"/>
        <w:rPr/>
      </w:pPr>
      <w:hyperlink w:anchor="agncexhibit31112312510-k.htm">
        <w:r>
          <w:rPr>
            <w:rStyle w:val="InternetLink"/>
          </w:rPr>
          <w:t>31.1</w:t>
        </w:r>
      </w:hyperlink>
      <w:r>
        <w:rPr>
          <w:rFonts w:ascii="Times New Roman;serif" w:hAnsi="Times New Roman;serif"/>
          <w:b w:val="false"/>
          <w:color w:val="000000"/>
          <w:sz w:val="20"/>
        </w:rPr>
        <w:t>    </w:t>
      </w:r>
      <w:hyperlink w:anchor="agncexhibit31112312510-k.htm">
        <w:r>
          <w:rPr>
            <w:rStyle w:val="InternetLink"/>
          </w:rPr>
          <w:t>Certification of CEO Pursuant to Section 302(a) of the Sarbanes-Oxley Act of 2002.</w:t>
        </w:r>
      </w:hyperlink>
    </w:p>
    <w:p>
      <w:pPr>
        <w:pStyle w:val="TextBody"/>
        <w:bidi w:val="0"/>
        <w:spacing w:lineRule="auto" w:line="288" w:before="180" w:after="283"/>
        <w:ind w:left="0" w:right="0" w:hanging="1440"/>
        <w:jc w:val="both"/>
        <w:rPr/>
      </w:pPr>
      <w:hyperlink w:anchor="agncexhibit31212312510-k.htm">
        <w:r>
          <w:rPr>
            <w:rStyle w:val="InternetLink"/>
          </w:rPr>
          <w:t>31.2</w:t>
        </w:r>
      </w:hyperlink>
      <w:r>
        <w:rPr>
          <w:rFonts w:ascii="Times New Roman;serif" w:hAnsi="Times New Roman;serif"/>
          <w:b w:val="false"/>
          <w:color w:val="000000"/>
          <w:sz w:val="20"/>
        </w:rPr>
        <w:t>    </w:t>
      </w:r>
      <w:hyperlink w:anchor="agncexhibit31212312510-k.htm">
        <w:r>
          <w:rPr>
            <w:rStyle w:val="InternetLink"/>
          </w:rPr>
          <w:t>Certification of CFO Pursuant to Section 302(a) of the Sarbanes-Oxley Act of 2002.</w:t>
        </w:r>
      </w:hyperlink>
    </w:p>
    <w:p>
      <w:pPr>
        <w:pStyle w:val="TextBody"/>
        <w:bidi w:val="0"/>
        <w:spacing w:lineRule="auto" w:line="288" w:before="180" w:after="283"/>
        <w:ind w:left="0" w:right="0" w:hanging="1440"/>
        <w:jc w:val="both"/>
        <w:rPr/>
      </w:pPr>
      <w:hyperlink w:anchor="agncexhibit3212312510-k.htm">
        <w:r>
          <w:rPr>
            <w:rStyle w:val="InternetLink"/>
          </w:rPr>
          <w:t>32</w:t>
        </w:r>
      </w:hyperlink>
      <w:r>
        <w:rPr>
          <w:rFonts w:ascii="Times New Roman;serif" w:hAnsi="Times New Roman;serif"/>
          <w:b w:val="false"/>
          <w:color w:val="000000"/>
          <w:sz w:val="20"/>
        </w:rPr>
        <w:t>    </w:t>
      </w:r>
      <w:hyperlink w:anchor="agncexhibit3212312510-k.htm">
        <w:r>
          <w:rPr>
            <w:rStyle w:val="InternetLink"/>
          </w:rPr>
          <w:t>Certification of CEO and CFO Pursuant to Section 906 of the Sarbanes-Oxley Act of 2002.</w:t>
        </w:r>
      </w:hyperlink>
    </w:p>
    <w:p>
      <w:pPr>
        <w:pStyle w:val="TextBody"/>
        <w:bidi w:val="0"/>
        <w:spacing w:lineRule="auto" w:line="288" w:before="180" w:after="283"/>
        <w:ind w:left="0" w:right="0" w:hanging="1440"/>
        <w:jc w:val="both"/>
        <w:rPr/>
      </w:pPr>
      <w:hyperlink r:id="rId157">
        <w:r>
          <w:rPr>
            <w:rStyle w:val="InternetLink"/>
          </w:rPr>
          <w:t>*97</w:t>
        </w:r>
      </w:hyperlink>
      <w:r>
        <w:rPr>
          <w:rFonts w:ascii="Times New Roman;serif" w:hAnsi="Times New Roman;serif"/>
          <w:b w:val="false"/>
          <w:color w:val="000000"/>
          <w:sz w:val="20"/>
        </w:rPr>
        <w:t>    </w:t>
      </w:r>
      <w:hyperlink r:id="rId158">
        <w:r>
          <w:rPr>
            <w:rStyle w:val="InternetLink"/>
          </w:rPr>
          <w:t>AGNC Investment Corp. Compensation Clawback Policy, incorporated herein by reference to Exhibit 97.1 of Form 10-K (File No. 001-34057), filed February 22, 2024.</w:t>
        </w:r>
      </w:hyperlink>
    </w:p>
    <w:p>
      <w:pPr>
        <w:pStyle w:val="TextBody"/>
        <w:bidi w:val="0"/>
        <w:spacing w:lineRule="auto" w:line="288" w:before="180" w:after="283"/>
        <w:ind w:left="0" w:right="0" w:hanging="1440"/>
        <w:jc w:val="both"/>
        <w:rPr>
          <w:rFonts w:ascii="Times New Roman;serif" w:hAnsi="Times New Roman;serif"/>
          <w:b w:val="false"/>
          <w:color w:val="000000"/>
          <w:sz w:val="20"/>
        </w:rPr>
      </w:pPr>
      <w:r>
        <w:rPr>
          <w:rFonts w:ascii="Times New Roman;serif" w:hAnsi="Times New Roman;serif"/>
          <w:b w:val="false"/>
          <w:color w:val="000000"/>
          <w:sz w:val="20"/>
        </w:rPr>
        <w:t>101.INS**    The instance document does not appear in the interactive data file because its XBRL tags are embedded within the inline XBRL document</w:t>
      </w:r>
    </w:p>
    <w:p>
      <w:pPr>
        <w:pStyle w:val="TextBody"/>
        <w:bidi w:val="0"/>
        <w:spacing w:lineRule="auto" w:line="288" w:before="180" w:after="283"/>
        <w:ind w:left="0" w:right="0" w:hanging="1440"/>
        <w:jc w:val="both"/>
        <w:rPr>
          <w:rFonts w:ascii="Times New Roman;serif" w:hAnsi="Times New Roman;serif"/>
          <w:b w:val="false"/>
          <w:color w:val="000000"/>
          <w:sz w:val="20"/>
        </w:rPr>
      </w:pPr>
      <w:r>
        <w:rPr>
          <w:rFonts w:ascii="Times New Roman;serif" w:hAnsi="Times New Roman;serif"/>
          <w:b w:val="false"/>
          <w:color w:val="000000"/>
          <w:sz w:val="20"/>
        </w:rPr>
        <w:t>101.SCH**    XBRL Taxonomy Extension Schema Document</w:t>
      </w:r>
    </w:p>
    <w:p>
      <w:pPr>
        <w:pStyle w:val="TextBody"/>
        <w:bidi w:val="0"/>
        <w:spacing w:lineRule="auto" w:line="288" w:before="180" w:after="283"/>
        <w:ind w:left="0" w:right="0" w:hanging="1440"/>
        <w:jc w:val="both"/>
        <w:rPr>
          <w:rFonts w:ascii="Times New Roman;serif" w:hAnsi="Times New Roman;serif"/>
          <w:b w:val="false"/>
          <w:color w:val="000000"/>
          <w:sz w:val="20"/>
        </w:rPr>
      </w:pPr>
      <w:r>
        <w:rPr>
          <w:rFonts w:ascii="Times New Roman;serif" w:hAnsi="Times New Roman;serif"/>
          <w:b w:val="false"/>
          <w:color w:val="000000"/>
          <w:sz w:val="20"/>
        </w:rPr>
        <w:t>101.CAL**    XBRL Taxonomy Extension Calculation Linkbase Document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1440"/>
        <w:jc w:val="both"/>
        <w:rPr>
          <w:rFonts w:ascii="Times New Roman;serif" w:hAnsi="Times New Roman;serif"/>
          <w:b w:val="false"/>
          <w:color w:val="000000"/>
          <w:sz w:val="20"/>
        </w:rPr>
      </w:pPr>
      <w:r>
        <w:rPr>
          <w:rFonts w:ascii="Times New Roman;serif" w:hAnsi="Times New Roman;serif"/>
          <w:b w:val="false"/>
          <w:color w:val="000000"/>
          <w:sz w:val="20"/>
        </w:rPr>
        <w:t>101.LAB**    XBRL Taxonomy Extension Labels Linkbase Document</w:t>
      </w:r>
    </w:p>
    <w:p>
      <w:pPr>
        <w:pStyle w:val="TextBody"/>
        <w:bidi w:val="0"/>
        <w:spacing w:lineRule="auto" w:line="288" w:before="180" w:after="283"/>
        <w:ind w:left="0" w:right="0" w:hanging="1440"/>
        <w:jc w:val="both"/>
        <w:rPr>
          <w:rFonts w:ascii="Times New Roman;serif" w:hAnsi="Times New Roman;serif"/>
          <w:b w:val="false"/>
          <w:color w:val="000000"/>
          <w:sz w:val="20"/>
        </w:rPr>
      </w:pPr>
      <w:r>
        <w:rPr>
          <w:rFonts w:ascii="Times New Roman;serif" w:hAnsi="Times New Roman;serif"/>
          <w:b w:val="false"/>
          <w:color w:val="000000"/>
          <w:sz w:val="20"/>
        </w:rPr>
        <w:t>101.PRE**    XBRL Taxonomy Extension Presentation Linkbase Document</w:t>
      </w:r>
    </w:p>
    <w:p>
      <w:pPr>
        <w:pStyle w:val="TextBody"/>
        <w:bidi w:val="0"/>
        <w:spacing w:lineRule="auto" w:line="288" w:before="180" w:after="283"/>
        <w:ind w:left="0" w:right="0" w:hanging="1440"/>
        <w:jc w:val="both"/>
        <w:rPr>
          <w:rFonts w:ascii="Times New Roman;serif" w:hAnsi="Times New Roman;serif"/>
          <w:b w:val="false"/>
          <w:color w:val="000000"/>
          <w:sz w:val="20"/>
        </w:rPr>
      </w:pPr>
      <w:r>
        <w:rPr>
          <w:rFonts w:ascii="Times New Roman;serif" w:hAnsi="Times New Roman;serif"/>
          <w:b w:val="false"/>
          <w:color w:val="000000"/>
          <w:sz w:val="20"/>
        </w:rPr>
        <w:t>101.DEF**    XBRL Taxonomy Extension Definition Linkbase Document</w:t>
      </w:r>
    </w:p>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Previously filed</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This exhibit is being furnished rather than filed, and shall not be deemed incorporated by reference into any filing, in accordance with Item 601 of Regulation S-K</w:t>
      </w:r>
    </w:p>
    <w:p>
      <w:pPr>
        <w:pStyle w:val="TextBody"/>
        <w:bidi w:val="0"/>
        <w:spacing w:lineRule="auto" w:line="288" w:before="0" w:after="0"/>
        <w:ind w:left="0" w:right="0" w:hanging="720"/>
        <w:jc w:val="left"/>
        <w:rPr>
          <w:color w:val="000000"/>
        </w:rPr>
      </w:pPr>
      <w:r>
        <w:rPr>
          <w:color w:val="000000"/>
        </w:rPr>
        <w:t>†    </w:t>
      </w:r>
      <w:r>
        <w:rPr>
          <w:rFonts w:ascii="Times New Roman;serif" w:hAnsi="Times New Roman;serif"/>
          <w:b w:val="false"/>
          <w:color w:val="000000"/>
          <w:sz w:val="20"/>
        </w:rPr>
        <w:t>Management contract or compensatory plan or arrangement</w:t>
      </w:r>
    </w:p>
    <w:p>
      <w:pPr>
        <w:pStyle w:val="TextBody"/>
        <w:bidi w:val="0"/>
        <w:spacing w:lineRule="auto" w:line="288" w:before="12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(b)    Exhibits </w:t>
      </w:r>
    </w:p>
    <w:p>
      <w:pPr>
        <w:pStyle w:val="TextBody"/>
        <w:bidi w:val="0"/>
        <w:spacing w:lineRule="auto" w:line="288" w:before="0" w:after="0"/>
        <w:ind w:left="0" w:right="0" w:hanging="450"/>
        <w:jc w:val="both"/>
        <w:rPr>
          <w:color w:val="000000"/>
        </w:rPr>
      </w:pPr>
      <w:r>
        <w:rPr>
          <w:color w:val="000000"/>
        </w:rPr>
        <w:t>        </w:t>
      </w:r>
      <w:r>
        <w:rPr>
          <w:rFonts w:ascii="Times New Roman;serif" w:hAnsi="Times New Roman;serif"/>
          <w:b w:val="false"/>
          <w:color w:val="000000"/>
          <w:sz w:val="20"/>
        </w:rPr>
        <w:t xml:space="preserve">See the exhibits filed herewith. </w:t>
      </w:r>
    </w:p>
    <w:p>
      <w:pPr>
        <w:pStyle w:val="TextBody"/>
        <w:bidi w:val="0"/>
        <w:spacing w:lineRule="auto" w:line="288" w:before="12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(c)    Additional financial statement schedules </w:t>
      </w:r>
    </w:p>
    <w:p>
      <w:pPr>
        <w:pStyle w:val="TextBody"/>
        <w:bidi w:val="0"/>
        <w:spacing w:lineRule="auto" w:line="288" w:before="0" w:after="0"/>
        <w:ind w:left="0" w:right="0" w:hanging="450"/>
        <w:jc w:val="both"/>
        <w:rPr>
          <w:color w:val="000000"/>
        </w:rPr>
      </w:pPr>
      <w:r>
        <w:rPr>
          <w:color w:val="000000"/>
        </w:rPr>
        <w:t>     </w:t>
      </w:r>
      <w:r>
        <w:rPr>
          <w:rFonts w:ascii="Times New Roman;serif" w:hAnsi="Times New Roman;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Company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7712" w:type="dxa"/>
        <w:jc w:val="center"/>
        <w:tblInd w:w="0" w:type="dxa"/>
        <w:tblLayout w:type="fixed"/>
        <w:tblCellMar>
          <w:top w:w="28" w:type="dxa"/>
          <w:left w:w="28" w:type="dxa"/>
          <w:bottom w:w="28" w:type="dxa"/>
          <w:right w:w="28" w:type="dxa"/>
        </w:tblCellMar>
      </w:tblPr>
      <w:tblGrid>
        <w:gridCol w:w="200"/>
        <w:gridCol w:w="177"/>
        <w:gridCol w:w="178"/>
        <w:gridCol w:w="529"/>
        <w:gridCol w:w="529"/>
        <w:gridCol w:w="531"/>
        <w:gridCol w:w="109"/>
        <w:gridCol w:w="109"/>
        <w:gridCol w:w="109"/>
        <w:gridCol w:w="367"/>
        <w:gridCol w:w="367"/>
        <w:gridCol w:w="367"/>
        <w:gridCol w:w="1201"/>
        <w:gridCol w:w="1201"/>
        <w:gridCol w:w="173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1"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AGNC I</w:t>
            </w:r>
            <w:r>
              <w:rPr>
                <w:rFonts w:ascii="Times New Roman;serif" w:hAnsi="Times New Roman;serif"/>
                <w:b w:val="false"/>
                <w:color w:val="000000"/>
                <w:sz w:val="16"/>
              </w:rPr>
              <w:t>NVESTMENT</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6"/>
              </w:rPr>
              <w:t>ORP</w:t>
            </w:r>
            <w:r>
              <w:rPr>
                <w:rFonts w:ascii="Times New Roman;serif" w:hAnsi="Times New Roman;serif"/>
                <w:b w:val="false"/>
                <w:color w:val="000000"/>
                <w:sz w:val="20"/>
              </w:rPr>
              <w: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P</w:t>
            </w:r>
            <w:r>
              <w:rPr>
                <w:rFonts w:ascii="Times New Roman;serif" w:hAnsi="Times New Roman;serif"/>
                <w:b w:val="false"/>
                <w:color w:val="000000"/>
                <w:sz w:val="16"/>
              </w:rPr>
              <w:t>ETER</w:t>
            </w:r>
            <w:r>
              <w:rPr>
                <w:color w:val="000000"/>
              </w:rPr>
              <w:t xml:space="preserve"> </w:t>
            </w:r>
            <w:r>
              <w:rPr>
                <w:rFonts w:ascii="Times New Roman;serif" w:hAnsi="Times New Roman;serif"/>
                <w:b w:val="false"/>
                <w:color w:val="000000"/>
                <w:sz w:val="20"/>
              </w:rPr>
              <w:t>J. F</w:t>
            </w:r>
            <w:r>
              <w:rPr>
                <w:rFonts w:ascii="Times New Roman;serif" w:hAnsi="Times New Roman;serif"/>
                <w:b w:val="false"/>
                <w:color w:val="000000"/>
                <w:sz w:val="16"/>
              </w:rPr>
              <w:t>EDERICO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Peter J. Federico</w:t>
              <w:br/>
              <w:t>President, Chief Executive Officer and</w:t>
              <w:br/>
              <w:t>Chief Investment Officer, (Principal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4140"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4140"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4140"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4140"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both"/>
        <w:rPr/>
      </w:pPr>
      <w:r>
        <w:rPr>
          <w:color w:val="000000"/>
        </w:rPr>
        <w:t> </w:t>
      </w: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62"/>
        <w:gridCol w:w="143"/>
        <w:gridCol w:w="144"/>
        <w:gridCol w:w="700"/>
        <w:gridCol w:w="610"/>
        <w:gridCol w:w="617"/>
        <w:gridCol w:w="2160"/>
        <w:gridCol w:w="2138"/>
        <w:gridCol w:w="2164"/>
        <w:gridCol w:w="397"/>
        <w:gridCol w:w="397"/>
        <w:gridCol w:w="573"/>
      </w:tblGrid>
      <w:tr>
        <w:trPr/>
        <w:tc>
          <w:tcPr>
            <w:tcW w:w="16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u w:val="single"/>
              </w:rPr>
            </w:pPr>
            <w:r>
              <w:rPr>
                <w:rFonts w:ascii="Times New Roman;serif" w:hAnsi="Times New Roman;serif"/>
                <w:b/>
                <w:color w:val="000000"/>
                <w:sz w:val="14"/>
                <w:u w:val="single"/>
              </w:rPr>
              <w:t>Name</w:t>
            </w:r>
          </w:p>
        </w:tc>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u w:val="single"/>
              </w:rPr>
            </w:pPr>
            <w:r>
              <w:rPr>
                <w:rFonts w:ascii="Times New Roman;serif" w:hAnsi="Times New Roman;serif"/>
                <w:b/>
                <w:color w:val="000000"/>
                <w:sz w:val="14"/>
                <w:u w:val="single"/>
              </w:rPr>
              <w:t>Title</w:t>
            </w:r>
          </w:p>
        </w:tc>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u w:val="single"/>
              </w:rPr>
            </w:pPr>
            <w:r>
              <w:rPr>
                <w:rFonts w:ascii="Times New Roman;serif" w:hAnsi="Times New Roman;serif"/>
                <w:b/>
                <w:color w:val="000000"/>
                <w:sz w:val="14"/>
                <w:u w:val="single"/>
              </w:rPr>
              <w:t>Date</w:t>
            </w:r>
          </w:p>
        </w:tc>
      </w:tr>
      <w:tr>
        <w:trPr/>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P</w:t>
            </w:r>
            <w:r>
              <w:rPr>
                <w:rFonts w:ascii="Times New Roman;serif" w:hAnsi="Times New Roman;serif"/>
                <w:b w:val="false"/>
                <w:color w:val="000000"/>
                <w:sz w:val="16"/>
              </w:rPr>
              <w:t>ETER</w:t>
            </w:r>
            <w:r>
              <w:rPr>
                <w:color w:val="000000"/>
              </w:rPr>
              <w:t xml:space="preserve"> </w:t>
            </w:r>
            <w:r>
              <w:rPr>
                <w:rFonts w:ascii="Times New Roman;serif" w:hAnsi="Times New Roman;serif"/>
                <w:b w:val="false"/>
                <w:color w:val="000000"/>
                <w:sz w:val="20"/>
              </w:rPr>
              <w:t>J. F</w:t>
            </w:r>
            <w:r>
              <w:rPr>
                <w:rFonts w:ascii="Times New Roman;serif" w:hAnsi="Times New Roman;serif"/>
                <w:b w:val="false"/>
                <w:color w:val="000000"/>
                <w:sz w:val="16"/>
              </w:rPr>
              <w:t>EDERICO</w:t>
            </w:r>
          </w:p>
        </w:tc>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President, Chief Executive Officer and Chief Investment Officer (Principal Executive Officer)</w:t>
            </w:r>
          </w:p>
        </w:tc>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23, 2026</w:t>
            </w:r>
          </w:p>
        </w:tc>
      </w:tr>
      <w:tr>
        <w:trPr/>
        <w:tc>
          <w:tcPr>
            <w:tcW w:w="4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5"/>
              <w:jc w:val="center"/>
              <w:rPr>
                <w:rFonts w:ascii="Times New Roman;serif" w:hAnsi="Times New Roman;serif"/>
                <w:b/>
                <w:color w:val="000000"/>
                <w:sz w:val="14"/>
              </w:rPr>
            </w:pPr>
            <w:r>
              <w:rPr>
                <w:rFonts w:ascii="Times New Roman;serif" w:hAnsi="Times New Roman;serif"/>
                <w:b/>
                <w:color w:val="000000"/>
                <w:sz w:val="14"/>
              </w:rPr>
              <w:t>Peter J. Federico</w:t>
            </w:r>
          </w:p>
        </w:tc>
        <w:tc>
          <w:tcPr>
            <w:tcW w:w="6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 xml:space="preserve">/s/ </w:t>
            </w:r>
            <w:r>
              <w:rPr>
                <w:rFonts w:ascii="Times New Roman;serif" w:hAnsi="Times New Roman;serif"/>
                <w:b w:val="false"/>
                <w:color w:val="000000"/>
                <w:sz w:val="20"/>
              </w:rPr>
              <w:t>B</w:t>
            </w:r>
            <w:r>
              <w:rPr>
                <w:rFonts w:ascii="Times New Roman;serif" w:hAnsi="Times New Roman;serif"/>
                <w:b w:val="false"/>
                <w:color w:val="000000"/>
                <w:sz w:val="16"/>
              </w:rPr>
              <w:t>ERNICE</w:t>
            </w:r>
            <w:r>
              <w:rPr>
                <w:color w:val="000000"/>
              </w:rPr>
              <w:t xml:space="preserve"> </w:t>
            </w:r>
            <w:r>
              <w:rPr>
                <w:rFonts w:ascii="Times New Roman;serif" w:hAnsi="Times New Roman;serif"/>
                <w:b w:val="false"/>
                <w:color w:val="000000"/>
                <w:sz w:val="20"/>
              </w:rPr>
              <w:t>E. B</w:t>
            </w:r>
            <w:r>
              <w:rPr>
                <w:rFonts w:ascii="Times New Roman;serif" w:hAnsi="Times New Roman;serif"/>
                <w:b w:val="false"/>
                <w:color w:val="000000"/>
                <w:sz w:val="16"/>
              </w:rPr>
              <w:t>ELL</w:t>
            </w:r>
          </w:p>
        </w:tc>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 (Principal Financial Officer and Principal Accounting Officer)</w:t>
            </w:r>
          </w:p>
        </w:tc>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23, 2026</w:t>
            </w:r>
          </w:p>
        </w:tc>
      </w:tr>
      <w:tr>
        <w:trPr/>
        <w:tc>
          <w:tcPr>
            <w:tcW w:w="4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Bernice E. Bell</w:t>
            </w:r>
          </w:p>
        </w:tc>
        <w:tc>
          <w:tcPr>
            <w:tcW w:w="6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G</w:t>
            </w:r>
            <w:r>
              <w:rPr>
                <w:rFonts w:ascii="Times New Roman;serif" w:hAnsi="Times New Roman;serif"/>
                <w:b w:val="false"/>
                <w:color w:val="000000"/>
                <w:sz w:val="16"/>
              </w:rPr>
              <w:t xml:space="preserve">ARY </w:t>
            </w:r>
            <w:r>
              <w:rPr>
                <w:rFonts w:ascii="Times New Roman;serif" w:hAnsi="Times New Roman;serif"/>
                <w:b w:val="false"/>
                <w:color w:val="000000"/>
                <w:sz w:val="20"/>
              </w:rPr>
              <w:t>D. K</w:t>
            </w:r>
            <w:r>
              <w:rPr>
                <w:rFonts w:ascii="Times New Roman;serif" w:hAnsi="Times New Roman;serif"/>
                <w:b w:val="false"/>
                <w:color w:val="000000"/>
                <w:sz w:val="16"/>
              </w:rPr>
              <w:t>AIN</w:t>
            </w:r>
          </w:p>
        </w:tc>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Executive Chair</w:t>
            </w:r>
          </w:p>
        </w:tc>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23, 2026</w:t>
            </w:r>
          </w:p>
        </w:tc>
      </w:tr>
      <w:tr>
        <w:trPr/>
        <w:tc>
          <w:tcPr>
            <w:tcW w:w="4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5"/>
              <w:jc w:val="center"/>
              <w:rPr>
                <w:rFonts w:ascii="Times New Roman;serif" w:hAnsi="Times New Roman;serif"/>
                <w:b/>
                <w:color w:val="000000"/>
                <w:sz w:val="14"/>
              </w:rPr>
            </w:pPr>
            <w:r>
              <w:rPr>
                <w:rFonts w:ascii="Times New Roman;serif" w:hAnsi="Times New Roman;serif"/>
                <w:b/>
                <w:color w:val="000000"/>
                <w:sz w:val="14"/>
              </w:rPr>
              <w:t>Gary D. Kain</w:t>
            </w:r>
          </w:p>
        </w:tc>
        <w:tc>
          <w:tcPr>
            <w:tcW w:w="6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23, 2026</w:t>
            </w:r>
          </w:p>
        </w:tc>
      </w:tr>
      <w:tr>
        <w:trPr/>
        <w:tc>
          <w:tcPr>
            <w:tcW w:w="4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5"/>
              <w:jc w:val="center"/>
              <w:rPr>
                <w:rFonts w:ascii="Times New Roman;serif" w:hAnsi="Times New Roman;serif"/>
                <w:b/>
                <w:color w:val="000000"/>
                <w:sz w:val="14"/>
              </w:rPr>
            </w:pPr>
            <w:r>
              <w:rPr>
                <w:rFonts w:ascii="Times New Roman;serif" w:hAnsi="Times New Roman;serif"/>
                <w:b/>
                <w:color w:val="000000"/>
                <w:sz w:val="14"/>
              </w:rPr>
              <w:t>Donna J. Blank</w:t>
            </w:r>
          </w:p>
        </w:tc>
        <w:tc>
          <w:tcPr>
            <w:tcW w:w="6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23, 2026</w:t>
            </w:r>
          </w:p>
        </w:tc>
      </w:tr>
      <w:tr>
        <w:trPr/>
        <w:tc>
          <w:tcPr>
            <w:tcW w:w="4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Morris A. Davis</w:t>
            </w:r>
          </w:p>
        </w:tc>
        <w:tc>
          <w:tcPr>
            <w:tcW w:w="6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23, 2026</w:t>
            </w:r>
          </w:p>
        </w:tc>
      </w:tr>
      <w:tr>
        <w:trPr/>
        <w:tc>
          <w:tcPr>
            <w:tcW w:w="4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5"/>
              <w:jc w:val="center"/>
              <w:rPr>
                <w:rFonts w:ascii="Times New Roman;serif" w:hAnsi="Times New Roman;serif"/>
                <w:b/>
                <w:color w:val="000000"/>
                <w:sz w:val="14"/>
              </w:rPr>
            </w:pPr>
            <w:r>
              <w:rPr>
                <w:rFonts w:ascii="Times New Roman;serif" w:hAnsi="Times New Roman;serif"/>
                <w:b/>
                <w:color w:val="000000"/>
                <w:sz w:val="14"/>
              </w:rPr>
              <w:t>John D. Fisk</w:t>
            </w:r>
          </w:p>
        </w:tc>
        <w:tc>
          <w:tcPr>
            <w:tcW w:w="6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23, 2026</w:t>
            </w:r>
          </w:p>
        </w:tc>
      </w:tr>
      <w:tr>
        <w:trPr/>
        <w:tc>
          <w:tcPr>
            <w:tcW w:w="4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Christine L. Hurtsellers</w:t>
            </w:r>
          </w:p>
        </w:tc>
        <w:tc>
          <w:tcPr>
            <w:tcW w:w="6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23, 2026</w:t>
            </w:r>
          </w:p>
        </w:tc>
      </w:tr>
      <w:tr>
        <w:trPr/>
        <w:tc>
          <w:tcPr>
            <w:tcW w:w="4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Andrew A. Johnson, Jr.</w:t>
            </w:r>
          </w:p>
        </w:tc>
        <w:tc>
          <w:tcPr>
            <w:tcW w:w="6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23, 2026</w:t>
            </w:r>
          </w:p>
        </w:tc>
      </w:tr>
      <w:tr>
        <w:trPr/>
        <w:tc>
          <w:tcPr>
            <w:tcW w:w="4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5"/>
              <w:jc w:val="center"/>
              <w:rPr>
                <w:rFonts w:ascii="Times New Roman;serif" w:hAnsi="Times New Roman;serif"/>
                <w:b/>
                <w:color w:val="000000"/>
                <w:sz w:val="14"/>
              </w:rPr>
            </w:pPr>
            <w:r>
              <w:rPr>
                <w:rFonts w:ascii="Times New Roman;serif" w:hAnsi="Times New Roman;serif"/>
                <w:b/>
                <w:color w:val="000000"/>
                <w:sz w:val="14"/>
              </w:rPr>
              <w:t>Prue B. Larocca</w:t>
            </w:r>
          </w:p>
        </w:tc>
        <w:tc>
          <w:tcPr>
            <w:tcW w:w="6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23, 2026</w:t>
            </w:r>
          </w:p>
        </w:tc>
      </w:tr>
      <w:tr>
        <w:trPr/>
        <w:tc>
          <w:tcPr>
            <w:tcW w:w="4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5"/>
              <w:jc w:val="center"/>
              <w:rPr>
                <w:rFonts w:ascii="Times New Roman;serif" w:hAnsi="Times New Roman;serif"/>
                <w:b/>
                <w:color w:val="000000"/>
                <w:sz w:val="14"/>
              </w:rPr>
            </w:pPr>
            <w:r>
              <w:rPr>
                <w:rFonts w:ascii="Times New Roman;serif" w:hAnsi="Times New Roman;serif"/>
                <w:b/>
                <w:color w:val="000000"/>
                <w:sz w:val="14"/>
              </w:rPr>
              <w:t>Paul E. Mullings</w:t>
            </w:r>
          </w:p>
        </w:tc>
        <w:tc>
          <w:tcPr>
            <w:tcW w:w="6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23, 2026</w:t>
            </w:r>
          </w:p>
        </w:tc>
      </w:tr>
      <w:tr>
        <w:trPr/>
        <w:tc>
          <w:tcPr>
            <w:tcW w:w="4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5"/>
              <w:jc w:val="center"/>
              <w:rPr>
                <w:rFonts w:ascii="Times New Roman;serif" w:hAnsi="Times New Roman;serif"/>
                <w:b/>
                <w:color w:val="000000"/>
                <w:sz w:val="14"/>
              </w:rPr>
            </w:pPr>
            <w:r>
              <w:rPr>
                <w:rFonts w:ascii="Times New Roman;serif" w:hAnsi="Times New Roman;serif"/>
                <w:b/>
                <w:color w:val="000000"/>
                <w:sz w:val="14"/>
              </w:rPr>
              <w:t>Frances R. Spark</w:t>
            </w:r>
          </w:p>
        </w:tc>
        <w:tc>
          <w:tcPr>
            <w:tcW w:w="6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*By:</w:t>
            </w:r>
          </w:p>
        </w:tc>
        <w:tc>
          <w:tcPr>
            <w:tcW w:w="192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/s/    </w:t>
            </w:r>
            <w:r>
              <w:rPr>
                <w:rFonts w:ascii="Times New Roman;serif" w:hAnsi="Times New Roman;serif"/>
                <w:b w:val="false"/>
                <w:color w:val="000000"/>
                <w:sz w:val="20"/>
              </w:rPr>
              <w:t>K</w:t>
            </w:r>
            <w:r>
              <w:rPr>
                <w:rFonts w:ascii="Times New Roman;serif" w:hAnsi="Times New Roman;serif"/>
                <w:b w:val="false"/>
                <w:color w:val="000000"/>
                <w:sz w:val="16"/>
              </w:rPr>
              <w:t>ENNETH</w:t>
            </w:r>
            <w:r>
              <w:rPr>
                <w:color w:val="000000"/>
              </w:rPr>
              <w:t xml:space="preserve"> </w:t>
            </w:r>
            <w:r>
              <w:rPr>
                <w:rFonts w:ascii="Times New Roman;serif" w:hAnsi="Times New Roman;serif"/>
                <w:b w:val="false"/>
                <w:color w:val="000000"/>
                <w:sz w:val="18"/>
              </w:rPr>
              <w:t xml:space="preserve">L. </w:t>
            </w:r>
            <w:r>
              <w:rPr>
                <w:rFonts w:ascii="Times New Roman;serif" w:hAnsi="Times New Roman;serif"/>
                <w:b w:val="false"/>
                <w:color w:val="000000"/>
                <w:sz w:val="20"/>
              </w:rPr>
              <w:t>P</w:t>
            </w:r>
            <w:r>
              <w:rPr>
                <w:rFonts w:ascii="Times New Roman;serif" w:hAnsi="Times New Roman;serif"/>
                <w:b w:val="false"/>
                <w:color w:val="000000"/>
                <w:sz w:val="16"/>
              </w:rPr>
              <w:t>OLLACK</w:t>
            </w:r>
          </w:p>
        </w:tc>
        <w:tc>
          <w:tcPr>
            <w:tcW w:w="6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Kenneth L. Pollack</w:t>
            </w:r>
          </w:p>
        </w:tc>
        <w:tc>
          <w:tcPr>
            <w:tcW w:w="6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i/>
                <w:color w:val="000000"/>
                <w:sz w:val="14"/>
              </w:rPr>
              <w:t>Attorney-in-fact</w:t>
            </w:r>
          </w:p>
        </w:tc>
        <w:tc>
          <w:tcPr>
            <w:tcW w:w="6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60"/>
        <w:jc w:val="right"/>
        <w:rPr>
          <w:rFonts w:ascii="Times New Roman;serif" w:hAnsi="Times New Roman;serif"/>
          <w:b w:val="false"/>
          <w:color w:val="000000"/>
          <w:sz w:val="24"/>
        </w:rPr>
      </w:pPr>
      <w:r>
        <w:rPr>
          <w:rFonts w:ascii="Times New Roman;serif" w:hAnsi="Times New Roman;serif"/>
          <w:b w:val="false"/>
          <w:color w:val="000000"/>
          <w:sz w:val="24"/>
        </w:rPr>
        <w:t>Exhibit 4.22</w:t>
      </w:r>
    </w:p>
    <w:p>
      <w:pPr>
        <w:pStyle w:val="TextBody"/>
        <w:bidi w:val="0"/>
        <w:spacing w:before="0" w:after="60"/>
        <w:jc w:val="right"/>
        <w:rPr/>
      </w:pPr>
      <w:r>
        <w:rPr/>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DESCRIPTION OF THE REGISTRANT’S SECURITIES</w:t>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REGISTERED PURSUANT TO SECTION 12 OF THE</w:t>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SECURITIES EXCHANGE ACT OF 1934</w:t>
      </w:r>
    </w:p>
    <w:p>
      <w:pPr>
        <w:pStyle w:val="TextBody"/>
        <w:bidi w:val="0"/>
        <w:spacing w:before="0" w:after="120"/>
        <w:jc w:val="center"/>
        <w:rPr/>
      </w:pPr>
      <w:r>
        <w:rPr/>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The following description sets forth certain material terms and provisions of AGNC Investment Corp.’s securities that are registered under Section 12 of the Securities Exchange Act of 1934, as amended.</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The description below does not purport to be complete and is qualified in its entirety by reference to our Amended and Restated Certificate of Incorporation, as filed with the Secretary of State of Delaware on April 17, 2025 (the “Charter”), our Amended and Restated Bylaws (the “Bylaws”), as in effect since July 20, 2023 and each prospectus, prospectus supplement and certificate of designations which was filed with the U.S. Securities and Exchange Commission (“SEC”), as applicable, at or prior to the time of sale of the related security. If so indicated in the applicable prospectus supplement, the terms of any such security may differ from the terms set forth below. If there are differences between the prospectus supplement relating to a particular security and the applicable prospectus, the prospectus supplement controls. When used in this exhibit, the terms “AGNC,” “we,” “our” and “us” refer solely to AGNC Investment Corp. and not to its subsidiaries. We urge you to read our Charter, as amended, our Bylaws and each prospectus, prospectus supplement and certificate of designations applicable to the related security in their entirety.</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As of December 31, 2025, we had seven classes of registered securities listed on The Nasdaq Global Select Market, our common stock and 7.000% Series C Fixed-to-Floating Rate Cumulative Redeemable Preferred Stock, 6.875% Series D Fixed-to-Floating Rate Cumulative Redeemable Preferred Stock, 6.50% Series E Fixed-to-Floating Rate Cumulative Redeemable Preferred Stock, 6.125% Series F Fixed-to-Floating Rate Cumulative Redeemable Preferred Stock, 7.75% Series G Fixed-Rate Reset Cumulative Redeemable Preferred Stock, and 8.75% Series H Fixed-Rate Cumulative Redeemable Preferred Stock.</w:t>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DESCRIPTION OF EQUITY SECURITIES</w:t>
      </w: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General</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Our Charter provides that we may issue up to 2,250,000,000 shares of common stock and 10,000,000 shares of preferred stock, both having a par value of $0.01 per share. Of these shares of preferred stock, 13,800 shares have been designated as our 7.00% Series C Fixed-to-Floating Cumulative Redeemable Preferred Stock (“Series C Preferred Stock”), 10,350 shares have been designated as our 6.875% Series D Fixed-to-Floating Cumulative Redeemable Preferred Stock (“Series D Preferred Stock”), 16,100 shares have been designated as our 6.50% Series E Fixed-to-Floating Rate Cumulative Redeemable Preferred Stock (“Series E Preferred Stock”), 23,000 shares have been designated as our 6.125% Series F Fixed-to-Floating Rate Cumulative Redeemable Preferred Stock (“Series F Preferred Stock”), 6,900 shares have been designated as our 7.75% Series G Fixed-Rate Reset Cumulative Redeemable Preferred Stock (“Series G Preferred Stock”), and 13,800 shares have been designated as our 8.75% Series H Fixed-Rate Cumulative Redeemable Preferred Stock (“Series H Preferred Stock”). As of December 31, 2025, 1,107,648,350 shares of our common stock, 13,000 shares of our Series C Preferred Stock, 9,400 shares of our Series D Preferred Stock, 16,100 shares of our Series E Preferred Stock, 23,000 shares of our Series F Preferred Stock, 6,000 shares of our Series G Preferred Stock were issued and outstanding, and 13,800 shares of our Series G Preferred Stock were issued and outstanding.</w:t>
      </w: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Common Stock</w:t>
      </w:r>
    </w:p>
    <w:p>
      <w:pPr>
        <w:pStyle w:val="TextBody"/>
        <w:bidi w:val="0"/>
        <w:spacing w:lineRule="auto" w:line="288" w:before="0" w:after="120"/>
        <w:jc w:val="left"/>
        <w:rPr>
          <w:rFonts w:ascii="Times New Roman;serif" w:hAnsi="Times New Roman;serif"/>
          <w:b/>
          <w:i/>
          <w:color w:val="000000"/>
          <w:sz w:val="22"/>
        </w:rPr>
      </w:pPr>
      <w:r>
        <w:rPr>
          <w:rFonts w:ascii="Times New Roman;serif" w:hAnsi="Times New Roman;serif"/>
          <w:b/>
          <w:i/>
          <w:color w:val="000000"/>
          <w:sz w:val="22"/>
        </w:rPr>
        <w:t>Voting Rights</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 xml:space="preserve">Subject to the restrictions contained in our Charter regarding the transfer and ownership of our capital stock and except as may otherwise be specified in the terms of any class or series of common stock, our common stockholders are entitled to one vote per share. Our common stockholders are not entitled to cumulate their votes in the election of directors. Generally, all matters to be voted on by stockholders must be approved by a majority of the votes </w:t>
      </w:r>
    </w:p>
    <w:p>
      <w:pPr>
        <w:pStyle w:val="TextBody"/>
        <w:bidi w:val="0"/>
        <w:spacing w:before="0" w:after="0"/>
        <w:jc w:val="righ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entitled to be cast by all holders of our common stock present in person or represented by proxy, voting together as a single class; provided, that if the number of nominees for director exceeds the number of directors to be elected at our annual meeting, each director shall be elected by a plurality of the votes cast. Except as otherwise provided by law, amendments to our Charter must be approved by a majority or, with respect to provisions relating to the powers, numbers, classes, elections, terms and removal of our directors, the ability to fill vacancies on our Board of Directors and our election to qualify as a REIT, 66% of the combined voting power of all shares of all classes of capital stock entitled to vote generally in the election of directors, voting together as a single class.</w:t>
      </w:r>
    </w:p>
    <w:p>
      <w:pPr>
        <w:pStyle w:val="TextBody"/>
        <w:bidi w:val="0"/>
        <w:spacing w:lineRule="auto" w:line="288" w:before="0" w:after="120"/>
        <w:jc w:val="left"/>
        <w:rPr>
          <w:rFonts w:ascii="Times New Roman;serif" w:hAnsi="Times New Roman;serif"/>
          <w:b/>
          <w:i/>
          <w:color w:val="000000"/>
          <w:sz w:val="22"/>
        </w:rPr>
      </w:pPr>
      <w:r>
        <w:rPr>
          <w:rFonts w:ascii="Times New Roman;serif" w:hAnsi="Times New Roman;serif"/>
          <w:b/>
          <w:i/>
          <w:color w:val="000000"/>
          <w:sz w:val="22"/>
        </w:rPr>
        <w:t>Dividend Rights</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Subject to the restrictions contained in our Charter regarding the transfer and ownership of our capital stock, our common stockholders will share ratably (based on the number of common shares held) if and when any dividend is declared by our Board of Directors.</w:t>
      </w:r>
    </w:p>
    <w:p>
      <w:pPr>
        <w:pStyle w:val="TextBody"/>
        <w:bidi w:val="0"/>
        <w:spacing w:lineRule="auto" w:line="288" w:before="0" w:after="120"/>
        <w:jc w:val="left"/>
        <w:rPr>
          <w:rFonts w:ascii="Times New Roman;serif" w:hAnsi="Times New Roman;serif"/>
          <w:b/>
          <w:i/>
          <w:color w:val="000000"/>
          <w:sz w:val="22"/>
        </w:rPr>
      </w:pPr>
      <w:r>
        <w:rPr>
          <w:rFonts w:ascii="Times New Roman;serif" w:hAnsi="Times New Roman;serif"/>
          <w:b/>
          <w:i/>
          <w:color w:val="000000"/>
          <w:sz w:val="22"/>
        </w:rPr>
        <w:t>Liquidation Rights</w:t>
      </w:r>
    </w:p>
    <w:p>
      <w:pPr>
        <w:pStyle w:val="TextBody"/>
        <w:bidi w:val="0"/>
        <w:spacing w:lineRule="auto" w:line="268" w:before="0" w:after="120"/>
        <w:jc w:val="left"/>
        <w:rPr>
          <w:rFonts w:ascii="Times New Roman;serif" w:hAnsi="Times New Roman;serif"/>
          <w:b w:val="false"/>
          <w:color w:val="000000"/>
          <w:sz w:val="22"/>
        </w:rPr>
      </w:pPr>
      <w:r>
        <w:rPr>
          <w:rFonts w:ascii="Times New Roman;serif" w:hAnsi="Times New Roman;serif"/>
          <w:b w:val="false"/>
          <w:color w:val="000000"/>
          <w:sz w:val="22"/>
        </w:rPr>
        <w:t>On our liquidation, dissolution or winding up, each of our common stockholders will be entitled to a pro rata dividend of any assets available for distribution to common stockholders.</w:t>
      </w:r>
    </w:p>
    <w:p>
      <w:pPr>
        <w:pStyle w:val="TextBody"/>
        <w:bidi w:val="0"/>
        <w:spacing w:lineRule="auto" w:line="288" w:before="0" w:after="120"/>
        <w:jc w:val="left"/>
        <w:rPr>
          <w:rFonts w:ascii="Times New Roman;serif" w:hAnsi="Times New Roman;serif"/>
          <w:b/>
          <w:i/>
          <w:color w:val="000000"/>
          <w:sz w:val="22"/>
        </w:rPr>
      </w:pPr>
      <w:r>
        <w:rPr>
          <w:rFonts w:ascii="Times New Roman;serif" w:hAnsi="Times New Roman;serif"/>
          <w:b/>
          <w:i/>
          <w:color w:val="000000"/>
          <w:sz w:val="22"/>
        </w:rPr>
        <w:t>Other Matters</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 xml:space="preserve">In the event of our merger or consolidation with or into another company in connection with which shares of common stock are converted into or exchangeable for shares of stock, other securities or property (including cash), all of our common stockholders will be entitled to receive the same kind and amount of shares of stock and other securities and property (including cash). </w:t>
      </w: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Preferred Stock</w:t>
      </w:r>
    </w:p>
    <w:p>
      <w:pPr>
        <w:pStyle w:val="TextBody"/>
        <w:bidi w:val="0"/>
        <w:spacing w:lineRule="auto" w:line="288" w:before="0" w:after="120"/>
        <w:jc w:val="left"/>
        <w:rPr>
          <w:rFonts w:ascii="Times New Roman;serif" w:hAnsi="Times New Roman;serif"/>
          <w:b/>
          <w:i/>
          <w:color w:val="000000"/>
          <w:sz w:val="22"/>
        </w:rPr>
      </w:pPr>
      <w:r>
        <w:rPr>
          <w:rFonts w:ascii="Times New Roman;serif" w:hAnsi="Times New Roman;serif"/>
          <w:b/>
          <w:i/>
          <w:color w:val="000000"/>
          <w:sz w:val="22"/>
        </w:rPr>
        <w:t>Description of Series C Preferred Stock Underlying Our Depositary Shares</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On August 17, 2017, we filed a certificate of designations (the “Series C Certificate of Designations”) with the Secretary of State of the State of Delaware to designate 13,800 shares of our Series C Preferred Stock with the powers, designations, preferences and other rights set forth in the Series C Certificate of Designations. The Series C Certificate of Designations became effective upon filing on August 17, 2017. On August 22, 2017, we issued 13,000 shares of the Series C Preferred Stock, which shares were deposited with Computershare Inc. and Computershare Trust Company, N.A., jointly as depositary, against which depositary receipts evidencing 13,000,000 depositary shares were issued, all of which remain outstanding as of December 31, 2025. Each depositary share represents 1/1,000th of a share of Series C Preferred Stock. The depositary shares underlying the Series C Preferred Stock are listed on the Nasdaq Global Select Market under the symbol “AGNCN.”</w:t>
      </w:r>
    </w:p>
    <w:p>
      <w:pPr>
        <w:pStyle w:val="TextBody"/>
        <w:bidi w:val="0"/>
        <w:spacing w:lineRule="auto" w:line="288" w:before="0" w:after="120"/>
        <w:jc w:val="left"/>
        <w:rPr/>
      </w:pPr>
      <w:r>
        <w:rPr>
          <w:rFonts w:ascii="Times New Roman;serif" w:hAnsi="Times New Roman;serif"/>
          <w:b w:val="false"/>
          <w:i/>
          <w:color w:val="000000"/>
          <w:sz w:val="22"/>
        </w:rPr>
        <w:t>Ranking</w:t>
      </w:r>
      <w:r>
        <w:rPr>
          <w:rFonts w:ascii="Times New Roman;serif" w:hAnsi="Times New Roman;serif"/>
          <w:b w:val="false"/>
          <w:color w:val="000000"/>
          <w:sz w:val="22"/>
        </w:rPr>
        <w:t>. The Series C Preferred Stock ranks, with respect to rights to the payment of dividends and the distribution of assets upon our liquidation, dissolution or winding up, (1) senior to all classes or series of our common stock and to all other equity securities issued by us other than equity securities referred to in clauses (2) and (3); (2) on a parity with all equity securities issued by us with terms specifically providing that those equity securities rank on a parity with the Series C Preferred Stock with respect to rights to the payment of dividends and the distribution of assets upon our liquidation, dissolution or winding up; (3) junior to all equity securities issued by us with terms specifically providing that those equity securities rank senior to the Series C Preferred Stock with respect to rights to the payment of dividends and the distribution of assets upon our liquidation, dissolution or winding up; and (4) effectively junior to all of our existing and future indebtedness (including indebtedness convertible to our common stock or preferred stock) and to the indebtedness of our existing subsidiary and any future subsidiaries.</w:t>
      </w:r>
    </w:p>
    <w:p>
      <w:pPr>
        <w:pStyle w:val="TextBody"/>
        <w:bidi w:val="0"/>
        <w:spacing w:lineRule="auto" w:line="288" w:before="0" w:after="120"/>
        <w:jc w:val="left"/>
        <w:rPr/>
      </w:pPr>
      <w:r>
        <w:rPr>
          <w:rFonts w:ascii="Times New Roman;serif" w:hAnsi="Times New Roman;serif"/>
          <w:b w:val="false"/>
          <w:i/>
          <w:color w:val="000000"/>
          <w:sz w:val="22"/>
        </w:rPr>
        <w:t>Distributions</w:t>
      </w:r>
      <w:r>
        <w:rPr>
          <w:rFonts w:ascii="Times New Roman;serif" w:hAnsi="Times New Roman;serif"/>
          <w:b w:val="false"/>
          <w:color w:val="000000"/>
          <w:sz w:val="22"/>
        </w:rPr>
        <w:t xml:space="preserve">. Holders of shares of the Series C Preferred Stock are entitled to receive, when, as and if declared by our Board of Directors, out of funds legally available for the payment of dividends, cumulative cash dividends. The initial dividend rate for the Series C Preferred Stock from and including the date of original issuance to, but not including, October 15, 2022 (the “Fixed Rate Period”) was at the rate of 7.00% of the $25,000 liquidation preference per share of Series C Preferred Stock per annum (equivalent to $1,750 per annum per share of Series C Preferred Stock or $1.75 per annum per depositary share). On and after October 15, 2022 (the “Floating Rate Period”) to, but not including, July 15, 2023 dividends on the Series C Preferred Stock accumulated at a percentage of the $25,000 liquidation preference per share of Series C Preferred Stock equal to an annual floating rate of the </w:t>
      </w:r>
    </w:p>
    <w:p>
      <w:pPr>
        <w:pStyle w:val="TextBody"/>
        <w:bidi w:val="0"/>
        <w:spacing w:before="0" w:after="0"/>
        <w:jc w:val="righ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w:t>
                      </w:r>
                    </w:p>
                  </w:txbxContent>
                </v:textbox>
                <w10:wrap type="none"/>
              </v:rect>
            </w:pict>
          </mc:Fallback>
        </mc:AlternateContent>
      </w:r>
    </w:p>
    <w:p>
      <w:pPr>
        <w:pStyle w:val="TextBody"/>
        <w:bidi w:val="0"/>
        <w:spacing w:lineRule="auto" w:line="288" w:before="0" w:after="120"/>
        <w:jc w:val="left"/>
        <w:rPr/>
      </w:pPr>
      <w:r>
        <w:rPr>
          <w:rFonts w:ascii="Times New Roman;serif" w:hAnsi="Times New Roman;serif"/>
          <w:b w:val="false"/>
          <w:color w:val="000000"/>
          <w:sz w:val="22"/>
        </w:rPr>
        <w:t>Three-Month LIBOR Rate plus a spread of 5.111%. As a result of the termination of publication of the Three-Month LIBOR Rate, on and after July 15, 2023, dividends on the Series C Preferred Stock began accumulating at a percentage of the $25,000 liquidation preference per share of Series C Preferred Stock equal to Three-Month CME Term SOFR plus 0.26161% plus a spread of 5.111%. Dividends on the Series C Preferred Stock accumulate daily and are cumulative from, and including, the date of original issue (August 22, 2017) and are payable quarterly in arrears on the 15</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2"/>
        </w:rPr>
        <w:t>day of each January, April, July and October; provided that if any dividend payment date is not a business day, then the dividend which would otherwise have been payable on that dividend payment date may be paid on the next succeeding business day. Dividends accumulate and are cumulative from, and including, the date of original issuance. Dividends payable for any dividend period during the Fixed Rate Period will be calculated on the basis of a 360-day year consisting of twelve 30-day months, and dividends payable for any dividend period during the Floating Rate Period will be calculated on the basis of a 360-day year and the number of days actually elapsed. Dividends will be payable to holders of record as they appear in our stock records for the Series C Preferred Stock at the close of business on the applicable record date, which shall be the first day of the calendar month, in which the applicable dividend payment date falls.</w:t>
      </w:r>
    </w:p>
    <w:p>
      <w:pPr>
        <w:pStyle w:val="TextBody"/>
        <w:bidi w:val="0"/>
        <w:spacing w:lineRule="auto" w:line="288" w:before="0" w:after="120"/>
        <w:jc w:val="left"/>
        <w:rPr/>
      </w:pPr>
      <w:r>
        <w:rPr>
          <w:rFonts w:ascii="Times New Roman;serif" w:hAnsi="Times New Roman;serif"/>
          <w:b w:val="false"/>
          <w:i/>
          <w:color w:val="000000"/>
          <w:sz w:val="22"/>
        </w:rPr>
        <w:t>Liquidation Preference</w:t>
      </w:r>
      <w:r>
        <w:rPr>
          <w:rFonts w:ascii="Times New Roman;serif" w:hAnsi="Times New Roman;serif"/>
          <w:b w:val="false"/>
          <w:color w:val="000000"/>
          <w:sz w:val="22"/>
        </w:rPr>
        <w:t>. In the event of our voluntary or involuntary liquidation, dissolution or winding up, holders of the Series C Preferred Stock will be entitled to be paid out of the assets we have legally available for distribution to our stockholders, subject to the preferential rights of the holders of any class or series of our capital stock we may issue ranking senior to the Series C Preferred Stock with respect to the distribution of assets upon liquidation, dissolution or winding up, a liquidation preference of $25,000 per share ($25.00 per depositary share), plus an amount equal to any accumulated and unpaid dividends to, but not including, the date of payment, before any distribution of assets is made to holders of our common stock or any other class or series of our stock that we may issue that ranks junior to the Series C Preferred Stock as to liquidation rights.</w:t>
      </w:r>
    </w:p>
    <w:p>
      <w:pPr>
        <w:pStyle w:val="TextBody"/>
        <w:bidi w:val="0"/>
        <w:spacing w:lineRule="auto" w:line="288" w:before="0" w:after="120"/>
        <w:jc w:val="left"/>
        <w:rPr/>
      </w:pPr>
      <w:r>
        <w:rPr>
          <w:rFonts w:ascii="Times New Roman;serif" w:hAnsi="Times New Roman;serif"/>
          <w:b w:val="false"/>
          <w:i/>
          <w:color w:val="000000"/>
          <w:sz w:val="22"/>
        </w:rPr>
        <w:t>Redemption</w:t>
      </w:r>
      <w:r>
        <w:rPr>
          <w:rFonts w:ascii="Times New Roman;serif" w:hAnsi="Times New Roman;serif"/>
          <w:b w:val="false"/>
          <w:color w:val="000000"/>
          <w:sz w:val="22"/>
        </w:rPr>
        <w:t>. The Series C Preferred Stock became redeemable on October 15, 2022. We may, at our option, redeem any or all of the shares of the Series C Preferred Stock at $25,000 per share ($25.00 per depositary share) plus any accumulated and unpaid dividends to, but not including, the redemption date. In addition, upon the occurrence of a Change of Control (as defined in the Series C Certificate of Designations), we may, at our option, redeem any or all of the shares of Series C Preferred Stock within 120 days after the first date on which such Change of Control occurred at $25,000 per share ($25.00 per depositary share) plus any accumulated and unpaid dividends to, but not including, the redemption date.</w:t>
      </w:r>
    </w:p>
    <w:p>
      <w:pPr>
        <w:pStyle w:val="TextBody"/>
        <w:bidi w:val="0"/>
        <w:spacing w:lineRule="auto" w:line="288" w:before="0" w:after="120"/>
        <w:jc w:val="left"/>
        <w:rPr/>
      </w:pPr>
      <w:r>
        <w:rPr>
          <w:rFonts w:ascii="Times New Roman;serif" w:hAnsi="Times New Roman;serif"/>
          <w:b w:val="false"/>
          <w:i/>
          <w:color w:val="000000"/>
          <w:sz w:val="22"/>
        </w:rPr>
        <w:t>Maturity</w:t>
      </w:r>
      <w:r>
        <w:rPr>
          <w:rFonts w:ascii="Times New Roman;serif" w:hAnsi="Times New Roman;serif"/>
          <w:b w:val="false"/>
          <w:color w:val="000000"/>
          <w:sz w:val="22"/>
        </w:rPr>
        <w:t>. The Series C Preferred Stock has no stated maturity, is not subject to any sinking fund or mandatory redemption and will remain outstanding indefinitely unless repurchased or redeemed by us or converted into our common stock in connection with a Change of Control by the holders of Series C Preferred Stock.</w:t>
      </w:r>
    </w:p>
    <w:p>
      <w:pPr>
        <w:pStyle w:val="TextBody"/>
        <w:bidi w:val="0"/>
        <w:spacing w:lineRule="auto" w:line="288" w:before="0" w:after="120"/>
        <w:jc w:val="left"/>
        <w:rPr/>
      </w:pPr>
      <w:r>
        <w:rPr>
          <w:rFonts w:ascii="Times New Roman;serif" w:hAnsi="Times New Roman;serif"/>
          <w:b w:val="false"/>
          <w:i/>
          <w:color w:val="000000"/>
          <w:sz w:val="22"/>
        </w:rPr>
        <w:t>Voting Rights</w:t>
      </w:r>
      <w:r>
        <w:rPr>
          <w:rFonts w:ascii="Times New Roman;serif" w:hAnsi="Times New Roman;serif"/>
          <w:b w:val="false"/>
          <w:color w:val="000000"/>
          <w:sz w:val="22"/>
        </w:rPr>
        <w:t>. Holders of Series C Preferred Stock will generally have no voting rights. However, if we do not pay dividends on the Series C Preferred Stock for six or more quarterly dividend periods (whether or not consecutive), the holders of the Series C Preferred Stock (voting separately as a class with the holders of all other classes or series of our preferred stock we may issue upon which like voting rights have been conferred and are exercisable and which are entitled to vote as a class with the Series C Preferred Stock in the election referred to below) will be entitled to vote for the election of two additional directors to serve on our Board of Directors until we pay, or declare and set aside funds for the payment of, all dividends that we owe on the Series C Preferred Stock, subject to certain limitations. In addition, the affirmative vote of the holders of at least two-thirds of the outstanding shares of Series C Preferred Stock is required for us to authorize or issue any class or series of stock ranking senior to the Series C Preferred Stock with respect to the payment of dividends or the distribution of assets on liquidation, dissolution or winding up, to amend any provision of our Charter so as to materially and adversely affect any rights of the Series C Preferred Stock or to take certain other actions.</w:t>
      </w:r>
    </w:p>
    <w:p>
      <w:pPr>
        <w:pStyle w:val="TextBody"/>
        <w:bidi w:val="0"/>
        <w:spacing w:lineRule="auto" w:line="288" w:before="0" w:after="120"/>
        <w:jc w:val="left"/>
        <w:rPr/>
      </w:pPr>
      <w:r>
        <w:rPr>
          <w:rFonts w:ascii="Times New Roman;serif" w:hAnsi="Times New Roman;serif"/>
          <w:b w:val="false"/>
          <w:i/>
          <w:color w:val="000000"/>
          <w:sz w:val="22"/>
        </w:rPr>
        <w:t>Conversion</w:t>
      </w:r>
      <w:r>
        <w:rPr>
          <w:rFonts w:ascii="Times New Roman;serif" w:hAnsi="Times New Roman;serif"/>
          <w:b w:val="false"/>
          <w:color w:val="000000"/>
          <w:sz w:val="22"/>
        </w:rPr>
        <w:t>. Upon the occurrence of a Change of Control, each holder of Series C Preferred Stock will have the right (subject to our election to redeem the Series C Preferred Stock in whole or in part, as described above, prior to the Change of Control Conversion Date (as defined in the Series C Certificate of Designations)) to convert some or all of the Series C Preferred Stock held by such holder on the Change of Control Conversion Date into a number of shares of our common stock per share of Series C Preferred Stock determined by a formula, in each case, on the terms and subject to the conditions described in the Series C Certificate of Designations, including provisions for the receipt, under specified circumstances, of alternative consideration.</w:t>
      </w:r>
    </w:p>
    <w:p>
      <w:pPr>
        <w:pStyle w:val="TextBody"/>
        <w:bidi w:val="0"/>
        <w:spacing w:before="0" w:after="0"/>
        <w:jc w:val="righ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w:t>
                      </w:r>
                    </w:p>
                  </w:txbxContent>
                </v:textbox>
                <w10:wrap type="none"/>
              </v:rect>
            </w:pict>
          </mc:Fallback>
        </mc:AlternateContent>
      </w:r>
    </w:p>
    <w:p>
      <w:pPr>
        <w:pStyle w:val="TextBody"/>
        <w:bidi w:val="0"/>
        <w:spacing w:lineRule="auto" w:line="288" w:before="0" w:after="120"/>
        <w:jc w:val="left"/>
        <w:rPr>
          <w:rFonts w:ascii="Times New Roman;serif" w:hAnsi="Times New Roman;serif"/>
          <w:b/>
          <w:i/>
          <w:color w:val="000000"/>
          <w:sz w:val="22"/>
        </w:rPr>
      </w:pPr>
      <w:r>
        <w:rPr>
          <w:rFonts w:ascii="Times New Roman;serif" w:hAnsi="Times New Roman;serif"/>
          <w:b/>
          <w:i/>
          <w:color w:val="000000"/>
          <w:sz w:val="22"/>
        </w:rPr>
        <w:t>Description of Series D Preferred Stock Underlying Our Depositary Shares</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On March 5, 2019, we filed a certificate of designations (the “Series D Certificate of Designations”) with the Secretary of State of the State of Delaware to designate 10,350 shares of our Series D Preferred Stock with the powers, designations, preferences and other rights set forth in the Series D Certificate of Designations. The Series D Certificate of Designations became effective upon filing on March 5, 2019. On March 6, 2019, we issued 9,000 shares of the Series D Preferred Stock, which shares were deposited with Computershare Inc. and Computershare Trust Company, N.A., jointly as depositary, against which depositary receipts evidencing 9,000,000 depositary shares were issued, and on March 20, 2019, we subsequently issued an additional 400 shares of the Series D Preferred Stock, which shares were deposited with Computershare Inc. and Computershare Trust Company, N.A., jointly as depositary, against which depositary receipts evidencing 400,000 depositary shares were issued, all of which remain outstanding as of December 31, 2025. Each depositary share represents 1/1,000th of a share of Series D Preferred Stock. The depositary shares underlying the Series D Preferred Stock are listed on the Nasdaq Global Select Market under the symbol “AGNCM.”</w:t>
      </w:r>
    </w:p>
    <w:p>
      <w:pPr>
        <w:pStyle w:val="TextBody"/>
        <w:bidi w:val="0"/>
        <w:spacing w:lineRule="auto" w:line="288" w:before="0" w:after="120"/>
        <w:jc w:val="left"/>
        <w:rPr/>
      </w:pPr>
      <w:r>
        <w:rPr>
          <w:rFonts w:ascii="Times New Roman;serif" w:hAnsi="Times New Roman;serif"/>
          <w:b w:val="false"/>
          <w:i/>
          <w:color w:val="000000"/>
          <w:sz w:val="22"/>
        </w:rPr>
        <w:t>Ranking</w:t>
      </w:r>
      <w:r>
        <w:rPr>
          <w:rFonts w:ascii="Times New Roman;serif" w:hAnsi="Times New Roman;serif"/>
          <w:b w:val="false"/>
          <w:color w:val="000000"/>
          <w:sz w:val="22"/>
        </w:rPr>
        <w:t>. The Series D Preferred Stock ranks, with respect to rights to the payment of dividends and the distribution of assets upon our liquidation, dissolution or winding up, (1) senior to all classes or series of our common stock and to all other equity securities issued by us other than equity securities referred to in clauses (2) and (3); (2) on a parity with all equity securities issued by us with terms specifically providing that those equity securities rank on a parity with the Series D Preferred Stock with respect to rights to the payment of dividends and the distribution of assets upon our liquidation, dissolution or winding up, including the Series D Preferred Stock; (3) junior to all equity securities issued by us with terms specifically providing that those equity securities rank senior to the Series D Preferred Stock with respect to rights to the payment of dividends and the distribution of assets upon our liquidation, dissolution or winding up; and (4) effectively junior to all of our existing and future indebtedness (including indebtedness convertible to our common stock or preferred stock) and to the indebtedness of our existing subsidiary and any future subsidiaries.</w:t>
      </w:r>
    </w:p>
    <w:p>
      <w:pPr>
        <w:pStyle w:val="TextBody"/>
        <w:bidi w:val="0"/>
        <w:spacing w:lineRule="auto" w:line="288" w:before="0" w:after="120"/>
        <w:jc w:val="left"/>
        <w:rPr/>
      </w:pPr>
      <w:r>
        <w:rPr>
          <w:rFonts w:ascii="Times New Roman;serif" w:hAnsi="Times New Roman;serif"/>
          <w:b w:val="false"/>
          <w:i/>
          <w:color w:val="000000"/>
          <w:sz w:val="22"/>
        </w:rPr>
        <w:t>Distributions</w:t>
      </w:r>
      <w:r>
        <w:rPr>
          <w:rFonts w:ascii="Times New Roman;serif" w:hAnsi="Times New Roman;serif"/>
          <w:b w:val="false"/>
          <w:color w:val="000000"/>
          <w:sz w:val="22"/>
        </w:rPr>
        <w:t>. Holders of shares of the Series D Preferred Stock are entitled to receive, when, as and if declared by our Board of Directors, out of funds legally available for the payment of dividends, cumulative cash dividends. The initial dividend rate for the Series D Preferred Stock from and including the date of original issuance to, but not including, April 15, 2024 (the “Fixed Rate Period”) was at the rate of 6.875% of the $25,000 liquidation preference per share of Series D Preferred Stock per annum (equivalent to $1,718.75 per annum per share of Series D Preferred Stock or $ 1.71875 per annum per depositary share). On and after April 15, 2024 (the “Floating Rate Period”), dividends on the Series D Preferred Stock began accumulating at a percentage of the $25,000 liquidation preference per share of Series D Preferred Stock equal to an annual floating rate of Three-Month CME Term SOFR plus 0.26161% plus a spread of 4.332%. Dividends on the Series D Preferred Stock accumulate daily and are cumulative from, and including, the date of original issue (March 6, 2019) and are payable quarterly in arrears on the 15</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2"/>
        </w:rPr>
        <w:t>day of each January, April, July and October; provided that if any dividend payment date is not a business day, then the dividend which would otherwise have been payable on that dividend payment date may be paid on the next succeeding business day. Dividends accumulate and are cumulative from, and including, the date of original issuance. Dividends payable for any dividend period during the Fixed Rate Period will be calculated on the basis of a 360-day year consisting of twelve 30-day months, and dividends payable for any dividend period during the Floating Rate Period will be calculated on the basis of a 360-day year and the number of days actually elapsed. Dividends will be payable to holders of record as they appear in our stock records for the Series D Preferred Stock at the close of business on the applicable record date, which shall be the first day of the calendar month, in which the applicable dividend payment date falls.</w:t>
      </w:r>
    </w:p>
    <w:p>
      <w:pPr>
        <w:pStyle w:val="TextBody"/>
        <w:bidi w:val="0"/>
        <w:spacing w:lineRule="auto" w:line="288" w:before="0" w:after="120"/>
        <w:jc w:val="left"/>
        <w:rPr/>
      </w:pPr>
      <w:r>
        <w:rPr>
          <w:rFonts w:ascii="Times New Roman;serif" w:hAnsi="Times New Roman;serif"/>
          <w:b w:val="false"/>
          <w:i/>
          <w:color w:val="000000"/>
          <w:sz w:val="22"/>
        </w:rPr>
        <w:t>Liquidation Preference</w:t>
      </w:r>
      <w:r>
        <w:rPr>
          <w:rFonts w:ascii="Times New Roman;serif" w:hAnsi="Times New Roman;serif"/>
          <w:b w:val="false"/>
          <w:color w:val="000000"/>
          <w:sz w:val="22"/>
        </w:rPr>
        <w:t>. In the event of our voluntary or involuntary liquidation, dissolution or winding up, holders of the Series D Preferred Stock will be entitled to be paid out of the assets we have legally available for distribution to our stockholders, subject to the preferential rights of the holders of any class or series of our capital stock we may issue ranking senior to the Series D Preferred Stock with respect to the distribution of assets upon liquidation, dissolution or winding up, a liquidation preference of $25,000 per share ($25.00 per depositary share), plus an amount equal to any accumulated and unpaid dividends to, but not including, the date of payment, before any distribution of assets is made to holders of our common stock or any other class or series of our stock that we may issue that ranks junior to the Series D Preferred Stock as to liquidation rights.</w:t>
      </w:r>
    </w:p>
    <w:p>
      <w:pPr>
        <w:pStyle w:val="TextBody"/>
        <w:bidi w:val="0"/>
        <w:spacing w:before="0" w:after="0"/>
        <w:jc w:val="righ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w:t>
                      </w:r>
                    </w:p>
                  </w:txbxContent>
                </v:textbox>
                <w10:wrap type="none"/>
              </v:rect>
            </w:pict>
          </mc:Fallback>
        </mc:AlternateContent>
      </w:r>
    </w:p>
    <w:p>
      <w:pPr>
        <w:pStyle w:val="TextBody"/>
        <w:bidi w:val="0"/>
        <w:spacing w:lineRule="auto" w:line="288" w:before="0" w:after="120"/>
        <w:jc w:val="left"/>
        <w:rPr/>
      </w:pPr>
      <w:r>
        <w:rPr>
          <w:rFonts w:ascii="Times New Roman;serif" w:hAnsi="Times New Roman;serif"/>
          <w:b w:val="false"/>
          <w:i/>
          <w:color w:val="000000"/>
          <w:sz w:val="22"/>
        </w:rPr>
        <w:t>Redemption</w:t>
      </w:r>
      <w:r>
        <w:rPr>
          <w:rFonts w:ascii="Times New Roman;serif" w:hAnsi="Times New Roman;serif"/>
          <w:b w:val="false"/>
          <w:color w:val="000000"/>
          <w:sz w:val="22"/>
        </w:rPr>
        <w:t>. The Series D Preferred Stock became redeemable on April 15, 2024. We may, at our option, redeem any or all of the shares of the Series D Preferred Stock at $25,000 per share ($25.00 per depositary share) plus any accumulated and unpaid dividends to, but not including, the redemption date. In addition, upon the occurrence of a Change of Control, we may, at our option, redeem any or all of the shares of Series D Preferred Stock within 120 days after the first date on which such Change of Control occurred at $25,000 per share ($25.00 per depositary share) plus any accumulated and unpaid dividends to, but not including, the redemption date.</w:t>
      </w:r>
    </w:p>
    <w:p>
      <w:pPr>
        <w:pStyle w:val="TextBody"/>
        <w:bidi w:val="0"/>
        <w:spacing w:lineRule="auto" w:line="288" w:before="0" w:after="120"/>
        <w:jc w:val="left"/>
        <w:rPr/>
      </w:pPr>
      <w:r>
        <w:rPr>
          <w:rFonts w:ascii="Times New Roman;serif" w:hAnsi="Times New Roman;serif"/>
          <w:b w:val="false"/>
          <w:i/>
          <w:color w:val="000000"/>
          <w:sz w:val="22"/>
        </w:rPr>
        <w:t>Maturity</w:t>
      </w:r>
      <w:r>
        <w:rPr>
          <w:rFonts w:ascii="Times New Roman;serif" w:hAnsi="Times New Roman;serif"/>
          <w:b w:val="false"/>
          <w:color w:val="000000"/>
          <w:sz w:val="22"/>
        </w:rPr>
        <w:t>. The Series D Preferred Stock has no stated maturity, is not subject to any sinking fund or mandatory redemption and will remain outstanding indefinitely unless repurchased or redeemed by us or converted into our common stock in connection with a Change of Control by the holders of Series D Preferred Stock.</w:t>
      </w:r>
    </w:p>
    <w:p>
      <w:pPr>
        <w:pStyle w:val="TextBody"/>
        <w:bidi w:val="0"/>
        <w:spacing w:lineRule="auto" w:line="288" w:before="0" w:after="120"/>
        <w:jc w:val="left"/>
        <w:rPr/>
      </w:pPr>
      <w:r>
        <w:rPr>
          <w:rFonts w:ascii="Times New Roman;serif" w:hAnsi="Times New Roman;serif"/>
          <w:b w:val="false"/>
          <w:i/>
          <w:color w:val="000000"/>
          <w:sz w:val="22"/>
        </w:rPr>
        <w:t>Voting Rights</w:t>
      </w:r>
      <w:r>
        <w:rPr>
          <w:rFonts w:ascii="Times New Roman;serif" w:hAnsi="Times New Roman;serif"/>
          <w:b w:val="false"/>
          <w:color w:val="000000"/>
          <w:sz w:val="22"/>
        </w:rPr>
        <w:t>. Holders of Series D Preferred Stock will generally have no voting rights. However, if we do not pay dividends on the Series D Preferred Stock for six or more quarterly dividend periods (whether or not consecutive), the holders of the Series D Preferred Stock (voting separately as a class with the holders of all other classes or series of our preferred stock we may issue upon which like voting rights have been conferred and are exercisable and which are entitled to vote as a class with the Series D Preferred Stock in the election referred to below) will be entitled to vote for the election of two additional directors to serve on our Board of Directors until we pay, or declare and set aside funds for the payment of, all dividends that we owe on the Series D Preferred Stock, subject to certain limitations. In addition, the affirmative vote of the holders of at least two-thirds of the outstanding shares of Series D Preferred Stock is required for us to authorize or issue any class or series of stock ranking senior to the Series D Preferred Stock with respect to the payment of dividends or the distribution of assets on liquidation, dissolution or winding up, to amend any provision of our Charter so as to materially and adversely affect any rights of the Series D Preferred Stock or to take certain other actions.</w:t>
      </w:r>
    </w:p>
    <w:p>
      <w:pPr>
        <w:pStyle w:val="TextBody"/>
        <w:bidi w:val="0"/>
        <w:spacing w:lineRule="auto" w:line="288" w:before="0" w:after="120"/>
        <w:jc w:val="left"/>
        <w:rPr/>
      </w:pPr>
      <w:r>
        <w:rPr>
          <w:rFonts w:ascii="Times New Roman;serif" w:hAnsi="Times New Roman;serif"/>
          <w:b w:val="false"/>
          <w:i/>
          <w:color w:val="000000"/>
          <w:sz w:val="22"/>
        </w:rPr>
        <w:t>Conversion</w:t>
      </w:r>
      <w:r>
        <w:rPr>
          <w:rFonts w:ascii="Times New Roman;serif" w:hAnsi="Times New Roman;serif"/>
          <w:b w:val="false"/>
          <w:color w:val="000000"/>
          <w:sz w:val="22"/>
        </w:rPr>
        <w:t>. Upon the occurrence of a Change of Control, each holder of Series D Preferred Stock will have the right (subject to our election to redeem the Series D Preferred Stock in whole or in part, as described above, prior to the Change of Control Conversion Date (as defined in the Series D Certificate of Designations)) to convert some or all of the Series D Preferred Stock held by such holder on the Change of Control Conversion Date into a number of shares of our common stock per share of Series D Preferred Stock determined by a formula, in each case, on the terms and subject to the conditions described in the Series D Certificate of Designations, including provisions for the receipt, under specified circumstances, of alternative consideration.</w:t>
      </w:r>
    </w:p>
    <w:p>
      <w:pPr>
        <w:pStyle w:val="TextBody"/>
        <w:bidi w:val="0"/>
        <w:spacing w:lineRule="auto" w:line="288" w:before="0" w:after="120"/>
        <w:jc w:val="left"/>
        <w:rPr>
          <w:rFonts w:ascii="Times New Roman;serif" w:hAnsi="Times New Roman;serif"/>
          <w:b/>
          <w:i/>
          <w:color w:val="000000"/>
          <w:sz w:val="22"/>
        </w:rPr>
      </w:pPr>
      <w:r>
        <w:rPr>
          <w:rFonts w:ascii="Times New Roman;serif" w:hAnsi="Times New Roman;serif"/>
          <w:b/>
          <w:i/>
          <w:color w:val="000000"/>
          <w:sz w:val="22"/>
        </w:rPr>
        <w:t>Description of Series E Preferred Stock Underlying Our Depositary Shares</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On October 2, 2019, we filed a certificate of designations (the “Series E Certificate of Designations”) with the Secretary of State of the State of Delaware to designate 16,100 shares of our Series E Preferred Stock with the powers, designations, preferences and other rights set forth in the Series E Certificate of Designations. The Series E Certificate of Designations became effective upon filing on October 2, 2019. On October 3, 2019, we issued 16,100 shares of the Series E Preferred Stock, which shares were deposited with Computershare Inc. and Computershare Trust Company, N.A., jointly as depositary, against which depositary receipts evidencing 16,100,000 depositary shares were issued, all of which remain outstanding as of December 31, 2025. Each depositary share represents 1/1,000th of a share of Series E Preferred Stock. The depositary shares underlying the Series E Preferred Stock are listed on the Nasdaq Global Select Market under the symbol “AGNCO.”</w:t>
      </w:r>
    </w:p>
    <w:p>
      <w:pPr>
        <w:pStyle w:val="TextBody"/>
        <w:bidi w:val="0"/>
        <w:spacing w:lineRule="auto" w:line="288" w:before="0" w:after="120"/>
        <w:jc w:val="left"/>
        <w:rPr/>
      </w:pPr>
      <w:r>
        <w:rPr>
          <w:rFonts w:ascii="Times New Roman;serif" w:hAnsi="Times New Roman;serif"/>
          <w:b w:val="false"/>
          <w:i/>
          <w:color w:val="000000"/>
          <w:sz w:val="22"/>
        </w:rPr>
        <w:t>Ranking</w:t>
      </w:r>
      <w:r>
        <w:rPr>
          <w:rFonts w:ascii="Times New Roman;serif" w:hAnsi="Times New Roman;serif"/>
          <w:b w:val="false"/>
          <w:color w:val="000000"/>
          <w:sz w:val="22"/>
        </w:rPr>
        <w:t>. The Series E Preferred Stock ranks, with respect to rights to the payment of dividends and the distribution of assets upon our liquidation, dissolution or winding up, (1) senior to all classes or series of our common stock and to all other equity securities issued by us other than equity securities referred to in clauses (2) and (3); (2) on a parity with all equity securities issued by us with terms specifically providing that those equity securities rank on a parity with the Series E Preferred Stock with respect to rights to the payment of dividends and the distribution of assets upon our liquidation, dissolution or winding up, including the Series E Preferred Stock; (3) junior to all equity securities issued by us with terms specifically providing that those equity securities rank senior to the Series E Preferred Stock with respect to rights to the payment of dividends and the distribution of assets upon our liquidation, dissolution or winding up; and (4) effectively junior to all of our existing and future indebtedness (including indebtedness convertible to our common stock or preferred stock) and to the indebtedness of our existing subsidiary and any future subsidiaries.</w:t>
      </w:r>
    </w:p>
    <w:p>
      <w:pPr>
        <w:pStyle w:val="TextBody"/>
        <w:bidi w:val="0"/>
        <w:spacing w:before="0" w:after="0"/>
        <w:jc w:val="righ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w:t>
                      </w:r>
                    </w:p>
                  </w:txbxContent>
                </v:textbox>
                <w10:wrap type="none"/>
              </v:rect>
            </w:pict>
          </mc:Fallback>
        </mc:AlternateContent>
      </w:r>
    </w:p>
    <w:p>
      <w:pPr>
        <w:pStyle w:val="TextBody"/>
        <w:bidi w:val="0"/>
        <w:spacing w:lineRule="auto" w:line="288" w:before="0" w:after="120"/>
        <w:jc w:val="left"/>
        <w:rPr/>
      </w:pPr>
      <w:r>
        <w:rPr>
          <w:rFonts w:ascii="Times New Roman;serif" w:hAnsi="Times New Roman;serif"/>
          <w:b w:val="false"/>
          <w:i/>
          <w:color w:val="000000"/>
          <w:sz w:val="22"/>
        </w:rPr>
        <w:t>Distributions</w:t>
      </w:r>
      <w:r>
        <w:rPr>
          <w:rFonts w:ascii="Times New Roman;serif" w:hAnsi="Times New Roman;serif"/>
          <w:b w:val="false"/>
          <w:color w:val="000000"/>
          <w:sz w:val="22"/>
        </w:rPr>
        <w:t>. Holders of shares of the Series E Preferred Stock are entitled to receive, when, as and if declared by our Board of Directors, out of funds legally available for the payment of dividends, cumulative cash dividends. The initial dividend rate for the Series E Preferred Stock from and including the date of original issuance to, but not including, October 15, 2024 (the “Fixed Rate Period”) was at the rate of 6.50% of the $25,000 liquidation preference per share of Series E Preferred Stock per annum (equivalent to $1,625 per annum per share of Series E Preferred Stock or $1.625 per annum per depositary share). On and after October 15, 2024 (the “Floating Rate Period”), dividends on the Series E Preferred Stock began accumulating at a percentage of the $25,000 liquidation preference per share of Series E Preferred Stock equal to an annual floating rate of Three-Month CME Term SOFR plus 0.26161% plus a spread of 4.993%. Dividends on the Series E Preferred Stock accumulate daily and are cumulative from, and including, the date of original issue (October 3, 2019) and are payable quarterly in arrears on the 15</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2"/>
        </w:rPr>
        <w:t>day of each January, April, July and October; provided that if any dividend payment date is not a business day, then the dividend which would otherwise have been payable on that dividend payment date may be paid on the next succeeding business day. Dividends accumulate and are cumulative from, and including, the date of original issuance. Dividends payable for any dividend period during the Fixed Rate Period will be calculated on the basis of a 360-day year consisting of twelve 30-day months, and dividends payable for any dividend period during the Floating Rate Period will be calculated on the basis of a 360-day year and the number of days actually elapsed. Dividends will be payable to holders of record as they appear in our stock records for the Series E Preferred Stock at the close of business on the applicable record date, which shall be the first day of the calendar month, in which the applicable dividend payment date falls.</w:t>
      </w:r>
    </w:p>
    <w:p>
      <w:pPr>
        <w:pStyle w:val="TextBody"/>
        <w:bidi w:val="0"/>
        <w:spacing w:lineRule="auto" w:line="288" w:before="0" w:after="120"/>
        <w:jc w:val="left"/>
        <w:rPr/>
      </w:pPr>
      <w:r>
        <w:rPr>
          <w:rFonts w:ascii="Times New Roman;serif" w:hAnsi="Times New Roman;serif"/>
          <w:b w:val="false"/>
          <w:i/>
          <w:color w:val="000000"/>
          <w:sz w:val="22"/>
        </w:rPr>
        <w:t>Liquidation Preference</w:t>
      </w:r>
      <w:r>
        <w:rPr>
          <w:rFonts w:ascii="Times New Roman;serif" w:hAnsi="Times New Roman;serif"/>
          <w:b w:val="false"/>
          <w:color w:val="000000"/>
          <w:sz w:val="22"/>
        </w:rPr>
        <w:t>. In the event of our voluntary or involuntary liquidation, dissolution or winding up, holders of the Series E Preferred Stock will be entitled to be paid out of the assets we have legally available for distribution to our stockholders, subject to the preferential rights of the holders of any class or series of our capital stock we may issue ranking senior to the Series E Preferred Stock with respect to the distribution of assets upon liquidation, dissolution or winding up, a liquidation preference of $25,000 per share ($25.00 per depositary share), plus an amount equal to any accumulated and unpaid dividends to, but not including, the date of payment, before any distribution of assets is made to holders of our common stock or any other class or series of our stock that we may issue that ranks junior to the Series E Preferred Stock as to liquidation rights.</w:t>
      </w:r>
    </w:p>
    <w:p>
      <w:pPr>
        <w:pStyle w:val="TextBody"/>
        <w:bidi w:val="0"/>
        <w:spacing w:lineRule="auto" w:line="288" w:before="0" w:after="120"/>
        <w:jc w:val="left"/>
        <w:rPr/>
      </w:pPr>
      <w:r>
        <w:rPr>
          <w:rFonts w:ascii="Times New Roman;serif" w:hAnsi="Times New Roman;serif"/>
          <w:b w:val="false"/>
          <w:i/>
          <w:color w:val="000000"/>
          <w:sz w:val="22"/>
        </w:rPr>
        <w:t>Redemption</w:t>
      </w:r>
      <w:r>
        <w:rPr>
          <w:rFonts w:ascii="Times New Roman;serif" w:hAnsi="Times New Roman;serif"/>
          <w:b w:val="false"/>
          <w:color w:val="000000"/>
          <w:sz w:val="22"/>
        </w:rPr>
        <w:t>. The Series E Preferred Stock became redeemable on October 15, 2024. We may, at our option, redeem any or all of the shares of the Series E Preferred Stock at $25,000 per share ($25.00 per depositary share) plus any accumulated and unpaid dividends to, but not including, the redemption date. In addition, upon the occurrence of a Change of Control, we may, at our option, redeem any or all of the shares of Series E Preferred Stock within 120 days after the first date on which such Change of Control occurred at $25,000 per share ($25.00 per depositary share) plus any accumulated and unpaid dividends to, but not including, the redemption date.</w:t>
      </w:r>
    </w:p>
    <w:p>
      <w:pPr>
        <w:pStyle w:val="TextBody"/>
        <w:bidi w:val="0"/>
        <w:spacing w:lineRule="auto" w:line="288" w:before="0" w:after="120"/>
        <w:jc w:val="left"/>
        <w:rPr/>
      </w:pPr>
      <w:r>
        <w:rPr>
          <w:rFonts w:ascii="Times New Roman;serif" w:hAnsi="Times New Roman;serif"/>
          <w:b w:val="false"/>
          <w:i/>
          <w:color w:val="000000"/>
          <w:sz w:val="22"/>
        </w:rPr>
        <w:t>Maturity</w:t>
      </w:r>
      <w:r>
        <w:rPr>
          <w:rFonts w:ascii="Times New Roman;serif" w:hAnsi="Times New Roman;serif"/>
          <w:b w:val="false"/>
          <w:color w:val="000000"/>
          <w:sz w:val="22"/>
        </w:rPr>
        <w:t>. The Series E Preferred Stock has no stated maturity, is not subject to any sinking fund or mandatory redemption and will remain outstanding indefinitely unless repurchased or redeemed by us or converted into our common stock in connection with a Change of Control by the holders of Series E Preferred Stock.</w:t>
      </w:r>
    </w:p>
    <w:p>
      <w:pPr>
        <w:pStyle w:val="TextBody"/>
        <w:bidi w:val="0"/>
        <w:spacing w:lineRule="auto" w:line="288" w:before="0" w:after="120"/>
        <w:jc w:val="left"/>
        <w:rPr/>
      </w:pPr>
      <w:r>
        <w:rPr>
          <w:rFonts w:ascii="Times New Roman;serif" w:hAnsi="Times New Roman;serif"/>
          <w:b w:val="false"/>
          <w:i/>
          <w:color w:val="000000"/>
          <w:sz w:val="22"/>
        </w:rPr>
        <w:t>Voting Rights</w:t>
      </w:r>
      <w:r>
        <w:rPr>
          <w:rFonts w:ascii="Times New Roman;serif" w:hAnsi="Times New Roman;serif"/>
          <w:b w:val="false"/>
          <w:color w:val="000000"/>
          <w:sz w:val="22"/>
        </w:rPr>
        <w:t>. Holders of Series E Preferred Stock will generally have no voting rights. However, if we do not pay dividends on the Series E Preferred Stock for six or more quarterly dividend periods (whether or not consecutive), the holders of the Series E Preferred Stock (voting separately as a class with the holders of all other classes or series of our preferred stock we may issue upon which like voting rights have been conferred and are exercisable and which are entitled to vote as a class with the Series E Preferred Stock in the election referred to below) will be entitled to vote for the election of two additional directors to serve on our Board of Directors until we pay, or declare and set aside funds for the payment of, all dividends that we owe on the Series E Preferred Stock, subject to certain limitations. In addition, the affirmative vote of the holders of at least two-thirds of the outstanding shares of Series E Preferred Stock is required for us to authorize or issue any class or series of stock ranking senior to the Series E Preferred Stock with respect to the payment of dividends or the distribution of assets on liquidation, dissolution or winding up, to amend any provision of our Charter so as to materially and adversely affect any rights of the Series E Preferred Stock or to take certain other actions.</w:t>
      </w:r>
    </w:p>
    <w:p>
      <w:pPr>
        <w:pStyle w:val="TextBody"/>
        <w:bidi w:val="0"/>
        <w:spacing w:lineRule="auto" w:line="288" w:before="0" w:after="120"/>
        <w:jc w:val="left"/>
        <w:rPr/>
      </w:pPr>
      <w:r>
        <w:rPr>
          <w:rFonts w:ascii="Times New Roman;serif" w:hAnsi="Times New Roman;serif"/>
          <w:b w:val="false"/>
          <w:i/>
          <w:color w:val="000000"/>
          <w:sz w:val="22"/>
        </w:rPr>
        <w:t>Conversion</w:t>
      </w:r>
      <w:r>
        <w:rPr>
          <w:rFonts w:ascii="Times New Roman;serif" w:hAnsi="Times New Roman;serif"/>
          <w:b w:val="false"/>
          <w:color w:val="000000"/>
          <w:sz w:val="22"/>
        </w:rPr>
        <w:t xml:space="preserve">. Upon the occurrence of a Change of Control, each holder of Series E Preferred Stock will have the right (subject to our election to redeem the Series E Preferred Stock in whole or in part, as described above, prior to the Change of Control Conversion Date (as defined in the Series E Certificate of Designations)) to convert some or </w:t>
      </w:r>
    </w:p>
    <w:p>
      <w:pPr>
        <w:pStyle w:val="TextBody"/>
        <w:bidi w:val="0"/>
        <w:spacing w:before="0" w:after="0"/>
        <w:jc w:val="righ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6</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all of the Series E Preferred Stock held by such holder on the Change of Control Conversion Date into a number of shares of our common stock per share of Series E Preferred Stock determined by a formula, in each case, on the terms and subject to the conditions described in the Series E Certificate of Designations, including provisions for the receipt, under specified circumstances, of alternative consideration.</w:t>
      </w:r>
    </w:p>
    <w:p>
      <w:pPr>
        <w:pStyle w:val="TextBody"/>
        <w:bidi w:val="0"/>
        <w:spacing w:lineRule="auto" w:line="288" w:before="0" w:after="120"/>
        <w:jc w:val="left"/>
        <w:rPr>
          <w:rFonts w:ascii="Times New Roman;serif" w:hAnsi="Times New Roman;serif"/>
          <w:b/>
          <w:i/>
          <w:color w:val="000000"/>
          <w:sz w:val="22"/>
        </w:rPr>
      </w:pPr>
      <w:r>
        <w:rPr>
          <w:rFonts w:ascii="Times New Roman;serif" w:hAnsi="Times New Roman;serif"/>
          <w:b/>
          <w:i/>
          <w:color w:val="000000"/>
          <w:sz w:val="22"/>
        </w:rPr>
        <w:t>Description of Series F Preferred Stock Underlying Our Depositary Shares</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On February 10, 2020, we filed a certificate of designations (the “Series F Certificate of Designations”) with the Secretary of State of the State of Delaware to designate 23,000 shares of our Series F Preferred Stock with the powers, designations, preferences and other rights set forth in the Series F Certificate of Designations. The Series F Certificate of Designations became effective upon filing on February 10, 2020. On February 11, 2020, we issued 23,000 shares of the Series F Preferred Stock, which shares were deposited with Computershare Inc. and Computershare Trust Company, N.A., jointly as depositary, against which depositary receipts evidencing 23,000,000 depositary shares were issued, all of which remain outstanding as of December 31, 2025. Each depositary share represents 1/1,000th of a share of Series F Preferred Stock. The depositary shares underlying the Series F Preferred Stock are listed on the Nasdaq Global Select Market under the symbol “AGNCP.”</w:t>
      </w:r>
    </w:p>
    <w:p>
      <w:pPr>
        <w:pStyle w:val="TextBody"/>
        <w:bidi w:val="0"/>
        <w:spacing w:lineRule="auto" w:line="288" w:before="0" w:after="120"/>
        <w:jc w:val="left"/>
        <w:rPr/>
      </w:pPr>
      <w:r>
        <w:rPr>
          <w:rFonts w:ascii="Times New Roman;serif" w:hAnsi="Times New Roman;serif"/>
          <w:b w:val="false"/>
          <w:i/>
          <w:color w:val="000000"/>
          <w:sz w:val="22"/>
        </w:rPr>
        <w:t>Ranking</w:t>
      </w:r>
      <w:r>
        <w:rPr>
          <w:rFonts w:ascii="Times New Roman;serif" w:hAnsi="Times New Roman;serif"/>
          <w:b w:val="false"/>
          <w:color w:val="000000"/>
          <w:sz w:val="22"/>
        </w:rPr>
        <w:t>. The Series F Preferred Stock ranks, with respect to rights to the payment of dividends and the distribution of assets upon our liquidation, dissolution or winding up, (1) senior to all classes or series of our common stock and to all other equity securities issued by us other than equity securities referred to in clauses (2) and (3); (2) on a parity with all equity securities issued by us with terms specifically providing that those equity securities rank on a parity with the Series F Preferred Stock with respect to rights to the payment of dividends and the distribution of assets upon our liquidation, dissolution or winding up, including the Series F Preferred Stock; (3) junior to all equity securities issued by us with terms specifically providing that those equity securities rank senior to the Series F Preferred Stock with respect to rights to the payment of dividends and the distribution of assets upon our liquidation, dissolution or winding up; and (4) effectively junior to all of our existing and future indebtedness (including indebtedness convertible to our common stock or preferred stock) and to the indebtedness of our existing subsidiary and any future subsidiaries.</w:t>
      </w:r>
    </w:p>
    <w:p>
      <w:pPr>
        <w:pStyle w:val="TextBody"/>
        <w:bidi w:val="0"/>
        <w:spacing w:lineRule="auto" w:line="288" w:before="0" w:after="120"/>
        <w:jc w:val="left"/>
        <w:rPr/>
      </w:pPr>
      <w:r>
        <w:rPr>
          <w:rFonts w:ascii="Times New Roman;serif" w:hAnsi="Times New Roman;serif"/>
          <w:b w:val="false"/>
          <w:i/>
          <w:color w:val="000000"/>
          <w:sz w:val="22"/>
        </w:rPr>
        <w:t>Distributions</w:t>
      </w:r>
      <w:r>
        <w:rPr>
          <w:rFonts w:ascii="Times New Roman;serif" w:hAnsi="Times New Roman;serif"/>
          <w:b w:val="false"/>
          <w:color w:val="000000"/>
          <w:sz w:val="22"/>
        </w:rPr>
        <w:t>. Holders of shares of the Series F Preferred Stock are entitled to receive, when, as and if declared by our Board of Directors, out of funds legally available for the payment of dividends, cumulative cash dividends. The initial dividend rate for the Series F Preferred Stock from and including the date of original issuance to, but not including, April 15, 2025 (the “Fixed Rate Period”) was at the rate of 6.125% of the $25,000 liquidation preference per share of Series F Preferred Stock per annum (equivalent to $1,531.25 per annum per share of Series F Preferred Stock or $ 1.53125 per annum per depositary share). On and after April 15, 2025 (the “Floating Rate Period”), dividends on the Series F Preferred Stock began accumulating at a percentage of the $25,000 liquidation preference per share of Series F Preferred Stock equal to an annual floating rate of Three-Month CME Term SOFR plus 0.26161% plus a spread of 4.697%. Dividends on the Series F Preferred Stock accumulate daily and are cumulative from, and including, the date of original issue (February 11, 2020) and are payable quarterly in arrears on the 15</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2"/>
        </w:rPr>
        <w:t>day of each January, April, July and October; provided that if any dividend payment date is not a business day, then the dividend which would otherwise have been payable on that dividend payment date may be paid on the next succeeding business day. Dividends accumulate and are cumulative from, and including, the date of original issuance. Dividends payable for any dividend period during the Fixed Rate Period will be calculated on the basis of a 360-day year consisting of twelve 30-day months, and dividends payable for any dividend period during the Floating Rate Period will be calculated on the basis of a 360-day year and the number of days actually elapsed. Dividends will be payable to holders of record as they appear in our stock records for the Series F Preferred Stock at the close of business on the applicable record date, which shall be the first day of the calendar month, in which the applicable dividend payment date falls.</w:t>
      </w:r>
    </w:p>
    <w:p>
      <w:pPr>
        <w:pStyle w:val="TextBody"/>
        <w:bidi w:val="0"/>
        <w:spacing w:lineRule="auto" w:line="288" w:before="0" w:after="120"/>
        <w:jc w:val="left"/>
        <w:rPr/>
      </w:pPr>
      <w:r>
        <w:rPr>
          <w:rFonts w:ascii="Times New Roman;serif" w:hAnsi="Times New Roman;serif"/>
          <w:b w:val="false"/>
          <w:i/>
          <w:color w:val="000000"/>
          <w:sz w:val="22"/>
        </w:rPr>
        <w:t>Liquidation Preference</w:t>
      </w:r>
      <w:r>
        <w:rPr>
          <w:rFonts w:ascii="Times New Roman;serif" w:hAnsi="Times New Roman;serif"/>
          <w:b w:val="false"/>
          <w:color w:val="000000"/>
          <w:sz w:val="22"/>
        </w:rPr>
        <w:t xml:space="preserve">. In the event of our voluntary or involuntary liquidation, dissolution or winding up, holders of the Series F Preferred Stock will be entitled to be paid out of the assets we have legally available for distribution to our stockholders, subject to the preferential rights of the holders of any class or series of our capital stock we may issue ranking senior to the Series F Preferred Stock with respect to the distribution of assets upon liquidation, dissolution or winding up, a liquidation preference of $25,000 per share ($25.00 per depositary share), plus an amount equal to any accumulated and unpaid dividends to, but not including, the date of payment, before any </w:t>
      </w:r>
    </w:p>
    <w:p>
      <w:pPr>
        <w:pStyle w:val="TextBody"/>
        <w:bidi w:val="0"/>
        <w:spacing w:before="0" w:after="0"/>
        <w:jc w:val="righ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7</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distribution of assets is made to holders of our common stock or any other class or series of our stock that we may issue that ranks junior to the Series F Preferred Stock as to liquidation rights.</w:t>
      </w:r>
    </w:p>
    <w:p>
      <w:pPr>
        <w:pStyle w:val="TextBody"/>
        <w:bidi w:val="0"/>
        <w:spacing w:lineRule="auto" w:line="288" w:before="0" w:after="120"/>
        <w:jc w:val="left"/>
        <w:rPr/>
      </w:pPr>
      <w:r>
        <w:rPr>
          <w:rFonts w:ascii="Times New Roman;serif" w:hAnsi="Times New Roman;serif"/>
          <w:b w:val="false"/>
          <w:i/>
          <w:color w:val="000000"/>
          <w:sz w:val="22"/>
        </w:rPr>
        <w:t>Redemption</w:t>
      </w:r>
      <w:r>
        <w:rPr>
          <w:rFonts w:ascii="Times New Roman;serif" w:hAnsi="Times New Roman;serif"/>
          <w:b w:val="false"/>
          <w:color w:val="000000"/>
          <w:sz w:val="22"/>
        </w:rPr>
        <w:t>. The Series F Preferred Stock became redeemable by us on April 15, 2025. We may, at our option, redeem any or all of the shares of the Series F Preferred Stock at $25,000 per share ($25.00 per depositary share) plus any accumulated and unpaid dividends to, but not including, the redemption date. In addition, upon the occurrence of a Change of Control, we may, at our option, redeem any or all of the shares of Series F Preferred Stock within 120 days after the first date on which such Change of Control occurred at $25,000 per share ($25.00 per depositary share) plus any accumulated and unpaid dividends to, but not including, the redemption date.</w:t>
      </w:r>
    </w:p>
    <w:p>
      <w:pPr>
        <w:pStyle w:val="TextBody"/>
        <w:bidi w:val="0"/>
        <w:spacing w:lineRule="auto" w:line="288" w:before="0" w:after="120"/>
        <w:jc w:val="left"/>
        <w:rPr/>
      </w:pPr>
      <w:r>
        <w:rPr>
          <w:rFonts w:ascii="Times New Roman;serif" w:hAnsi="Times New Roman;serif"/>
          <w:b w:val="false"/>
          <w:i/>
          <w:color w:val="000000"/>
          <w:sz w:val="22"/>
        </w:rPr>
        <w:t>Maturity</w:t>
      </w:r>
      <w:r>
        <w:rPr>
          <w:rFonts w:ascii="Times New Roman;serif" w:hAnsi="Times New Roman;serif"/>
          <w:b w:val="false"/>
          <w:color w:val="000000"/>
          <w:sz w:val="22"/>
        </w:rPr>
        <w:t>. The Series F Preferred Stock has no stated maturity, is not subject to any sinking fund or mandatory redemption and will remain outstanding indefinitely unless repurchased or redeemed by us or converted into our common stock in connection with a Change of Control by the holders of Series F Preferred Stock.</w:t>
      </w:r>
    </w:p>
    <w:p>
      <w:pPr>
        <w:pStyle w:val="TextBody"/>
        <w:bidi w:val="0"/>
        <w:spacing w:lineRule="auto" w:line="288" w:before="0" w:after="120"/>
        <w:jc w:val="left"/>
        <w:rPr/>
      </w:pPr>
      <w:r>
        <w:rPr>
          <w:rFonts w:ascii="Times New Roman;serif" w:hAnsi="Times New Roman;serif"/>
          <w:b w:val="false"/>
          <w:i/>
          <w:color w:val="000000"/>
          <w:sz w:val="22"/>
        </w:rPr>
        <w:t>Voting Rights</w:t>
      </w:r>
      <w:r>
        <w:rPr>
          <w:rFonts w:ascii="Times New Roman;serif" w:hAnsi="Times New Roman;serif"/>
          <w:b w:val="false"/>
          <w:color w:val="000000"/>
          <w:sz w:val="22"/>
        </w:rPr>
        <w:t>. Holders of Series F Preferred Stock will generally have no voting rights. However, if we do not pay dividends on the Series F Preferred Stock for six or more quarterly dividend periods (whether or not consecutive), the holders of the Series F Preferred Stock (voting separately as a class with the holders of all other classes or series of our preferred stock we may issue upon which like voting rights have been conferred and are exercisable and which are entitled to vote as a class with the Series F Preferred Stock in the election referred to below) will be entitled to vote for the election of two additional directors to serve on our Board of Directors until we pay, or declare and set aside funds for the payment of, all dividends that we owe on the Series F Preferred Stock, subject to certain limitations. In addition, the affirmative vote of the holders of at least two-thirds of the outstanding shares of Series F Preferred Stock is required for us to authorize or issue any class or series of stock ranking senior to the Series F Preferred Stock with respect to the payment of dividends or the distribution of assets on liquidation, dissolution or winding up, to amend any provision of our Charter so as to materially and adversely affect any rights of the Series F Preferred Stock or to take certain other actions.</w:t>
      </w:r>
    </w:p>
    <w:p>
      <w:pPr>
        <w:pStyle w:val="TextBody"/>
        <w:bidi w:val="0"/>
        <w:spacing w:lineRule="auto" w:line="288" w:before="0" w:after="120"/>
        <w:jc w:val="left"/>
        <w:rPr/>
      </w:pPr>
      <w:r>
        <w:rPr>
          <w:rFonts w:ascii="Times New Roman;serif" w:hAnsi="Times New Roman;serif"/>
          <w:b w:val="false"/>
          <w:i/>
          <w:color w:val="000000"/>
          <w:sz w:val="22"/>
        </w:rPr>
        <w:t>Conversion</w:t>
      </w:r>
      <w:r>
        <w:rPr>
          <w:rFonts w:ascii="Times New Roman;serif" w:hAnsi="Times New Roman;serif"/>
          <w:b w:val="false"/>
          <w:color w:val="000000"/>
          <w:sz w:val="22"/>
        </w:rPr>
        <w:t>. Upon the occurrence of a Change of Control, each holder of Series F Preferred Stock will have the right (subject to our election to redeem the Series F Preferred Stock in whole or in part, as described above, prior to the Change of Control Conversion Date (as defined in the Series F Certificate of Designations)) to convert some or all of the Series F Preferred Stock held by such holder on the Change of Control Conversion Date into a number of shares of our common stock per share of Series F Preferred Stock determined by a formula, in each case, on the terms and subject to the conditions described in the Series F Certificate of Designations, including provisions for the receipt, under specified circumstances, of alternative consideration.</w:t>
      </w:r>
    </w:p>
    <w:p>
      <w:pPr>
        <w:pStyle w:val="TextBody"/>
        <w:bidi w:val="0"/>
        <w:spacing w:lineRule="auto" w:line="288" w:before="0" w:after="120"/>
        <w:jc w:val="left"/>
        <w:rPr>
          <w:rFonts w:ascii="Times New Roman;serif" w:hAnsi="Times New Roman;serif"/>
          <w:b/>
          <w:i/>
          <w:color w:val="000000"/>
          <w:sz w:val="22"/>
        </w:rPr>
      </w:pPr>
      <w:r>
        <w:rPr>
          <w:rFonts w:ascii="Times New Roman;serif" w:hAnsi="Times New Roman;serif"/>
          <w:b/>
          <w:i/>
          <w:color w:val="000000"/>
          <w:sz w:val="22"/>
        </w:rPr>
        <w:t>Description of Series G Preferred Stock Underlying Our Depositary Shares</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On September 13, 2022, we filed a certificate of designations (the “Series G Certificate of Designations”) with the Secretary of State of the State of Delaware to designate 6,900 shares of our Series G Preferred Stock with the powers, designations, preferences and other rights set forth in the Series G Certificate of Designations. The Series G Certificate of Designations became effective upon filing on September 13, 2022. On September 14, 2022, we issued 6,000 shares of the Series G Preferred Stock, which shares were deposited with Computershare Inc. and Computershare Trust Company, N.A., jointly as depositary, against which depositary receipts evidencing 6,000,000 depositary shares were issued, all of which remain outstanding as of December 31, 2025. Each depositary share represents 1/1,000th of a share of Series G Preferred Stock. The depositary shares underlying the Series G Preferred Stock are listed on the Nasdaq Global Select Market under the symbol “AGNCL.”</w:t>
      </w:r>
    </w:p>
    <w:p>
      <w:pPr>
        <w:pStyle w:val="TextBody"/>
        <w:bidi w:val="0"/>
        <w:spacing w:lineRule="auto" w:line="288" w:before="0" w:after="120"/>
        <w:jc w:val="left"/>
        <w:rPr/>
      </w:pPr>
      <w:r>
        <w:rPr>
          <w:rFonts w:ascii="Times New Roman;serif" w:hAnsi="Times New Roman;serif"/>
          <w:b w:val="false"/>
          <w:i/>
          <w:color w:val="000000"/>
          <w:sz w:val="22"/>
        </w:rPr>
        <w:t>Ranking</w:t>
      </w:r>
      <w:r>
        <w:rPr>
          <w:rFonts w:ascii="Times New Roman;serif" w:hAnsi="Times New Roman;serif"/>
          <w:b w:val="false"/>
          <w:color w:val="000000"/>
          <w:sz w:val="22"/>
        </w:rPr>
        <w:t xml:space="preserve">. The Series G Preferred Stock ranks, with respect to rights to the payment of dividends and the distribution of assets upon our liquidation, dissolution or winding up, (1) senior to all classes or series of our common stock and to all other equity securities issued by us other than equity securities referred to in clauses (2) and (3); (2) on a parity with all equity securities issued by us with terms specifically providing that those equity securities rank on a parity with the Series G Preferred Stock with respect to rights to the payment of dividends and the distribution of assets upon our liquidation, dissolution or winding up, including the Series G Preferred Stock; (3) junior to all equity securities issued by us with terms specifically providing that those equity securities rank senior to the Series G Preferred Stock with respect to rights to the payment of dividends and the distribution of assets upon our liquidation, dissolution or winding up; and (4) effectively junior to all of our existing and future indebtedness </w:t>
      </w:r>
    </w:p>
    <w:p>
      <w:pPr>
        <w:pStyle w:val="TextBody"/>
        <w:bidi w:val="0"/>
        <w:spacing w:before="0" w:after="0"/>
        <w:jc w:val="righ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8</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(including indebtedness convertible to our common stock or preferred stock) and to the indebtedness of our existing subsidiary and any future subsidiaries.</w:t>
      </w:r>
    </w:p>
    <w:p>
      <w:pPr>
        <w:pStyle w:val="TextBody"/>
        <w:bidi w:val="0"/>
        <w:spacing w:lineRule="auto" w:line="288" w:before="0" w:after="120"/>
        <w:jc w:val="left"/>
        <w:rPr/>
      </w:pPr>
      <w:r>
        <w:rPr>
          <w:rFonts w:ascii="Times New Roman;serif" w:hAnsi="Times New Roman;serif"/>
          <w:b w:val="false"/>
          <w:i/>
          <w:color w:val="000000"/>
          <w:sz w:val="22"/>
        </w:rPr>
        <w:t>Distributions</w:t>
      </w:r>
      <w:r>
        <w:rPr>
          <w:rFonts w:ascii="Times New Roman;serif" w:hAnsi="Times New Roman;serif"/>
          <w:b w:val="false"/>
          <w:color w:val="000000"/>
          <w:sz w:val="22"/>
        </w:rPr>
        <w:t>. Holders of shares of the Series G Preferred Stock are entitled to receive, when, as and if declared by our Board of Directors, out of funds legally available for the payment of dividends, cumulative cash dividends. The initial dividend rate for the Series G Preferred Stock from and including the date of original issuance to, but not including, October 15, 2027 is at the rate of 7.75% of the $25,000 liquidation preference per share of Series G Preferred Stock per annum (equivalent to $1,937.50 per annum per share of Series G Preferred Stock or $1.93750 per annum per depositary share). On and after October 15, 2027, dividends on the Series G Preferred Stock will accumulate at a percentage of the $25,000 liquidation preference per share of Series G Preferred Stock during each reset period at a rate per annum equal to the five-year U.S. Treasury Rate as of the most recent dividend determination date plus a spread of 4.39% per annum. The “reset period” means the period from, and including, the first reset date and each date falling on the fifth anniversary of the preceding reset date but excluding the next following reset date. Dividends on the Series G Preferred Stock are payable quarterly in arrears on the 15</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2"/>
        </w:rPr>
        <w:t>day of each January, April, July and October; provided that if any dividend payment date is not a business day, then the dividend which would otherwise have been payable on that dividend payment date may be paid on the next succeeding business day. Dividends accumulate and are cumulative from, and including, the date of original issuance. Dividends payable for any dividend period will be calculated on the basis of a 360-day year consisting of twelve 30-day months. Dividends will be payable to holders of record as they appear in our stock records for the Series G Preferred Stock at the close of business on the applicable record date, which shall be the first day of the calendar month, in which the applicable dividend payment date falls.</w:t>
      </w:r>
    </w:p>
    <w:p>
      <w:pPr>
        <w:pStyle w:val="TextBody"/>
        <w:bidi w:val="0"/>
        <w:spacing w:lineRule="auto" w:line="288" w:before="0" w:after="120"/>
        <w:jc w:val="left"/>
        <w:rPr/>
      </w:pPr>
      <w:r>
        <w:rPr>
          <w:rFonts w:ascii="Times New Roman;serif" w:hAnsi="Times New Roman;serif"/>
          <w:b w:val="false"/>
          <w:i/>
          <w:color w:val="000000"/>
          <w:sz w:val="22"/>
        </w:rPr>
        <w:t>Liquidation Preference</w:t>
      </w:r>
      <w:r>
        <w:rPr>
          <w:rFonts w:ascii="Times New Roman;serif" w:hAnsi="Times New Roman;serif"/>
          <w:b w:val="false"/>
          <w:color w:val="000000"/>
          <w:sz w:val="22"/>
        </w:rPr>
        <w:t>. In the event of our voluntary or involuntary liquidation, dissolution or winding up, holders of the Series G Preferred Stock will be entitled to be paid out of the assets we have legally available for distribution to our stockholders, subject to the preferential rights of the holders of any class or series of our capital stock we may issue ranking senior to the Series G Preferred Stock with respect to the distribution of assets upon liquidation, dissolution or winding up, a liquidation preference of $25,000 per share ($25.00 per depositary share), plus an amount equal to any accumulated and unpaid dividends to, but not including, the date of payment, before any distribution of assets is made to holders of our common stock or any other class or series of our stock that we may issue that ranks junior to the Series G Preferred Stock as to liquidation rights.</w:t>
      </w:r>
    </w:p>
    <w:p>
      <w:pPr>
        <w:pStyle w:val="TextBody"/>
        <w:bidi w:val="0"/>
        <w:spacing w:lineRule="auto" w:line="288" w:before="0" w:after="120"/>
        <w:jc w:val="left"/>
        <w:rPr/>
      </w:pPr>
      <w:r>
        <w:rPr>
          <w:rFonts w:ascii="Times New Roman;serif" w:hAnsi="Times New Roman;serif"/>
          <w:b w:val="false"/>
          <w:i/>
          <w:color w:val="000000"/>
          <w:sz w:val="22"/>
        </w:rPr>
        <w:t>Redemption</w:t>
      </w:r>
      <w:r>
        <w:rPr>
          <w:rFonts w:ascii="Times New Roman;serif" w:hAnsi="Times New Roman;serif"/>
          <w:b w:val="false"/>
          <w:color w:val="000000"/>
          <w:sz w:val="22"/>
        </w:rPr>
        <w:t>. The Series G Preferred Stock will not be redeemable by us prior to October 15, 2027, except under circumstances intended to preserve our qualification as a REIT for federal income tax purposes and except upon the occurrence of a Change of Control (as defined in the Series G Certificate of Designations). On or after October 15, 2027, we may, at our option, redeem any or all of the shares of the Series G Preferred Stock at $25,000 per share ($25.00 per depositary share) plus any accumulated and unpaid dividends to, but not including, the redemption date. In addition, upon the occurrence of a Change of Control, we may, at our option, redeem any or all of the shares of Series G Preferred Stock within 120 days after the first date on which such Change of Control occurred at $25,000 per share ($25.00 per depositary share) plus any accumulated and unpaid dividends to, but not including, the redemption date.</w:t>
      </w:r>
    </w:p>
    <w:p>
      <w:pPr>
        <w:pStyle w:val="TextBody"/>
        <w:bidi w:val="0"/>
        <w:spacing w:lineRule="auto" w:line="288" w:before="0" w:after="120"/>
        <w:jc w:val="left"/>
        <w:rPr/>
      </w:pPr>
      <w:r>
        <w:rPr>
          <w:rFonts w:ascii="Times New Roman;serif" w:hAnsi="Times New Roman;serif"/>
          <w:b w:val="false"/>
          <w:i/>
          <w:color w:val="000000"/>
          <w:sz w:val="22"/>
        </w:rPr>
        <w:t>Maturity</w:t>
      </w:r>
      <w:r>
        <w:rPr>
          <w:rFonts w:ascii="Times New Roman;serif" w:hAnsi="Times New Roman;serif"/>
          <w:b w:val="false"/>
          <w:color w:val="000000"/>
          <w:sz w:val="22"/>
        </w:rPr>
        <w:t>. The Series G Preferred Stock has no stated maturity, is not subject to any sinking fund or mandatory redemption and will remain outstanding indefinitely unless repurchased or redeemed by us or converted into our common stock in connection with a Change of Control by the holders of Series G Preferred Stock.</w:t>
      </w:r>
    </w:p>
    <w:p>
      <w:pPr>
        <w:pStyle w:val="TextBody"/>
        <w:bidi w:val="0"/>
        <w:spacing w:lineRule="auto" w:line="288" w:before="0" w:after="120"/>
        <w:jc w:val="left"/>
        <w:rPr/>
      </w:pPr>
      <w:r>
        <w:rPr>
          <w:rFonts w:ascii="Times New Roman;serif" w:hAnsi="Times New Roman;serif"/>
          <w:b w:val="false"/>
          <w:i/>
          <w:color w:val="000000"/>
          <w:sz w:val="22"/>
        </w:rPr>
        <w:t>Voting Rights</w:t>
      </w:r>
      <w:r>
        <w:rPr>
          <w:rFonts w:ascii="Times New Roman;serif" w:hAnsi="Times New Roman;serif"/>
          <w:b w:val="false"/>
          <w:color w:val="000000"/>
          <w:sz w:val="22"/>
        </w:rPr>
        <w:t xml:space="preserve">. Holders of Series G Preferred Stock will generally have no voting rights. However, if we do not pay dividends on the Series G Preferred Stock for six or more quarterly dividend periods (whether or not consecutive), the holders of the Series G Preferred Stock (voting separately as a class with the holders of all other classes or series of our preferred stock we may issue upon which like voting rights have been conferred and are exercisable and which are entitled to vote as a class with the Series G Preferred Stock in the election referred to below) will be entitled to vote for the election of two additional directors to serve on our Board of Directors until we pay, or declare and set aside funds for the payment of, all dividends that we owe on the Series G Preferred Stock, subject to certain limitations. In addition, the affirmative vote of the holders of at least two-thirds of the outstanding shares of Series G Preferred Stock is required for us to authorize or issue any class or series of stock ranking senior to the Series G Preferred Stock with respect to the payment of dividends or the distribution of assets on liquidation, </w:t>
      </w:r>
    </w:p>
    <w:p>
      <w:pPr>
        <w:pStyle w:val="TextBody"/>
        <w:bidi w:val="0"/>
        <w:spacing w:before="0" w:after="0"/>
        <w:jc w:val="righ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9</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dissolution or winding up, to amend any provision of our Charter so as to materially and adversely affect any rights of the Series G Preferred Stock or to take certain other actions.</w:t>
      </w:r>
    </w:p>
    <w:p>
      <w:pPr>
        <w:pStyle w:val="TextBody"/>
        <w:bidi w:val="0"/>
        <w:spacing w:lineRule="auto" w:line="288" w:before="0" w:after="120"/>
        <w:jc w:val="left"/>
        <w:rPr/>
      </w:pPr>
      <w:r>
        <w:rPr>
          <w:rFonts w:ascii="Times New Roman;serif" w:hAnsi="Times New Roman;serif"/>
          <w:b w:val="false"/>
          <w:i/>
          <w:color w:val="000000"/>
          <w:sz w:val="22"/>
        </w:rPr>
        <w:t>Conversion</w:t>
      </w:r>
      <w:r>
        <w:rPr>
          <w:rFonts w:ascii="Times New Roman;serif" w:hAnsi="Times New Roman;serif"/>
          <w:b w:val="false"/>
          <w:color w:val="000000"/>
          <w:sz w:val="22"/>
        </w:rPr>
        <w:t>. Upon the occurrence of a Change of Control, each holder of Series G Preferred Stock will have the right (subject to our election to redeem the Series G Preferred Stock in whole or in part, as described above, prior to the Change of Control Conversion Date (as defined in the Series G Certificate of Designations)) to convert some or all of the Series G Preferred Stock held by such holder on the Change of Control Conversion Date into a number of shares of our common stock per share of Series G Preferred Stock determined by a formula, in each case, on the terms and subject to the conditions described in the Series G Certificate of Designations, including provisions for the receipt, under specified circumstances, of alternative consideration.</w:t>
      </w:r>
    </w:p>
    <w:p>
      <w:pPr>
        <w:pStyle w:val="TextBody"/>
        <w:bidi w:val="0"/>
        <w:spacing w:lineRule="auto" w:line="288" w:before="0" w:after="120"/>
        <w:jc w:val="left"/>
        <w:rPr>
          <w:rFonts w:ascii="Times New Roman;serif" w:hAnsi="Times New Roman;serif"/>
          <w:b/>
          <w:i/>
          <w:color w:val="000000"/>
          <w:sz w:val="22"/>
        </w:rPr>
      </w:pPr>
      <w:r>
        <w:rPr>
          <w:rFonts w:ascii="Times New Roman;serif" w:hAnsi="Times New Roman;serif"/>
          <w:b/>
          <w:i/>
          <w:color w:val="000000"/>
          <w:sz w:val="22"/>
        </w:rPr>
        <w:t>Description of Series H Preferred Stock Underlying Our Depositary Shares</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On September 9, 2025, we filed a certificate of designations (the “Series H Certificate of Designations”) with the Secretary of State of the State of Delaware to designate 13,800 shares of our Series H Preferred Stock with the powers, designations, preferences and other rights set forth in the Series H Certificate of Designations. The Series H Certificate of Designations became effective upon filing on September 9, 2025. On September 10, 2025, we issued 13,800 shares of the Series H Preferred Stock, which shares were deposited with Computershare Inc. and Computershare Trust Company, N.A., jointly as depositary, against which depositary receipts evidencing 13,800,000 depositary shares were issued, all of which remain outstanding as of December 31, 2025. Each depositary share represents 1/1,000th of a share of Series H Preferred Stock. The depositary shares underlying the Series H Preferred Stock are listed on the Nasdaq Global Select Market under the symbol “AGNCZ.”</w:t>
      </w:r>
    </w:p>
    <w:p>
      <w:pPr>
        <w:pStyle w:val="TextBody"/>
        <w:bidi w:val="0"/>
        <w:spacing w:lineRule="auto" w:line="288" w:before="0" w:after="120"/>
        <w:jc w:val="left"/>
        <w:rPr/>
      </w:pPr>
      <w:r>
        <w:rPr>
          <w:rFonts w:ascii="Times New Roman;serif" w:hAnsi="Times New Roman;serif"/>
          <w:b w:val="false"/>
          <w:i/>
          <w:color w:val="000000"/>
          <w:sz w:val="22"/>
        </w:rPr>
        <w:t>Ranking</w:t>
      </w:r>
      <w:r>
        <w:rPr>
          <w:rFonts w:ascii="Times New Roman;serif" w:hAnsi="Times New Roman;serif"/>
          <w:b w:val="false"/>
          <w:color w:val="000000"/>
          <w:sz w:val="22"/>
        </w:rPr>
        <w:t>. The Series H Preferred Stock ranks, with respect to rights to the payment of dividends and the distribution of assets upon our liquidation, dissolution or winding up, (1) senior to all classes or series of our common stock and to all other equity securities issued by us other than equity securities referred to in clauses (2) and (3); (2) on a parity with all equity securities issued by us with terms specifically providing that those equity securities rank on a parity with the Series H Preferred Stock with respect to rights to the payment of dividends and the distribution of assets upon our liquidation, dissolution or winding up, including the Series H Preferred Stock; (3) junior to all equity securities issued by us with terms specifically providing that those equity securities rank senior to the Series H Preferred Stock with respect to rights to the payment of dividends and the distribution of assets upon our liquidation, dissolution or winding up; and (4) effectively junior to all of our existing and future indebtedness (including indebtedness convertible to our common stock or preferred stock) and to the indebtedness of our existing subsidiary and any future subsidiaries.</w:t>
      </w:r>
    </w:p>
    <w:p>
      <w:pPr>
        <w:pStyle w:val="TextBody"/>
        <w:bidi w:val="0"/>
        <w:spacing w:lineRule="auto" w:line="288" w:before="0" w:after="120"/>
        <w:jc w:val="left"/>
        <w:rPr/>
      </w:pPr>
      <w:r>
        <w:rPr>
          <w:rFonts w:ascii="Times New Roman;serif" w:hAnsi="Times New Roman;serif"/>
          <w:b w:val="false"/>
          <w:i/>
          <w:color w:val="000000"/>
          <w:sz w:val="22"/>
        </w:rPr>
        <w:t>Distributions</w:t>
      </w:r>
      <w:r>
        <w:rPr>
          <w:rFonts w:ascii="Times New Roman;serif" w:hAnsi="Times New Roman;serif"/>
          <w:b w:val="false"/>
          <w:color w:val="000000"/>
          <w:sz w:val="22"/>
        </w:rPr>
        <w:t>. Holders of shares of the Series H Preferred Stock are entitled to receive, when, as and if declared by our Board of Directors, out of funds legally available for the payment of dividends, cumulative cash dividends. The dividend rate for the Series H Preferred Stock from and including the date of original issuance is at a fixed rate equal to 8.75% of the $25,000 liquidation preference per share of Series H Preferred Stock per annum (equivalent to $2,187.50 per annum per share of Series H Preferred Stock or $2.1875 per annum per depositary share). Dividends on the Series H Preferred Stock are payable quarterly in arrears on the 15</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2"/>
        </w:rPr>
        <w:t>day of each January, April, July and October; provided that if any dividend payment date is not a business day, then the dividend which would otherwise have been payable on that dividend payment date may be paid on the next succeeding business day. Dividends accumulate and are cumulative from, and including, the date of original issuance. Dividends payable for any dividend period will be calculated on the basis of a 360-day year consisting of twelve 30-day months. Dividends will be payable to holders of record as they appear in our stock records for the Series H Preferred Stock at the close of business on the applicable record date, which shall be the first day of the calendar month, in which the applicable dividend payment date falls.</w:t>
      </w:r>
    </w:p>
    <w:p>
      <w:pPr>
        <w:pStyle w:val="TextBody"/>
        <w:bidi w:val="0"/>
        <w:spacing w:lineRule="auto" w:line="288" w:before="0" w:after="120"/>
        <w:jc w:val="left"/>
        <w:rPr/>
      </w:pPr>
      <w:r>
        <w:rPr>
          <w:rFonts w:ascii="Times New Roman;serif" w:hAnsi="Times New Roman;serif"/>
          <w:b w:val="false"/>
          <w:i/>
          <w:color w:val="000000"/>
          <w:sz w:val="22"/>
        </w:rPr>
        <w:t>Liquidation Preference</w:t>
      </w:r>
      <w:r>
        <w:rPr>
          <w:rFonts w:ascii="Times New Roman;serif" w:hAnsi="Times New Roman;serif"/>
          <w:b w:val="false"/>
          <w:color w:val="000000"/>
          <w:sz w:val="22"/>
        </w:rPr>
        <w:t>. In the event of our voluntary or involuntary liquidation, dissolution or winding up, holders of the Series H Preferred Stock will be entitled to be paid out of the assets we have legally available for distribution to our stockholders, subject to the preferential rights of the holders of any class or series of our capital stock we may issue ranking senior to the Series H Preferred Stock with respect to the distribution of assets upon liquidation, dissolution or winding up, a liquidation preference of $25,000 per share ($25.00 per depositary share), plus an amount equal to any accumulated and unpaid dividends to, but not including, the date of payment, before any distribution of assets is made to holders of our common stock or any other class or series of our stock that we may issue that ranks junior to the Series H Preferred Stock as to liquidation rights.</w:t>
      </w:r>
    </w:p>
    <w:p>
      <w:pPr>
        <w:pStyle w:val="TextBody"/>
        <w:bidi w:val="0"/>
        <w:spacing w:before="0" w:after="0"/>
        <w:jc w:val="righ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10</w:t>
                      </w:r>
                    </w:p>
                  </w:txbxContent>
                </v:textbox>
                <w10:wrap type="none"/>
              </v:rect>
            </w:pict>
          </mc:Fallback>
        </mc:AlternateContent>
      </w:r>
    </w:p>
    <w:p>
      <w:pPr>
        <w:pStyle w:val="TextBody"/>
        <w:bidi w:val="0"/>
        <w:spacing w:lineRule="auto" w:line="288" w:before="0" w:after="120"/>
        <w:jc w:val="left"/>
        <w:rPr/>
      </w:pPr>
      <w:r>
        <w:rPr>
          <w:rFonts w:ascii="Times New Roman;serif" w:hAnsi="Times New Roman;serif"/>
          <w:b w:val="false"/>
          <w:i/>
          <w:color w:val="000000"/>
          <w:sz w:val="22"/>
        </w:rPr>
        <w:t>Redemption</w:t>
      </w:r>
      <w:r>
        <w:rPr>
          <w:rFonts w:ascii="Times New Roman;serif" w:hAnsi="Times New Roman;serif"/>
          <w:b w:val="false"/>
          <w:color w:val="000000"/>
          <w:sz w:val="22"/>
        </w:rPr>
        <w:t>. The Series H Preferred Stock will not be redeemable by us prior to October 15, 2030, except under circumstances intended to preserve our qualification as a REIT for federal income tax purposes and except upon the occurrence of a Change of Control (as defined in the Series H Certificate of Designations). On or after October 15, 2030, we may, at our option, redeem any or all of the shares of the Series H Preferred Stock at $25,000 per share ($25.00 per depositary share) plus any accumulated and unpaid dividends to, but not including, the redemption date. In addition, upon the occurrence of a Change of Control, we may, at our option, redeem any or all of the shares of Series H Preferred Stock within 120 days after the first date on which such Change of Control occurred at $25,000 per share ($25.00 per depositary share) plus any accumulated and unpaid dividends to, but not including, the redemption date.</w:t>
      </w:r>
    </w:p>
    <w:p>
      <w:pPr>
        <w:pStyle w:val="TextBody"/>
        <w:bidi w:val="0"/>
        <w:spacing w:lineRule="auto" w:line="288" w:before="0" w:after="120"/>
        <w:jc w:val="left"/>
        <w:rPr/>
      </w:pPr>
      <w:r>
        <w:rPr>
          <w:rFonts w:ascii="Times New Roman;serif" w:hAnsi="Times New Roman;serif"/>
          <w:b w:val="false"/>
          <w:i/>
          <w:color w:val="000000"/>
          <w:sz w:val="22"/>
        </w:rPr>
        <w:t>Maturity</w:t>
      </w:r>
      <w:r>
        <w:rPr>
          <w:rFonts w:ascii="Times New Roman;serif" w:hAnsi="Times New Roman;serif"/>
          <w:b w:val="false"/>
          <w:color w:val="000000"/>
          <w:sz w:val="22"/>
        </w:rPr>
        <w:t>. The Series H Preferred Stock has no stated maturity, is not subject to any sinking fund or mandatory redemption and will remain outstanding indefinitely unless repurchased or redeemed by us or converted into our common stock in connection with a Change of Control by the holders of Series H Preferred Stock.</w:t>
      </w:r>
    </w:p>
    <w:p>
      <w:pPr>
        <w:pStyle w:val="TextBody"/>
        <w:bidi w:val="0"/>
        <w:spacing w:lineRule="auto" w:line="288" w:before="0" w:after="120"/>
        <w:jc w:val="left"/>
        <w:rPr/>
      </w:pPr>
      <w:r>
        <w:rPr>
          <w:rFonts w:ascii="Times New Roman;serif" w:hAnsi="Times New Roman;serif"/>
          <w:b w:val="false"/>
          <w:i/>
          <w:color w:val="000000"/>
          <w:sz w:val="22"/>
        </w:rPr>
        <w:t>Voting Rights</w:t>
      </w:r>
      <w:r>
        <w:rPr>
          <w:rFonts w:ascii="Times New Roman;serif" w:hAnsi="Times New Roman;serif"/>
          <w:b w:val="false"/>
          <w:color w:val="000000"/>
          <w:sz w:val="22"/>
        </w:rPr>
        <w:t>. Holders of Series H Preferred Stock will generally have no voting rights. However, if we do not pay dividends on the Series H Preferred Stock for six or more quarterly dividend periods (whether or not consecutive), the holders of the Series H Preferred Stock (voting separately as a class with the holders of all other classes or series of our preferred stock we may issue upon which like voting rights have been conferred and are exercisable and which are entitled to vote as a class with the Series H Preferred Stock in the election referred to below) will be entitled to vote for the election of two additional directors to serve on our Board of Directors until we pay, or declare and set aside funds for the payment of, all dividends that we owe on the Series H Preferred Stock, subject to certain limitations. In addition, the affirmative vote of the holders of at least two-thirds of the outstanding shares of Series H Preferred Stock is required for us to authorize or issue any class or series of stock ranking senior to the Series H Preferred Stock with respect to the payment of dividends or the distribution of assets on liquidation, dissolution or winding up, to amend any provision of our Charter so as to materially and adversely affect any rights of the Series H Preferred Stock or to take certain other actions.</w:t>
      </w:r>
    </w:p>
    <w:p>
      <w:pPr>
        <w:pStyle w:val="TextBody"/>
        <w:bidi w:val="0"/>
        <w:spacing w:lineRule="auto" w:line="288" w:before="0" w:after="120"/>
        <w:jc w:val="left"/>
        <w:rPr/>
      </w:pPr>
      <w:r>
        <w:rPr>
          <w:rFonts w:ascii="Times New Roman;serif" w:hAnsi="Times New Roman;serif"/>
          <w:b w:val="false"/>
          <w:i/>
          <w:color w:val="000000"/>
          <w:sz w:val="22"/>
        </w:rPr>
        <w:t>Conversion</w:t>
      </w:r>
      <w:r>
        <w:rPr>
          <w:rFonts w:ascii="Times New Roman;serif" w:hAnsi="Times New Roman;serif"/>
          <w:b w:val="false"/>
          <w:color w:val="000000"/>
          <w:sz w:val="22"/>
        </w:rPr>
        <w:t>. Upon the occurrence of a Change of Control, each holder of Series H Preferred Stock will have the right (subject to our election to redeem the Series H Preferred Stock in whole or in part, as described above, prior to the Change of Control Conversion Date (as defined in the Series H Certificate of Designations)) to convert some or all of the Series H Preferred Stock held by such holder on the Change of Control Conversion Date into a number of shares of our common stock per share of Series H Preferred Stock determined by a formula, in each case, on the terms and subject to the conditions described in the Series H Certificate of Designations, including provisions for the receipt, under specified circumstances, of alternative consideration.</w:t>
      </w: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Restrictions on Ownership and Transfer of Our Capital Stock</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In order to qualify as a REIT under the Internal Revenue Code, our shares of capital stock must be beneficially owned by 100 or more persons during at least 335 days of a taxable year of 12 months or during a proportionate part of a shorter taxable year. Also, no more than 50% of the value of our outstanding shares of capital stock may be owned, directly or constructively, by five or fewer individuals (as defined in the Internal Revenue Code to include certain entities) during the second half of any calendar year.</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 xml:space="preserve">Our Charter, subject to certain exceptions, contains restrictions on the number of shares of our common stock and our capital stock that a person may own and may prohibit certain entities from owning our shares. Our Charter provides that (subject to certain exceptions described below) no person may beneficially or constructively own, or be deemed to own by virtue of the attribution provisions of the Internal Revenue Code, more than 9.8% in value or in number of shares, whichever is more restrictive, of either our common stock or our capital stock. Pursuant to our Charter, our Board of Directors has the power to increase or decrease the percentage of our common stock and our capital stock that a person may beneficially or constructively own. However, any decreased stock ownership limit will not apply to any person whose percentage ownership of our common stock or our capital stock, as the case may be, is in excess of such decreased stock ownership limit until that person’s percentage ownership of our common stock or our capital stock, as the case may be, equals or falls below the decreased stock ownership limit. Until such a person’s percentage ownership of our common stock or our capital stock, as the case may be, falls below such decreased stock ownership limit, any further acquisition of common stock will be in violation of the decreased stock ownership limit. If our Board of Directors changes the stock ownership limit, it will (i) notify each stockholder of </w:t>
      </w:r>
    </w:p>
    <w:p>
      <w:pPr>
        <w:pStyle w:val="TextBody"/>
        <w:bidi w:val="0"/>
        <w:spacing w:before="0" w:after="0"/>
        <w:jc w:val="righ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11</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record of any such change, and (ii) publicly announce any such change, in each case at least 30 days prior to the effective date of such change.</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Our Charter also prohibits any person from beneficially or constructively owning shares of our capital stock that would result in our being “closely held” under Section 856(h) of the Internal Revenue Code or otherwise cause us to fail to qualify as a REIT and from transferring shares of our capital stock if the transfer would result in our capital stock being beneficially owned by fewer than 100 persons. In addition, no such person may own an interest in any tenant that would cause us to own, actually or constructively, more than a 9.9% interest in such tenant. Any person who acquires or attempts or intends to acquire beneficial or constructive ownership of shares of our capital stock that will or may violate any of the foregoing restrictions on transferability and ownership, or who is the intended transferee of shares of our capital stock that are transferred to the trust (as described below), is required to give written notice immediately to us and provide us with such other information as we may request in order to determine the effect of such transfer on our qualification as a REIT. The foregoing restrictions on transferability and ownership will not apply if our Board of Directors determines that it is no longer in our best interests to attempt to qualify, or to continue to qualify, as a REIT.</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Our Board of Directors, in its sole discretion, may exempt a person from the foregoing restrictions. The person seeking an exemption must provide to our Board of Directors such conditions, representations and undertakings as our Board of Directors may deem reasonably necessary to conclude that granting the exemption will not cause us to lose our qualification as a REIT. Our Board of Directors may also require a ruling from the Internal Revenue Service (the “IRS”) or an opinion of counsel in order to determine or ensure our qualification as a REIT in the context of granting such exemptions.</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Any attempted transfer of our capital stock which, if effective, would result in a violation of the foregoing restrictions will cause the number of shares causing the violation (rounded up to the nearest whole share) to be automatically transferred to a trust for the exclusive benefit of one or more charitable beneficiaries, and the proposed transferee will not acquire any rights in such shares. The automatic transfer will be deemed to be effective as of the close of business on the business day (as defined in our Charter) prior to the date of the transfer. If, for any reason, the transfer to the trust does not occur or would not prevent a violation of the restrictions on ownership contained in our Charter, our Charter provides that the purported transfer will be void ab initio. Shares of our capital stock held in the trust will be issued and outstanding shares. The proposed transferee will not benefit economically from ownership of any shares of our capital stock held in the trust, will have no rights to dividends and no rights to vote or other rights attributable to the shares of capital stock held in the trust. The trustee of the trust will have all voting rights and rights to dividends or other distributions with respect to shares held in the trust. These rights will be exercised for the exclusive benefit of the charitable beneficiary. Any dividend or other distribution paid prior to our discovery that shares of capital stock have been transferred to the trust will be paid by the recipient to the trustee upon demand. Any dividend or other distribution authorized but unpaid will be paid when due to the trustee. Any dividend or distribution paid to the trustee will be held in trust for the charitable beneficiary. Subject to Delaware law, the trustee will have the authority to rescind as void any vote cast by the proposed transferee prior to our discovery that the shares have been transferred to the trust and to recast the vote in accordance with the desires of the trustee acting for the benefit of the charitable beneficiary. However, if we have already taken irreversible corporate action, then the trustee will not have the authority to rescind and recast the vote.</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 xml:space="preserve">Within 20 days of receiving notice from us that shares of our capital stock have been transferred to the trust, the trustee will sell the shares to a person designated by the trustee, whose ownership of the shares will not violate the above ownership limitations. Upon such sale, the interest of the charitable beneficiary in the shares sold will terminate and the trustee will distribute the net proceeds of the sale to the proposed transferee and to the charitable beneficiary as follows: the proposed transferee will receive the lesser of (1) the price paid by the proposed transferee for the shares or, if the proposed transferee did not give value for the shares in connection with the event causing the shares to be held in the trust (e.g., a gift, devise or other similar transaction), the market price (as defined in our Charter) of the shares on the day of the event causing the shares to be held in the trust and (2) the price received by the trustee from the sale or other disposition of the shares. Any net sale proceeds in excess of the amount payable to the proposed transferee will be paid immediately to the charitable beneficiary. If, prior to our discovery that shares of our capital stock have been transferred to the trust, the shares are sold by the proposed transferee, then (1) the shares shall be deemed to have been sold on behalf of the trust and (2) to the extent that the proposed transferee </w:t>
      </w:r>
    </w:p>
    <w:p>
      <w:pPr>
        <w:pStyle w:val="TextBody"/>
        <w:bidi w:val="0"/>
        <w:spacing w:before="0" w:after="0"/>
        <w:jc w:val="righ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12</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received an amount for the shares that exceeds the amount the proposed transferee was entitled to receive, the excess shall be paid to the trustee upon demand.</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In addition, shares of our capital stock held in the trust will be deemed to have been offered for sale to us, or our designee, at a price per share equal to the lesser of the price per share in the transaction that resulted in the transfer to the trust (or, in the case of a devise or gift, the market price at the time of the devise or gift) and the market price on the date we, or our designee, accept the offer. We will have the right to accept the offer until the trustee has sold the shares. Upon a sale to us, the interest of the charitable beneficiary in the shares sold will terminate and the trustee will distribute the net proceeds of the sale to the proposed transferee.</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Every owner of more than 5% (or such lower percentage as required by the Internal Revenue Code or the regulations promulgated thereunder) in number or in value of all classes or series of our capital stock, including shares of our common stock, within 30 days after the end of each taxable year, will be required to give written notice to us stating the name and address of such owner, the number of shares of each class and series of shares of our capital stock that the owner beneficially owns and a description of the manner in which the shares are held. Each owner shall provide to us such additional information as we may request to determine the effect, if any, of the beneficial ownership on our qualification as a REIT and to ensure compliance with the ownership limitations. In addition, each such owner shall, upon demand, be required to provide to us such information as we may request, in good faith, to determine our qualification as a REIT and to comply with the requirements of any taxing authority or governmental authority or to determine such compliance and to ensure compliance with the 9.8% ownership limitations in our Charter.</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These ownership limitations could delay, defer or prevent a transaction or a change in control that might involve a premium price for our common stock or might otherwise be in the best interests of our stockholders.</w:t>
      </w: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Anti-Takeover Effects of Delaware Law and Our Charter and Bylaws</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Our Charter and Bylaws contain provisions that are intended to enhance the likelihood of continuity and stability in the composition of the Board of Directors and that may have the effect of delaying, deferring, or preventing a future takeover or change in control of our Company unless the takeover or change in control is approved by our Board of Directors. In addition to the above-described restrictions regarding the transfer and ownership of our capital stock, these provisions include the following:</w:t>
      </w:r>
    </w:p>
    <w:p>
      <w:pPr>
        <w:pStyle w:val="TextBody"/>
        <w:bidi w:val="0"/>
        <w:spacing w:lineRule="auto" w:line="288" w:before="0" w:after="120"/>
        <w:jc w:val="left"/>
        <w:rPr>
          <w:rFonts w:ascii="Times New Roman;serif" w:hAnsi="Times New Roman;serif"/>
          <w:b/>
          <w:i/>
          <w:color w:val="000000"/>
          <w:sz w:val="22"/>
        </w:rPr>
      </w:pPr>
      <w:r>
        <w:rPr>
          <w:rFonts w:ascii="Times New Roman;serif" w:hAnsi="Times New Roman;serif"/>
          <w:b/>
          <w:i/>
          <w:color w:val="000000"/>
          <w:sz w:val="22"/>
        </w:rPr>
        <w:t>Stockholder Action by Written Consent</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Our Charter provides that stockholder action may not be taken by written consent in lieu of a meeting and that stockholder action may be taken only at an annual or special meeting of stockholders.</w:t>
      </w:r>
    </w:p>
    <w:p>
      <w:pPr>
        <w:pStyle w:val="TextBody"/>
        <w:bidi w:val="0"/>
        <w:spacing w:lineRule="auto" w:line="288" w:before="0" w:after="120"/>
        <w:jc w:val="left"/>
        <w:rPr>
          <w:rFonts w:ascii="Times New Roman;serif" w:hAnsi="Times New Roman;serif"/>
          <w:b/>
          <w:i/>
          <w:color w:val="000000"/>
          <w:sz w:val="22"/>
        </w:rPr>
      </w:pPr>
      <w:r>
        <w:rPr>
          <w:rFonts w:ascii="Times New Roman;serif" w:hAnsi="Times New Roman;serif"/>
          <w:b/>
          <w:i/>
          <w:color w:val="000000"/>
          <w:sz w:val="22"/>
        </w:rPr>
        <w:t>Elimination of the Ability to Call Special Meetings</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Our Bylaws provide that, except as otherwise required by law, special meetings of our stockholders can only be called by our chief executive officer, pursuant to a resolution adopted by a majority of our Board of Directors or a committee of the Board of Directors that has been duly designated by the Board of Directors and whose powers and authority include the power to call such meetings, or by the chair of our Board of Directors. Stockholders are not permitted to call a special meeting or to require our Board of Directors to call a special meeting.</w:t>
      </w:r>
    </w:p>
    <w:p>
      <w:pPr>
        <w:pStyle w:val="TextBody"/>
        <w:bidi w:val="0"/>
        <w:spacing w:lineRule="auto" w:line="288" w:before="0" w:after="120"/>
        <w:jc w:val="left"/>
        <w:rPr>
          <w:rFonts w:ascii="Times New Roman;serif" w:hAnsi="Times New Roman;serif"/>
          <w:b/>
          <w:i/>
          <w:color w:val="000000"/>
          <w:sz w:val="22"/>
        </w:rPr>
      </w:pPr>
      <w:r>
        <w:rPr>
          <w:rFonts w:ascii="Times New Roman;serif" w:hAnsi="Times New Roman;serif"/>
          <w:b/>
          <w:i/>
          <w:color w:val="000000"/>
          <w:sz w:val="22"/>
        </w:rPr>
        <w:t>Removal of Directors; Board of Directors Vacancies</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Our Charter provides that members of our Board of Directors may be removed at any time with or without cause, with the affirmative vote of the holders of at least 66% of the combined voting power of all the shares of all classes of our capital stock entitled to vote generally in the election of directors. Our Bylaws provide that only our Board of Directors may fill vacant directorships. These provisions would prevent a stockholder from gaining control of our Board of Directors by removing incumbent directors and filling the resulting vacancies with such stockholder’s own nominees.</w:t>
      </w:r>
    </w:p>
    <w:p>
      <w:pPr>
        <w:pStyle w:val="TextBody"/>
        <w:bidi w:val="0"/>
        <w:spacing w:lineRule="auto" w:line="288" w:before="0" w:after="120"/>
        <w:jc w:val="left"/>
        <w:rPr>
          <w:rFonts w:ascii="Times New Roman;serif" w:hAnsi="Times New Roman;serif"/>
          <w:b/>
          <w:i/>
          <w:color w:val="000000"/>
          <w:sz w:val="22"/>
        </w:rPr>
      </w:pPr>
      <w:r>
        <w:rPr>
          <w:rFonts w:ascii="Times New Roman;serif" w:hAnsi="Times New Roman;serif"/>
          <w:b/>
          <w:i/>
          <w:color w:val="000000"/>
          <w:sz w:val="22"/>
        </w:rPr>
        <w:t>Amendment of Certificate of Incorporation and By-laws</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 xml:space="preserve">The General Corporation Law of the State of Delaware, or DGCL, provides generally that the affirmative vote of a majority of the outstanding shares entitled to vote is required to amend or repeal a corporation’s certificate of incorporation or by-laws, unless the certificate of incorporation requires a greater percentage. Our Charter generally </w:t>
      </w:r>
    </w:p>
    <w:p>
      <w:pPr>
        <w:pStyle w:val="TextBody"/>
        <w:bidi w:val="0"/>
        <w:spacing w:before="0" w:after="0"/>
        <w:jc w:val="righ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13</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requires the approval of both a majority of the combined voting power of all the classes of shares of our capital stock entitled to vote generally in the election of directors and a majority of the members of our Board of Directors to amend any provisions of our Charter except that provisions of our Charter relating to the powers, numbers, classes, elections, terms and removal of our directors, the ability to fill vacancies on our Board of Directors and our election to qualify as a REIT requires the affirmative vote of at least 66% of the combined voting power of all the shares of all classes of our capital stock entitled to vote generally in the election of directors. In addition, our Charter (i) grants our Board of Directors the authority to amend and repeal our Bylaws without a stockholder vote in any manner not inconsistent with the DGCL and (ii) requires that stockholders may only amend our Bylaws with the affirmative vote of 66% of the combined voting power of all the shares of all classes of our capital stock entitled to vote generally in the election of directors.</w:t>
      </w:r>
    </w:p>
    <w:p>
      <w:pPr>
        <w:pStyle w:val="TextBody"/>
        <w:bidi w:val="0"/>
        <w:spacing w:lineRule="auto" w:line="268" w:before="0" w:after="120"/>
        <w:jc w:val="left"/>
        <w:rPr>
          <w:rFonts w:ascii="Times New Roman;serif" w:hAnsi="Times New Roman;serif"/>
          <w:b w:val="false"/>
          <w:color w:val="000000"/>
          <w:sz w:val="22"/>
        </w:rPr>
      </w:pPr>
      <w:r>
        <w:rPr>
          <w:rFonts w:ascii="Times New Roman;serif" w:hAnsi="Times New Roman;serif"/>
          <w:b w:val="false"/>
          <w:color w:val="000000"/>
          <w:sz w:val="22"/>
        </w:rPr>
        <w:t>The foregoing provisions of our Charter and Bylaws could discourage potential acquisition proposals and could delay or prevent a change in control. These provisions are intended to enhance the likelihood of continuity and stability in the composition of our Board of Directors and in the policies formulated by our Board of Directors and to discourage certain types of transactions that may involve an actual or threatened change of control.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 our common stock that could result from actual or rumored takeover attempts. Such provisions also may have the effect of preventing changes in our management or delaying or preventing a transaction that might benefit you or other minority stockholders.</w:t>
      </w: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Section 203 of the DGCL</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We will not be subject to Section 203 of the DGCL, an anti-takeover law. In general, Section 203 prohibits a publicly- held Delaware corporation from engaging in a “business combination” with an “interested stockholder” for a period of three years following the date the person became an interested stockholder, unless (with certain exceptions) the “business combination” or the transaction in which the person became an interested stockholder is approved in a prescribed manner. Generally, a “business 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 interested stockholder status, did own) 15% or more of a corporation’s voting stock. In our original certificate of incorporation, we elected not to be bound by Section 203.</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14</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the following Registration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Form S-8 (No. 333-151027),</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Form S-8 (No. 333-216282),</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 Form S-8 (No. 333-255904), and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 Form S-3 (No. 333-279249);</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of our reports dated February 23, 2026, with respect to the consolidated financial statements of AGNC Investment Corp., and the effectiveness of internal control over financial reporting of AGNC Investment Corp., included in this Annual Report (Form 10-K) of AGNC Investment Corp. for the year ended December 31, 2025.</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Tysons, Virginia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February 23, 2026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POWER OF ATTORNEY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KNOW ALL MEN BY THESE PRESENTS, that the undersigned directors and officers of AGNC Investment Corp., a corporation organized under the laws of the state of Delaware (the “Corporation”), hereby constitute and appoint Bernice Bell, Kenneth Pollack and Kasey Reisman and each of them (with full power to each of them to act alone), his/her true and lawful attorneys</w:t>
        <w:noBreakHyphen/>
        <w:t>in</w:t>
        <w:noBreakHyphen/>
        <w:t>fact and agents for him/her and on his/her behalf and in his/her name, place and stead, in all cases with full power of substitution and resubstitution, in any hand and all capacities, to sign, execute and affix his/her seal to and file with the Securities and Exchange Commission (or any other governmental or regulatory authority) the Corporation’s Annual Report on Form 10-K for the fiscal year ended December 31, 2025, and all amendments or supplements thereto with all exhibits and any and all documents required to be filed with respect thereto, and grants to each of them full power and authority to do and to perform each and every act and thing requisite and necessary to be done in and about the premises in order to effectuate the same as fully and to all intents and purposes as he/she might or could do if personally present, hereby ratifying and confirming all that said attorneys</w:t>
        <w:noBreakHyphen/>
        <w:t>in</w:t>
        <w:noBreakHyphen/>
        <w:t xml:space="preserve">fact and agents, or any of them, may lawfully do or cause to be done by virtue hereof.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IN WITNESS WHEREOF, each of the undersigned directors and/or officers has hereunto set his/her hand and seal, as of the date specified.</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color w:val="000000"/>
          <w:sz w:val="24"/>
        </w:rPr>
        <w:t>AGNC INVESTMENT CORP.</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Dated: Febr</w:t>
      </w:r>
      <w:r>
        <w:rPr>
          <w:rFonts w:ascii="Times New Roman;serif" w:hAnsi="Times New Roman;serif"/>
          <w:b w:val="false"/>
          <w:color w:val="000000"/>
          <w:sz w:val="22"/>
        </w:rPr>
        <w:t>uary 21, 2026</w:t>
      </w:r>
      <w:r>
        <w:rPr>
          <w:color w:val="000000"/>
        </w:rPr>
        <w:t>        </w:t>
      </w:r>
      <w:r>
        <w:rPr>
          <w:rFonts w:ascii="Times New Roman;serif" w:hAnsi="Times New Roman;serif"/>
          <w:b w:val="false"/>
          <w:color w:val="000000"/>
          <w:sz w:val="22"/>
          <w:u w:val="single"/>
        </w:rPr>
        <w:t xml:space="preserve">/s/ Peter J. Federico </w:t>
      </w:r>
      <w:r>
        <w:rPr>
          <w:color w:val="000000"/>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Peter J. Federico</w:t>
      </w:r>
    </w:p>
    <w:p>
      <w:pPr>
        <w:pStyle w:val="TextBody"/>
        <w:bidi w:val="0"/>
        <w:spacing w:lineRule="auto" w:line="288" w:before="0" w:after="0"/>
        <w:ind w:left="0" w:right="0" w:hanging="3600"/>
        <w:jc w:val="left"/>
        <w:rPr>
          <w:color w:val="000000"/>
        </w:rPr>
      </w:pPr>
      <w:r>
        <w:rPr>
          <w:color w:val="000000"/>
        </w:rPr>
        <w:t>    </w:t>
      </w:r>
      <w:r>
        <w:rPr>
          <w:rFonts w:ascii="Times New Roman;serif" w:hAnsi="Times New Roman;serif"/>
          <w:b w:val="false"/>
          <w:color w:val="000000"/>
          <w:sz w:val="24"/>
        </w:rPr>
        <w:t xml:space="preserve">President, Chief Executive Officer, and Chief </w:t>
      </w:r>
    </w:p>
    <w:p>
      <w:pPr>
        <w:pStyle w:val="TextBody"/>
        <w:bidi w:val="0"/>
        <w:spacing w:lineRule="auto" w:line="288" w:before="0" w:after="0"/>
        <w:ind w:left="0" w:right="0" w:hanging="3600"/>
        <w:jc w:val="left"/>
        <w:rPr>
          <w:rFonts w:ascii="Times New Roman;serif" w:hAnsi="Times New Roman;serif"/>
          <w:b w:val="false"/>
          <w:color w:val="000000"/>
          <w:sz w:val="24"/>
        </w:rPr>
      </w:pPr>
      <w:r>
        <w:rPr>
          <w:rFonts w:ascii="Times New Roman;serif" w:hAnsi="Times New Roman;serif"/>
          <w:b w:val="false"/>
          <w:color w:val="000000"/>
          <w:sz w:val="24"/>
        </w:rPr>
        <w:t>Investment Officer</w:t>
      </w:r>
    </w:p>
    <w:p>
      <w:pPr>
        <w:pStyle w:val="TextBody"/>
        <w:bidi w:val="0"/>
        <w:spacing w:before="0" w:after="0"/>
        <w:ind w:left="0" w:right="0" w:hanging="4005"/>
        <w:jc w:val="left"/>
        <w:rPr/>
      </w:pPr>
      <w:r>
        <w:rPr/>
      </w:r>
    </w:p>
    <w:p>
      <w:pPr>
        <w:pStyle w:val="TextBody"/>
        <w:bidi w:val="0"/>
        <w:spacing w:before="0" w:after="0"/>
        <w:ind w:left="0" w:right="0" w:hanging="4005"/>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166"/>
        <w:gridCol w:w="965"/>
        <w:gridCol w:w="969"/>
        <w:gridCol w:w="109"/>
        <w:gridCol w:w="109"/>
        <w:gridCol w:w="109"/>
        <w:gridCol w:w="1617"/>
        <w:gridCol w:w="1617"/>
        <w:gridCol w:w="1647"/>
        <w:gridCol w:w="109"/>
        <w:gridCol w:w="109"/>
        <w:gridCol w:w="109"/>
        <w:gridCol w:w="455"/>
        <w:gridCol w:w="455"/>
        <w:gridCol w:w="660"/>
      </w:tblGrid>
      <w:tr>
        <w:trPr/>
        <w:tc>
          <w:tcPr>
            <w:tcW w:w="116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3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u w:val="single"/>
              </w:rPr>
            </w:pPr>
            <w:r>
              <w:rPr>
                <w:rFonts w:ascii="Times New Roman;serif" w:hAnsi="Times New Roman;serif"/>
                <w:b/>
                <w:color w:val="000000"/>
                <w:sz w:val="24"/>
                <w:u w:val="single"/>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u w:val="single"/>
              </w:rPr>
            </w:pPr>
            <w:r>
              <w:rPr>
                <w:rFonts w:ascii="Times New Roman;serif" w:hAnsi="Times New Roman;serif"/>
                <w:b/>
                <w:color w:val="000000"/>
                <w:sz w:val="24"/>
                <w:u w:val="single"/>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u w:val="single"/>
              </w:rPr>
            </w:pPr>
            <w:r>
              <w:rPr>
                <w:rFonts w:ascii="Times New Roman;serif" w:hAnsi="Times New Roman;serif"/>
                <w:b/>
                <w:color w:val="000000"/>
                <w:sz w:val="24"/>
                <w:u w:val="single"/>
              </w:rPr>
              <w:t>Date</w:t>
            </w:r>
          </w:p>
        </w:tc>
      </w:tr>
      <w:tr>
        <w:trPr/>
        <w:tc>
          <w:tcPr>
            <w:tcW w:w="3100"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 xml:space="preserve">/s/ Donna J. Blank                          </w:t>
            </w:r>
          </w:p>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Donna J. Blank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February 21, 2026</w:t>
            </w:r>
          </w:p>
        </w:tc>
      </w:tr>
      <w:tr>
        <w:trPr/>
        <w:tc>
          <w:tcPr>
            <w:tcW w:w="3100"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 xml:space="preserve">/s/ Morris A. Davis                         </w:t>
            </w:r>
          </w:p>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Morris A. Davis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February 21, 2026</w:t>
            </w:r>
          </w:p>
        </w:tc>
      </w:tr>
      <w:tr>
        <w:trPr/>
        <w:tc>
          <w:tcPr>
            <w:tcW w:w="3100"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 xml:space="preserve">/s/ Peter J. Federico                         </w:t>
            </w:r>
          </w:p>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Peter J. Federico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Director, President, Chief Executive Officer and Chief Investment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February 21, 2026</w:t>
            </w:r>
          </w:p>
        </w:tc>
      </w:tr>
      <w:tr>
        <w:trPr/>
        <w:tc>
          <w:tcPr>
            <w:tcW w:w="3100"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 xml:space="preserve">/s/ John D. Fisk                         </w:t>
            </w:r>
          </w:p>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John D. Fisk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February 21, 2026</w:t>
            </w:r>
          </w:p>
        </w:tc>
      </w:tr>
      <w:tr>
        <w:trPr/>
        <w:tc>
          <w:tcPr>
            <w:tcW w:w="3100"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 xml:space="preserve">/s/ Christine L. Hurtsellers               </w:t>
            </w:r>
          </w:p>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Christine L. Hurtsellers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February 21, 2026</w:t>
            </w:r>
          </w:p>
        </w:tc>
      </w:tr>
      <w:tr>
        <w:trPr/>
        <w:tc>
          <w:tcPr>
            <w:tcW w:w="3100"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Andrew A. Johnson, Jr.               </w:t>
            </w:r>
          </w:p>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Andrew A Johnson,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February 21, 2026</w:t>
            </w:r>
          </w:p>
        </w:tc>
      </w:tr>
      <w:tr>
        <w:trPr/>
        <w:tc>
          <w:tcPr>
            <w:tcW w:w="3100"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 xml:space="preserve">/s/ Gary D. Kain                             </w:t>
            </w:r>
          </w:p>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Gary D. Kain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Director, Executive Chair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February 21, 2026</w:t>
            </w:r>
          </w:p>
        </w:tc>
      </w:tr>
      <w:tr>
        <w:trPr/>
        <w:tc>
          <w:tcPr>
            <w:tcW w:w="3100"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Prue B. Larocca                          </w:t>
            </w:r>
          </w:p>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Prue B. Larocca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February 21, 2026</w:t>
            </w:r>
          </w:p>
        </w:tc>
      </w:tr>
      <w:tr>
        <w:trPr/>
        <w:tc>
          <w:tcPr>
            <w:tcW w:w="3100"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Paul E. Mullings                         </w:t>
            </w:r>
          </w:p>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Paul E. Mullings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February 21, 2026</w:t>
            </w:r>
          </w:p>
        </w:tc>
      </w:tr>
      <w:tr>
        <w:trPr/>
        <w:tc>
          <w:tcPr>
            <w:tcW w:w="3100"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Frances R. Spark                         </w:t>
            </w:r>
          </w:p>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Frances R. Spark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February 21, 2026</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AGNC Investment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Section 302(a)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both"/>
        <w:rPr/>
      </w:pPr>
      <w:r>
        <w:rPr/>
      </w:r>
    </w:p>
    <w:p>
      <w:pPr>
        <w:pStyle w:val="TextBody"/>
        <w:bidi w:val="0"/>
        <w:spacing w:lineRule="auto" w:line="288" w:before="0" w:after="0"/>
        <w:ind w:left="0" w:right="0" w:hanging="225"/>
        <w:jc w:val="both"/>
        <w:rPr>
          <w:rFonts w:ascii="Times New Roman;serif" w:hAnsi="Times New Roman;serif"/>
          <w:b w:val="false"/>
          <w:color w:val="000000"/>
          <w:sz w:val="20"/>
        </w:rPr>
      </w:pPr>
      <w:r>
        <w:rPr>
          <w:rFonts w:ascii="Times New Roman;serif" w:hAnsi="Times New Roman;serif"/>
          <w:b w:val="false"/>
          <w:color w:val="000000"/>
          <w:sz w:val="20"/>
        </w:rPr>
        <w:t xml:space="preserve">I, Peter J. Federico, certify that: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1.    I have reviewed this Annual Report on Form 10-K of AGNC Investment Corp.;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p>
    <w:tbl>
      <w:tblPr>
        <w:tblW w:w="8546" w:type="dxa"/>
        <w:jc w:val="left"/>
        <w:tblInd w:w="0" w:type="dxa"/>
        <w:tblLayout w:type="fixed"/>
        <w:tblCellMar>
          <w:top w:w="28" w:type="dxa"/>
          <w:left w:w="28" w:type="dxa"/>
          <w:bottom w:w="28" w:type="dxa"/>
          <w:right w:w="28" w:type="dxa"/>
        </w:tblCellMar>
      </w:tblPr>
      <w:tblGrid>
        <w:gridCol w:w="200"/>
        <w:gridCol w:w="177"/>
        <w:gridCol w:w="178"/>
        <w:gridCol w:w="2536"/>
        <w:gridCol w:w="2536"/>
        <w:gridCol w:w="2547"/>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7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23,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P</w:t>
            </w:r>
            <w:r>
              <w:rPr>
                <w:rFonts w:ascii="Times New Roman;serif" w:hAnsi="Times New Roman;serif"/>
                <w:b w:val="false"/>
                <w:color w:val="000000"/>
                <w:sz w:val="16"/>
              </w:rPr>
              <w:t>ETER</w:t>
            </w:r>
            <w:r>
              <w:rPr>
                <w:color w:val="000000"/>
              </w:rPr>
              <w:t xml:space="preserve"> </w:t>
            </w:r>
            <w:r>
              <w:rPr>
                <w:rFonts w:ascii="Times New Roman;serif" w:hAnsi="Times New Roman;serif"/>
                <w:b w:val="false"/>
                <w:color w:val="000000"/>
                <w:sz w:val="20"/>
              </w:rPr>
              <w:t>J. F</w:t>
            </w:r>
            <w:r>
              <w:rPr>
                <w:rFonts w:ascii="Times New Roman;serif" w:hAnsi="Times New Roman;serif"/>
                <w:b w:val="false"/>
                <w:color w:val="000000"/>
                <w:sz w:val="16"/>
              </w:rPr>
              <w:t>EDERICO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Peter J. Federico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Chief Investment Officer (Principal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AGNC Investment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Section 302(a)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ind w:left="0" w:right="0" w:hanging="225"/>
        <w:jc w:val="both"/>
        <w:rPr/>
      </w:pPr>
      <w:r>
        <w:rPr/>
      </w:r>
    </w:p>
    <w:p>
      <w:pPr>
        <w:pStyle w:val="TextBody"/>
        <w:bidi w:val="0"/>
        <w:spacing w:before="0" w:after="0"/>
        <w:ind w:left="0" w:right="0" w:hanging="225"/>
        <w:jc w:val="both"/>
        <w:rPr/>
      </w:pPr>
      <w:r>
        <w:rPr/>
      </w:r>
    </w:p>
    <w:p>
      <w:pPr>
        <w:pStyle w:val="TextBody"/>
        <w:bidi w:val="0"/>
        <w:spacing w:lineRule="auto" w:line="288" w:before="0" w:after="0"/>
        <w:ind w:left="0" w:right="0" w:hanging="225"/>
        <w:jc w:val="both"/>
        <w:rPr>
          <w:rFonts w:ascii="Times New Roman;serif" w:hAnsi="Times New Roman;serif"/>
          <w:b w:val="false"/>
          <w:color w:val="000000"/>
          <w:sz w:val="20"/>
        </w:rPr>
      </w:pPr>
      <w:r>
        <w:rPr>
          <w:rFonts w:ascii="Times New Roman;serif" w:hAnsi="Times New Roman;serif"/>
          <w:b w:val="false"/>
          <w:color w:val="000000"/>
          <w:sz w:val="20"/>
        </w:rPr>
        <w:t xml:space="preserve">I, Bernice E. Bell, certify that: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1.    I have reviewed this Annual Report on Form 10-K of AGNC Investment Corp;</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entitles, particularly during the period in which this report is being prepared;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ind w:left="0" w:right="0" w:hanging="450"/>
        <w:jc w:val="both"/>
        <w:rPr/>
      </w:pPr>
      <w:r>
        <w:rPr/>
      </w:r>
    </w:p>
    <w:tbl>
      <w:tblPr>
        <w:tblW w:w="7632" w:type="dxa"/>
        <w:jc w:val="left"/>
        <w:tblInd w:w="0" w:type="dxa"/>
        <w:tblLayout w:type="fixed"/>
        <w:tblCellMar>
          <w:top w:w="28" w:type="dxa"/>
          <w:left w:w="28" w:type="dxa"/>
          <w:bottom w:w="28" w:type="dxa"/>
          <w:right w:w="28" w:type="dxa"/>
        </w:tblCellMar>
      </w:tblPr>
      <w:tblGrid>
        <w:gridCol w:w="200"/>
        <w:gridCol w:w="177"/>
        <w:gridCol w:w="178"/>
        <w:gridCol w:w="2233"/>
        <w:gridCol w:w="2233"/>
        <w:gridCol w:w="2239"/>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6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23,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B</w:t>
            </w:r>
            <w:r>
              <w:rPr>
                <w:rFonts w:ascii="Times New Roman;serif" w:hAnsi="Times New Roman;serif"/>
                <w:b w:val="false"/>
                <w:color w:val="000000"/>
                <w:sz w:val="16"/>
              </w:rPr>
              <w:t>ERNICE</w:t>
            </w:r>
            <w:r>
              <w:rPr>
                <w:color w:val="000000"/>
              </w:rPr>
              <w:t xml:space="preserve"> </w:t>
            </w:r>
            <w:r>
              <w:rPr>
                <w:rFonts w:ascii="Times New Roman;serif" w:hAnsi="Times New Roman;serif"/>
                <w:b w:val="false"/>
                <w:color w:val="000000"/>
                <w:sz w:val="20"/>
              </w:rPr>
              <w:t>E. B</w:t>
            </w:r>
            <w:r>
              <w:rPr>
                <w:rFonts w:ascii="Times New Roman;serif" w:hAnsi="Times New Roman;serif"/>
                <w:b w:val="false"/>
                <w:color w:val="000000"/>
                <w:sz w:val="16"/>
              </w:rPr>
              <w:t>ELL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Bernice E. Bell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 (Principal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w:t>
      </w:r>
    </w:p>
    <w:p>
      <w:pPr>
        <w:pStyle w:val="TextBody"/>
        <w:bidi w:val="0"/>
        <w:spacing w:before="0" w:after="0"/>
        <w:jc w:val="right"/>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AGNC Investment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CEO and CFO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Peter J. Federico, President, Chief Executive Officer and Chief Investment Officer, and Bernice E. Bell, Executive Vice President and Chief Financial Officer of AGNC Investment Corp. (the "Company"), certify pursuant to Section 906 of the Sarbanes-Oxley Act of 2002, 18 U.S.C. Section 1350 that: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Annual Report on Form 10-K of the Company for the fiscal year ended December 31, 2025 (the "Report") fully complies with the requirements of Section 13(a) of the Securities Exchange Act of 1934 (15 U.S.C. 78m);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ind w:left="0" w:right="0" w:firstLine="495"/>
        <w:jc w:val="both"/>
        <w:rPr/>
      </w:pPr>
      <w:r>
        <w:rPr/>
      </w:r>
    </w:p>
    <w:p>
      <w:pPr>
        <w:pStyle w:val="TextBody"/>
        <w:bidi w:val="0"/>
        <w:spacing w:lineRule="auto" w:line="288" w:before="0" w:after="0"/>
        <w:jc w:val="left"/>
        <w:rPr>
          <w:color w:val="000000"/>
        </w:rPr>
      </w:pPr>
      <w:r>
        <w:rPr>
          <w:color w:val="000000"/>
        </w:rPr>
        <w:t> </w:t>
      </w:r>
    </w:p>
    <w:tbl>
      <w:tblPr>
        <w:tblW w:w="5486" w:type="dxa"/>
        <w:jc w:val="left"/>
        <w:tblInd w:w="0" w:type="dxa"/>
        <w:tblLayout w:type="fixed"/>
        <w:tblCellMar>
          <w:top w:w="28" w:type="dxa"/>
          <w:left w:w="28" w:type="dxa"/>
          <w:bottom w:w="28" w:type="dxa"/>
          <w:right w:w="28" w:type="dxa"/>
        </w:tblCellMar>
      </w:tblPr>
      <w:tblGrid>
        <w:gridCol w:w="233"/>
        <w:gridCol w:w="205"/>
        <w:gridCol w:w="207"/>
        <w:gridCol w:w="1488"/>
        <w:gridCol w:w="1488"/>
        <w:gridCol w:w="1493"/>
        <w:gridCol w:w="109"/>
        <w:gridCol w:w="109"/>
        <w:gridCol w:w="154"/>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P</w:t>
            </w:r>
            <w:r>
              <w:rPr>
                <w:rFonts w:ascii="Times New Roman;serif" w:hAnsi="Times New Roman;serif"/>
                <w:b w:val="false"/>
                <w:color w:val="000000"/>
                <w:sz w:val="16"/>
              </w:rPr>
              <w:t>ETER</w:t>
            </w:r>
            <w:r>
              <w:rPr>
                <w:color w:val="000000"/>
              </w:rPr>
              <w:t xml:space="preserve"> </w:t>
            </w:r>
            <w:r>
              <w:rPr>
                <w:rFonts w:ascii="Times New Roman;serif" w:hAnsi="Times New Roman;serif"/>
                <w:b w:val="false"/>
                <w:color w:val="000000"/>
                <w:sz w:val="20"/>
              </w:rPr>
              <w:t>J. F</w:t>
            </w:r>
            <w:r>
              <w:rPr>
                <w:rFonts w:ascii="Times New Roman;serif" w:hAnsi="Times New Roman;serif"/>
                <w:b w:val="false"/>
                <w:color w:val="000000"/>
                <w:sz w:val="16"/>
              </w:rPr>
              <w:t>EDERICO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Peter J. Federico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President, Chief Executive Officer and </w:t>
              <w:br/>
              <w:t>Chief Investment Officer (Principal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23,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B</w:t>
            </w:r>
            <w:r>
              <w:rPr>
                <w:rFonts w:ascii="Times New Roman;serif" w:hAnsi="Times New Roman;serif"/>
                <w:b w:val="false"/>
                <w:color w:val="000000"/>
                <w:sz w:val="16"/>
              </w:rPr>
              <w:t>ERNICE</w:t>
            </w:r>
            <w:r>
              <w:rPr>
                <w:color w:val="000000"/>
              </w:rPr>
              <w:t xml:space="preserve"> </w:t>
            </w:r>
            <w:r>
              <w:rPr>
                <w:rFonts w:ascii="Times New Roman;serif" w:hAnsi="Times New Roman;serif"/>
                <w:b w:val="false"/>
                <w:color w:val="000000"/>
                <w:sz w:val="20"/>
              </w:rPr>
              <w:t>E. B</w:t>
            </w:r>
            <w:r>
              <w:rPr>
                <w:rFonts w:ascii="Times New Roman;serif" w:hAnsi="Times New Roman;serif"/>
                <w:b w:val="false"/>
                <w:color w:val="000000"/>
                <w:sz w:val="16"/>
              </w:rPr>
              <w:t>ELL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Bernice E. Bell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Executive Vice President and </w:t>
              <w:br/>
              <w:t>Chief Financial Officer (Principal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23,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signed original of this written statement required by Section 906 has been provided to the Company and will be retained by the Company and furnished to the Securities and Exchange Commission or its staff upon request. </w:t>
      </w:r>
    </w:p>
    <w:p>
      <w:pPr>
        <w:pStyle w:val="TextBody"/>
        <w:bidi w:val="0"/>
        <w:spacing w:before="0" w:after="0"/>
        <w:ind w:left="0" w:right="0" w:firstLine="495"/>
        <w:jc w:val="both"/>
        <w:rPr/>
      </w:pPr>
      <w:r>
        <w:rPr/>
      </w:r>
    </w:p>
    <w:p>
      <w:pPr>
        <w:pStyle w:val="TextBody"/>
        <w:bidi w:val="0"/>
        <w:spacing w:before="0" w:after="0"/>
        <w:jc w:val="both"/>
        <w:rPr/>
      </w:pPr>
      <w:r>
        <w:rPr/>
      </w:r>
    </w:p>
    <w:p>
      <w:pPr>
        <w:pStyle w:val="TextBody"/>
        <w:bidi w:val="0"/>
        <w:spacing w:before="180" w:after="283"/>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Malgun Gothic">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423689/000142368925000056/agncexhibit313312510-q.htm" TargetMode="External"/><Relationship Id="rId5" Type="http://schemas.openxmlformats.org/officeDocument/2006/relationships/hyperlink" Target="https://www.sec.gov/Archives/edgar/data/1423689/000142368925000056/agncexhibit313312510-q.htm" TargetMode="External"/><Relationship Id="rId6" Type="http://schemas.openxmlformats.org/officeDocument/2006/relationships/hyperlink" Target="https://www.sec.gov/Archives/edgar/data/1423689/000142368921000017/arbylaws-march2021vrevised.htm" TargetMode="External"/><Relationship Id="rId7" Type="http://schemas.openxmlformats.org/officeDocument/2006/relationships/hyperlink" Target="https://www.sec.gov/Archives/edgar/data/1423689/000142368923000046/bylaws72023-ex.htm" TargetMode="External"/><Relationship Id="rId8" Type="http://schemas.openxmlformats.org/officeDocument/2006/relationships/hyperlink" Target="https://www.sec.gov/Archives/edgar/data/1423689/000142368917000044/ex35certificateofdesignati.htm" TargetMode="External"/><Relationship Id="rId9" Type="http://schemas.openxmlformats.org/officeDocument/2006/relationships/hyperlink" Target="https://www.sec.gov/Archives/edgar/data/1423689/000142368917000044/ex35certificateofdesignati.htm" TargetMode="External"/><Relationship Id="rId10" Type="http://schemas.openxmlformats.org/officeDocument/2006/relationships/hyperlink" Target="https://www.sec.gov/Archives/edgar/data/1423689/000142368917000065/certificateofelimination.htm" TargetMode="External"/><Relationship Id="rId11" Type="http://schemas.openxmlformats.org/officeDocument/2006/relationships/hyperlink" Target="https://www.sec.gov/Archives/edgar/data/1423689/000142368917000065/certificateofelimination.htm" TargetMode="External"/><Relationship Id="rId12" Type="http://schemas.openxmlformats.org/officeDocument/2006/relationships/hyperlink" Target="https://www.sec.gov/Archives/edgar/data/1423689/000142368919000019/certificateofdesignations.htm" TargetMode="External"/><Relationship Id="rId13" Type="http://schemas.openxmlformats.org/officeDocument/2006/relationships/hyperlink" Target="https://www.sec.gov/Archives/edgar/data/1423689/000142368919000019/certificateofdesignations.htm" TargetMode="External"/><Relationship Id="rId14" Type="http://schemas.openxmlformats.org/officeDocument/2006/relationships/hyperlink" Target="https://www.sec.gov/Archives/edgar/data/1423689/000142368919000064/certofdesignations.htm" TargetMode="External"/><Relationship Id="rId15" Type="http://schemas.openxmlformats.org/officeDocument/2006/relationships/hyperlink" Target="https://www.sec.gov/Archives/edgar/data/1423689/000142368919000064/certofdesignations.htm" TargetMode="External"/><Relationship Id="rId16" Type="http://schemas.openxmlformats.org/officeDocument/2006/relationships/hyperlink" Target="https://www.sec.gov/Archives/edgar/data/1423689/000142368919000078/certificateofeliminati.htm" TargetMode="External"/><Relationship Id="rId17" Type="http://schemas.openxmlformats.org/officeDocument/2006/relationships/hyperlink" Target="https://www.sec.gov/Archives/edgar/data/1423689/000142368919000078/certificateofeliminati.htm" TargetMode="External"/><Relationship Id="rId18" Type="http://schemas.openxmlformats.org/officeDocument/2006/relationships/hyperlink" Target="https://www.sec.gov/Archives/edgar/data/1423689/000142368920000012/certificateofdesignations-.htm" TargetMode="External"/><Relationship Id="rId19" Type="http://schemas.openxmlformats.org/officeDocument/2006/relationships/hyperlink" Target="https://www.sec.gov/Archives/edgar/data/1423689/000142368920000012/certificateofdesignations-.htm" TargetMode="External"/><Relationship Id="rId20" Type="http://schemas.openxmlformats.org/officeDocument/2006/relationships/hyperlink" Target="https://www.sec.gov/Archives/edgar/data/1423689/000142368922000061/seriesgcertificateofdesign.htm" TargetMode="External"/><Relationship Id="rId21" Type="http://schemas.openxmlformats.org/officeDocument/2006/relationships/hyperlink" Target="https://www.sec.gov/Archives/edgar/data/1423689/000142368922000061/seriesgcertificateofdesign.htm" TargetMode="External"/><Relationship Id="rId22" Type="http://schemas.openxmlformats.org/officeDocument/2006/relationships/hyperlink" Target="https://www.sec.gov/Archives/edgar/data/1423689/000142368925000093/certificateofdesignations-.htm" TargetMode="External"/><Relationship Id="rId23" Type="http://schemas.openxmlformats.org/officeDocument/2006/relationships/hyperlink" Target="https://www.sec.gov/Archives/edgar/data/1423689/000142368925000093/certificateofdesignations-.htm" TargetMode="External"/><Relationship Id="rId24" Type="http://schemas.openxmlformats.org/officeDocument/2006/relationships/hyperlink" Target="https://www.sec.gov/Archives/edgar/data/1423689/000142368925000056/agncexhibit313312510-q.htm" TargetMode="External"/><Relationship Id="rId25" Type="http://schemas.openxmlformats.org/officeDocument/2006/relationships/hyperlink" Target="https://www.sec.gov/Archives/edgar/data/1423689/000142368925000056/agncexhibit313312510-q.htm" TargetMode="External"/><Relationship Id="rId26" Type="http://schemas.openxmlformats.org/officeDocument/2006/relationships/hyperlink" Target="https://www.sec.gov/Archives/edgar/data/1423689/000142368921000017/arbylaws-march2021vrevised.htm" TargetMode="External"/><Relationship Id="rId27" Type="http://schemas.openxmlformats.org/officeDocument/2006/relationships/hyperlink" Target="https://www.sec.gov/Archives/edgar/data/1423689/000142368923000046/bylaws72023-ex.htm" TargetMode="External"/><Relationship Id="rId28" Type="http://schemas.openxmlformats.org/officeDocument/2006/relationships/hyperlink" Target="https://www.sec.gov/Archives/edgar/data/1423689/000142368922000076/exhibit43.htm" TargetMode="External"/><Relationship Id="rId29" Type="http://schemas.openxmlformats.org/officeDocument/2006/relationships/hyperlink" Target="https://www.sec.gov/Archives/edgar/data/1423689/000142368922000076/exhibit43.htm" TargetMode="External"/><Relationship Id="rId30" Type="http://schemas.openxmlformats.org/officeDocument/2006/relationships/hyperlink" Target="https://www.sec.gov/Archives/edgar/data/1423689/000142368917000044/exhibit41.htm" TargetMode="External"/><Relationship Id="rId31" Type="http://schemas.openxmlformats.org/officeDocument/2006/relationships/hyperlink" Target="https://www.sec.gov/Archives/edgar/data/1423689/000142368917000044/exhibit41.htm" TargetMode="External"/><Relationship Id="rId32" Type="http://schemas.openxmlformats.org/officeDocument/2006/relationships/hyperlink" Target="https://www.sec.gov/Archives/edgar/data/1423689/000142368919000019/stockcertificateb98.htm" TargetMode="External"/><Relationship Id="rId33" Type="http://schemas.openxmlformats.org/officeDocument/2006/relationships/hyperlink" Target="https://www.sec.gov/Archives/edgar/data/1423689/000142368919000019/stockcertificateb98.htm" TargetMode="External"/><Relationship Id="rId34" Type="http://schemas.openxmlformats.org/officeDocument/2006/relationships/hyperlink" Target="https://www.sec.gov/Archives/edgar/data/1423689/000142368919000064/stockcertificate.htm" TargetMode="External"/><Relationship Id="rId35" Type="http://schemas.openxmlformats.org/officeDocument/2006/relationships/hyperlink" Target="https://www.sec.gov/Archives/edgar/data/1423689/000142368919000064/stockcertificate.htm" TargetMode="External"/><Relationship Id="rId36" Type="http://schemas.openxmlformats.org/officeDocument/2006/relationships/hyperlink" Target="https://www.sec.gov/Archives/edgar/data/1423689/000142368920000012/stockcertificate.htm" TargetMode="External"/><Relationship Id="rId37" Type="http://schemas.openxmlformats.org/officeDocument/2006/relationships/hyperlink" Target="https://www.sec.gov/Archives/edgar/data/1423689/000142368920000012/stockcertificate.htm" TargetMode="External"/><Relationship Id="rId38" Type="http://schemas.openxmlformats.org/officeDocument/2006/relationships/hyperlink" Target="https://www.sec.gov/Archives/edgar/data/1423689/000142368922000061/stockcertificate1.htm" TargetMode="External"/><Relationship Id="rId39" Type="http://schemas.openxmlformats.org/officeDocument/2006/relationships/hyperlink" Target="https://www.sec.gov/Archives/edgar/data/1423689/000142368922000061/stockcertificate1.htm" TargetMode="External"/><Relationship Id="rId40" Type="http://schemas.openxmlformats.org/officeDocument/2006/relationships/hyperlink" Target="https://www.sec.gov/Archives/edgar/data/1423689/000142368925000093/stockcertificate1.htm" TargetMode="External"/><Relationship Id="rId41" Type="http://schemas.openxmlformats.org/officeDocument/2006/relationships/hyperlink" Target="https://www.sec.gov/Archives/edgar/data/1423689/000142368925000093/stockcertificate1.htm" TargetMode="External"/><Relationship Id="rId42" Type="http://schemas.openxmlformats.org/officeDocument/2006/relationships/hyperlink" Target="https://www.sec.gov/Archives/edgar/data/1423689/000142368917000049/depositagreement.htm" TargetMode="External"/><Relationship Id="rId43" Type="http://schemas.openxmlformats.org/officeDocument/2006/relationships/hyperlink" Target="https://www.sec.gov/Archives/edgar/data/1423689/000142368917000049/depositagreement.htm" TargetMode="External"/><Relationship Id="rId44" Type="http://schemas.openxmlformats.org/officeDocument/2006/relationships/hyperlink" Target="https://www.sec.gov/Archives/edgar/data/1423689/000142368917000049/depositagreement.htm" TargetMode="External"/><Relationship Id="rId45" Type="http://schemas.openxmlformats.org/officeDocument/2006/relationships/hyperlink" Target="https://www.sec.gov/Archives/edgar/data/1423689/000142368917000049/depositagreement.htm" TargetMode="External"/><Relationship Id="rId46" Type="http://schemas.openxmlformats.org/officeDocument/2006/relationships/hyperlink" Target="https://www.sec.gov/Archives/edgar/data/1423689/000142368919000021/prefddepositagmt.htm" TargetMode="External"/><Relationship Id="rId47" Type="http://schemas.openxmlformats.org/officeDocument/2006/relationships/hyperlink" Target="https://www.sec.gov/Archives/edgar/data/1423689/000142368919000021/prefddepositagmt.htm" TargetMode="External"/><Relationship Id="rId48" Type="http://schemas.openxmlformats.org/officeDocument/2006/relationships/hyperlink" Target="https://www.sec.gov/Archives/edgar/data/1423689/000142368919000021/prefddepositagmt.htm" TargetMode="External"/><Relationship Id="rId49" Type="http://schemas.openxmlformats.org/officeDocument/2006/relationships/hyperlink" Target="https://www.sec.gov/Archives/edgar/data/1423689/000142368919000021/prefddepositagmt.htm" TargetMode="External"/><Relationship Id="rId50" Type="http://schemas.openxmlformats.org/officeDocument/2006/relationships/hyperlink" Target="https://www.sec.gov/Archives/edgar/data/1423689/000142368919000068/depositagmt-prefe.htm" TargetMode="External"/><Relationship Id="rId51" Type="http://schemas.openxmlformats.org/officeDocument/2006/relationships/hyperlink" Target="https://www.sec.gov/Archives/edgar/data/1423689/000142368919000068/depositagmt-prefe.htm" TargetMode="External"/><Relationship Id="rId52" Type="http://schemas.openxmlformats.org/officeDocument/2006/relationships/hyperlink" Target="https://www.sec.gov/Archives/edgar/data/1423689/000142368919000068/depositagmt-prefe.htm" TargetMode="External"/><Relationship Id="rId53" Type="http://schemas.openxmlformats.org/officeDocument/2006/relationships/hyperlink" Target="https://www.sec.gov/Archives/edgar/data/1423689/000142368919000068/depositagmt-prefe.htm" TargetMode="External"/><Relationship Id="rId54" Type="http://schemas.openxmlformats.org/officeDocument/2006/relationships/hyperlink" Target="https://www.sec.gov/Archives/edgar/data/1423689/000142368920000014/depositaryagmt-seriesf.htm" TargetMode="External"/><Relationship Id="rId55" Type="http://schemas.openxmlformats.org/officeDocument/2006/relationships/hyperlink" Target="https://www.sec.gov/Archives/edgar/data/1423689/000142368920000014/depositaryagmt-seriesf.htm" TargetMode="External"/><Relationship Id="rId56" Type="http://schemas.openxmlformats.org/officeDocument/2006/relationships/hyperlink" Target="https://www.sec.gov/Archives/edgar/data/1423689/000142368920000014/depositaryagmt-seriesf.htm" TargetMode="External"/><Relationship Id="rId57" Type="http://schemas.openxmlformats.org/officeDocument/2006/relationships/hyperlink" Target="https://www.sec.gov/Archives/edgar/data/1423689/000142368920000014/depositaryagmt-seriesf.htm" TargetMode="External"/><Relationship Id="rId58" Type="http://schemas.openxmlformats.org/officeDocument/2006/relationships/hyperlink" Target="https://www.sec.gov/Archives/edgar/data/1423689/000142368922000069/depositaryagmt.htm" TargetMode="External"/><Relationship Id="rId59" Type="http://schemas.openxmlformats.org/officeDocument/2006/relationships/hyperlink" Target="https://www.sec.gov/Archives/edgar/data/1423689/000142368922000069/depositaryagmt.htm" TargetMode="External"/><Relationship Id="rId60" Type="http://schemas.openxmlformats.org/officeDocument/2006/relationships/hyperlink" Target="https://www.sec.gov/Archives/edgar/data/1423689/000142368922000069/depositaryagmt.htm" TargetMode="External"/><Relationship Id="rId61" Type="http://schemas.openxmlformats.org/officeDocument/2006/relationships/hyperlink" Target="https://www.sec.gov/Archives/edgar/data/1423689/000142368922000069/depositaryagmt.htm" TargetMode="External"/><Relationship Id="rId62" Type="http://schemas.openxmlformats.org/officeDocument/2006/relationships/hyperlink" Target="https://www.sec.gov/Archives/edgar/data/1423689/000142368925000097/serieshdepositaryagmt.htm" TargetMode="External"/><Relationship Id="rId63" Type="http://schemas.openxmlformats.org/officeDocument/2006/relationships/hyperlink" Target="https://www.sec.gov/Archives/edgar/data/1423689/000142368925000097/serieshdepositaryagmt.htm" TargetMode="External"/><Relationship Id="rId64" Type="http://schemas.openxmlformats.org/officeDocument/2006/relationships/hyperlink" Target="https://www.sec.gov/Archives/edgar/data/1423689/000142368925000097/serieshdepositaryagmt.htm" TargetMode="External"/><Relationship Id="rId65" Type="http://schemas.openxmlformats.org/officeDocument/2006/relationships/hyperlink" Target="https://www.sec.gov/Archives/edgar/data/1423689/000142368925000097/serieshdepositaryagmt.htm" TargetMode="External"/><Relationship Id="rId66" Type="http://schemas.openxmlformats.org/officeDocument/2006/relationships/hyperlink" Target="https://www.sec.gov/Archives/edgar/data/1423689/000142368925000097/serieshdepositaryagmt.htm" TargetMode="External"/><Relationship Id="rId67" Type="http://schemas.openxmlformats.org/officeDocument/2006/relationships/hyperlink" Target="https://www.sec.gov/Archives/edgar/data/1423689/000142368921000059/a101indem.htm" TargetMode="External"/><Relationship Id="rId68" Type="http://schemas.openxmlformats.org/officeDocument/2006/relationships/hyperlink" Target="https://www.sec.gov/Archives/edgar/data/1423689/000142368921000059/a101indem.htm" TargetMode="External"/><Relationship Id="rId69" Type="http://schemas.openxmlformats.org/officeDocument/2006/relationships/hyperlink" Target="https://www.sec.gov/Archives/edgar/data/1423689/000142368921000066/a101indem.htm" TargetMode="External"/><Relationship Id="rId70" Type="http://schemas.openxmlformats.org/officeDocument/2006/relationships/hyperlink" Target="https://www.sec.gov/Archives/edgar/data/1423689/000142368924000053/gkagmt7-18x24.htm" TargetMode="External"/><Relationship Id="rId71" Type="http://schemas.openxmlformats.org/officeDocument/2006/relationships/hyperlink" Target="https://www.sec.gov/Archives/edgar/data/1423689/000142368924000053/gkagmt7-18x24.htm" TargetMode="External"/><Relationship Id="rId72" Type="http://schemas.openxmlformats.org/officeDocument/2006/relationships/hyperlink" Target="https://www.sec.gov/Archives/edgar/data/1423689/000142368924000053/gkagmt7-18x24.htm" TargetMode="External"/><Relationship Id="rId73" Type="http://schemas.openxmlformats.org/officeDocument/2006/relationships/hyperlink" Target="https://www.sec.gov/Archives/edgar/data/1423689/000119312520314929/d95688dex102.htm" TargetMode="External"/><Relationship Id="rId74" Type="http://schemas.openxmlformats.org/officeDocument/2006/relationships/hyperlink" Target="https://www.sec.gov/Archives/edgar/data/1423689/000119312520314929/d95688dex102.htm" TargetMode="External"/><Relationship Id="rId75" Type="http://schemas.openxmlformats.org/officeDocument/2006/relationships/hyperlink" Target="https://www.sec.gov/Archives/edgar/data/1423689/000119312520314929/d95688dex102.htm" TargetMode="External"/><Relationship Id="rId76" Type="http://schemas.openxmlformats.org/officeDocument/2006/relationships/hyperlink" Target="https://www.sec.gov/Archives/edgar/data/1423689/000142368923000017/agncexhibit10412312210-k.htm" TargetMode="External"/><Relationship Id="rId77" Type="http://schemas.openxmlformats.org/officeDocument/2006/relationships/hyperlink" Target="https://www.sec.gov/Archives/edgar/data/1423689/000142368923000017/agncexhibit10412312210-k.htm" TargetMode="External"/><Relationship Id="rId78" Type="http://schemas.openxmlformats.org/officeDocument/2006/relationships/hyperlink" Target="https://www.sec.gov/Archives/edgar/data/1423689/000142368923000017/agncexhibit10412312210-k.htm" TargetMode="External"/><Relationship Id="rId79" Type="http://schemas.openxmlformats.org/officeDocument/2006/relationships/hyperlink" Target="https://www.sec.gov/Archives/edgar/data/1423689/000142368925000035/ckemploymentagmt-final.htm" TargetMode="External"/><Relationship Id="rId80" Type="http://schemas.openxmlformats.org/officeDocument/2006/relationships/hyperlink" Target="https://www.sec.gov/Archives/edgar/data/1423689/000142368925000035/ckemploymentagmt-final.htm" TargetMode="External"/><Relationship Id="rId81" Type="http://schemas.openxmlformats.org/officeDocument/2006/relationships/hyperlink" Target="https://www.sec.gov/Archives/edgar/data/1423689/000142368925000035/ckemploymentagmt-final.htm" TargetMode="External"/><Relationship Id="rId82" Type="http://schemas.openxmlformats.org/officeDocument/2006/relationships/hyperlink" Target="https://www.sec.gov/Archives/edgar/data/1423689/000142368925000035/ckemploymentagmt-final.htm" TargetMode="External"/><Relationship Id="rId83" Type="http://schemas.openxmlformats.org/officeDocument/2006/relationships/hyperlink" Target="https://www.sec.gov/Archives/edgar/data/1423689/000142368925000035/ckemploymentagmt-final.htm" TargetMode="External"/><Relationship Id="rId84" Type="http://schemas.openxmlformats.org/officeDocument/2006/relationships/hyperlink" Target="https://www.sec.gov/Archives/edgar/data/1423689/000142368925000035/ckemploymentagmt-final.htm" TargetMode="External"/><Relationship Id="rId85" Type="http://schemas.openxmlformats.org/officeDocument/2006/relationships/hyperlink" Target="https://www.sec.gov/Archives/edgar/data/1423689/000142368925000035/ckemploymentagmt-final.htm" TargetMode="External"/><Relationship Id="rId86" Type="http://schemas.openxmlformats.org/officeDocument/2006/relationships/hyperlink" Target="https://www.sec.gov/Archives/edgar/data/1423689/000142368925000035/ckemploymentagmt-final.htm" TargetMode="External"/><Relationship Id="rId87" Type="http://schemas.openxmlformats.org/officeDocument/2006/relationships/hyperlink" Target="https://www.sec.gov/Archives/edgar/data/1423689/000142368925000035/ckemploymentagmt-final.htm" TargetMode="External"/><Relationship Id="rId88" Type="http://schemas.openxmlformats.org/officeDocument/2006/relationships/hyperlink" Target="https://www.sec.gov/Archives/edgar/data/1423689/000142368925000035/ckemploymentagmt-final.htm" TargetMode="External"/><Relationship Id="rId89" Type="http://schemas.openxmlformats.org/officeDocument/2006/relationships/hyperlink" Target="https://www.sec.gov/Archives/edgar/data/1423689/000142368925000035/ckemploymentagmt-final.htm" TargetMode="External"/><Relationship Id="rId90" Type="http://schemas.openxmlformats.org/officeDocument/2006/relationships/hyperlink" Target="https://www.sec.gov/Archives/edgar/data/1423689/000142368925000035/ckemploymentagmt-final.htm" TargetMode="External"/><Relationship Id="rId91" Type="http://schemas.openxmlformats.org/officeDocument/2006/relationships/hyperlink" Target="https://www.sec.gov/Archives/edgar/data/1423689/000142368925000035/ckemploymentagmt-final.htm" TargetMode="External"/><Relationship Id="rId92" Type="http://schemas.openxmlformats.org/officeDocument/2006/relationships/hyperlink" Target="https://www.sec.gov/Archives/edgar/data/1423689/000142368925000035/ckemploymentagmt-final.htm" TargetMode="External"/><Relationship Id="rId93" Type="http://schemas.openxmlformats.org/officeDocument/2006/relationships/hyperlink" Target="https://www.sec.gov/Archives/edgar/data/1423689/000142368925000035/ckemploymentagmt-final.htm" TargetMode="External"/><Relationship Id="rId94" Type="http://schemas.openxmlformats.org/officeDocument/2006/relationships/hyperlink" Target="https://www.sec.gov/Archives/edgar/data/1423689/000142368925000035/ckemploymentagmt-final.htm" TargetMode="External"/><Relationship Id="rId95" Type="http://schemas.openxmlformats.org/officeDocument/2006/relationships/hyperlink" Target="https://www.sec.gov/Archives/edgar/data/1423689/000142368925000035/ckemploymentagmt-final.htm" TargetMode="External"/><Relationship Id="rId96" Type="http://schemas.openxmlformats.org/officeDocument/2006/relationships/hyperlink" Target="https://www.sec.gov/Archives/edgar/data/1423689/000142368925000035/ckemploymentagmt-final.htm" TargetMode="External"/><Relationship Id="rId97" Type="http://schemas.openxmlformats.org/officeDocument/2006/relationships/hyperlink" Target="https://www.sec.gov/Archives/edgar/data/1423689/000142368921000005/bell12221.htm" TargetMode="External"/><Relationship Id="rId98" Type="http://schemas.openxmlformats.org/officeDocument/2006/relationships/hyperlink" Target="https://www.sec.gov/Archives/edgar/data/1423689/000142368921000005/bell12221.htm" TargetMode="External"/><Relationship Id="rId99" Type="http://schemas.openxmlformats.org/officeDocument/2006/relationships/hyperlink" Target="https://www.sec.gov/Archives/edgar/data/1423689/000142368921000005/bell12221.htm" TargetMode="External"/><Relationship Id="rId100" Type="http://schemas.openxmlformats.org/officeDocument/2006/relationships/hyperlink" Target="https://www.sec.gov/Archives/edgar/data/1423689/000142368922000004/bbell.htm" TargetMode="External"/><Relationship Id="rId101" Type="http://schemas.openxmlformats.org/officeDocument/2006/relationships/hyperlink" Target="https://www.sec.gov/Archives/edgar/data/1423689/000142368922000004/bbell.htm" TargetMode="External"/><Relationship Id="rId102" Type="http://schemas.openxmlformats.org/officeDocument/2006/relationships/hyperlink" Target="https://www.sec.gov/Archives/edgar/data/1423689/000142368922000004/bbell.htm" TargetMode="External"/><Relationship Id="rId103" Type="http://schemas.openxmlformats.org/officeDocument/2006/relationships/hyperlink" Target="https://www.sec.gov/Archives/edgar/data/1423689/000142368923000008/amdt2bell.htm" TargetMode="External"/><Relationship Id="rId104" Type="http://schemas.openxmlformats.org/officeDocument/2006/relationships/hyperlink" Target="https://www.sec.gov/Archives/edgar/data/1423689/000142368923000008/amdt2bell.htm" TargetMode="External"/><Relationship Id="rId105" Type="http://schemas.openxmlformats.org/officeDocument/2006/relationships/hyperlink" Target="https://www.sec.gov/Archives/edgar/data/1423689/000142368923000008/amdt2bell.htm" TargetMode="External"/><Relationship Id="rId106" Type="http://schemas.openxmlformats.org/officeDocument/2006/relationships/hyperlink" Target="https://www.sec.gov/Archives/edgar/data/1423689/000142368921000011/agncexhibit101512312010-k.htm" TargetMode="External"/><Relationship Id="rId107" Type="http://schemas.openxmlformats.org/officeDocument/2006/relationships/hyperlink" Target="https://www.sec.gov/Archives/edgar/data/1423689/000142368921000011/agncexhibit101512312010-k.htm" TargetMode="External"/><Relationship Id="rId108" Type="http://schemas.openxmlformats.org/officeDocument/2006/relationships/hyperlink" Target="https://www.sec.gov/Archives/edgar/data/1423689/000142368921000011/agncexhibit101512312010-k.htm" TargetMode="External"/><Relationship Id="rId109" Type="http://schemas.openxmlformats.org/officeDocument/2006/relationships/hyperlink" Target="https://www.sec.gov/Archives/edgar/data/1423689/000142368922000004/pollack.htm" TargetMode="External"/><Relationship Id="rId110" Type="http://schemas.openxmlformats.org/officeDocument/2006/relationships/hyperlink" Target="https://www.sec.gov/Archives/edgar/data/1423689/000142368922000004/pollack.htm" TargetMode="External"/><Relationship Id="rId111" Type="http://schemas.openxmlformats.org/officeDocument/2006/relationships/hyperlink" Target="https://www.sec.gov/Archives/edgar/data/1423689/000142368922000004/pollack.htm" TargetMode="External"/><Relationship Id="rId112" Type="http://schemas.openxmlformats.org/officeDocument/2006/relationships/hyperlink" Target="https://www.sec.gov/Archives/edgar/data/1423689/000142368923000008/amdt2pollack.htm" TargetMode="External"/><Relationship Id="rId113" Type="http://schemas.openxmlformats.org/officeDocument/2006/relationships/hyperlink" Target="https://www.sec.gov/Archives/edgar/data/1423689/000142368923000008/amdt2pollack.htm" TargetMode="External"/><Relationship Id="rId114" Type="http://schemas.openxmlformats.org/officeDocument/2006/relationships/hyperlink" Target="https://www.sec.gov/Archives/edgar/data/1423689/000142368923000008/amdt2pollack.htm" TargetMode="External"/><Relationship Id="rId115" Type="http://schemas.openxmlformats.org/officeDocument/2006/relationships/hyperlink" Target="https://www.sec.gov/Archives/edgar/data/1423689/000142368924000039/agncexhibit103312410-q.htm" TargetMode="External"/><Relationship Id="rId116" Type="http://schemas.openxmlformats.org/officeDocument/2006/relationships/hyperlink" Target="https://www.sec.gov/Archives/edgar/data/1423689/000142368924000039/agncexhibit103312410-q.htm" TargetMode="External"/><Relationship Id="rId117" Type="http://schemas.openxmlformats.org/officeDocument/2006/relationships/hyperlink" Target="https://www.sec.gov/Archives/edgar/data/1423689/000142368924000039/agncexhibit103312410-q.htm" TargetMode="External"/><Relationship Id="rId118" Type="http://schemas.openxmlformats.org/officeDocument/2006/relationships/hyperlink" Target="https://www.sec.gov/Archives/edgar/data/1423689/000142368922000014/agncexhibit101112312110-k.htm" TargetMode="External"/><Relationship Id="rId119" Type="http://schemas.openxmlformats.org/officeDocument/2006/relationships/hyperlink" Target="https://www.sec.gov/Archives/edgar/data/1423689/000142368922000014/agncexhibit101112312110-k.htm" TargetMode="External"/><Relationship Id="rId120" Type="http://schemas.openxmlformats.org/officeDocument/2006/relationships/hyperlink" Target="https://www.sec.gov/Archives/edgar/data/1423689/000142368922000014/agncexhibit101112312110-k.htm" TargetMode="External"/><Relationship Id="rId121" Type="http://schemas.openxmlformats.org/officeDocument/2006/relationships/hyperlink" Target="https://www.sec.gov/Archives/edgar/data/1423689/000142368922000014/agncexhibit101112312110-k.htm" TargetMode="External"/><Relationship Id="rId122" Type="http://schemas.openxmlformats.org/officeDocument/2006/relationships/hyperlink" Target="https://www.sec.gov/Archives/edgar/data/1423689/000142368922000014/agncexhibit101112312110-k.htm" TargetMode="External"/><Relationship Id="rId123" Type="http://schemas.openxmlformats.org/officeDocument/2006/relationships/hyperlink" Target="https://www.sec.gov/Archives/edgar/data/1423689/000142368918000007/agncexhibit101412311710-k.htm" TargetMode="External"/><Relationship Id="rId124" Type="http://schemas.openxmlformats.org/officeDocument/2006/relationships/hyperlink" Target="https://www.sec.gov/Archives/edgar/data/1423689/000142368918000007/agncexhibit101412311710-k.htm" TargetMode="External"/><Relationship Id="rId125" Type="http://schemas.openxmlformats.org/officeDocument/2006/relationships/hyperlink" Target="https://www.sec.gov/Archives/edgar/data/1423689/000142368918000007/agncexhibit101412311710-k.htm" TargetMode="External"/><Relationship Id="rId126" Type="http://schemas.openxmlformats.org/officeDocument/2006/relationships/hyperlink" Target="https://www.sec.gov/Archives/edgar/data/1423689/000142368918000047/agncexhibit109301810-q.htm" TargetMode="External"/><Relationship Id="rId127" Type="http://schemas.openxmlformats.org/officeDocument/2006/relationships/hyperlink" Target="https://www.sec.gov/Archives/edgar/data/1423689/000142368918000047/agncexhibit109301810-q.htm" TargetMode="External"/><Relationship Id="rId128" Type="http://schemas.openxmlformats.org/officeDocument/2006/relationships/hyperlink" Target="https://www.sec.gov/Archives/edgar/data/1423689/000142368918000047/agncexhibit109301810-q.htm" TargetMode="External"/><Relationship Id="rId129" Type="http://schemas.openxmlformats.org/officeDocument/2006/relationships/hyperlink" Target="https://www.sec.gov/Archives/edgar/data/1423689/000142368921000011/agncexhibit102612312010-k.htm" TargetMode="External"/><Relationship Id="rId130" Type="http://schemas.openxmlformats.org/officeDocument/2006/relationships/hyperlink" Target="https://www.sec.gov/Archives/edgar/data/1423689/000142368921000011/agncexhibit102612312010-k.htm" TargetMode="External"/><Relationship Id="rId131" Type="http://schemas.openxmlformats.org/officeDocument/2006/relationships/hyperlink" Target="https://www.sec.gov/Archives/edgar/data/1423689/000142368921000011/agncexhibit102612312010-k.htm" TargetMode="External"/><Relationship Id="rId132" Type="http://schemas.openxmlformats.org/officeDocument/2006/relationships/hyperlink" Target="https://www.sec.gov/Archives/edgar/data/1423689/000142368921000011/agncexhibit102712312010-k.htm" TargetMode="External"/><Relationship Id="rId133" Type="http://schemas.openxmlformats.org/officeDocument/2006/relationships/hyperlink" Target="https://www.sec.gov/Archives/edgar/data/1423689/000142368921000011/agncexhibit102712312010-k.htm" TargetMode="External"/><Relationship Id="rId134" Type="http://schemas.openxmlformats.org/officeDocument/2006/relationships/hyperlink" Target="https://www.sec.gov/Archives/edgar/data/1423689/000142368921000011/agncexhibit102712312010-k.htm" TargetMode="External"/><Relationship Id="rId135" Type="http://schemas.openxmlformats.org/officeDocument/2006/relationships/hyperlink" Target="https://www.sec.gov/Archives/edgar/data/1423689/000142368921000011/agncexhibit102812312010-k.htm" TargetMode="External"/><Relationship Id="rId136" Type="http://schemas.openxmlformats.org/officeDocument/2006/relationships/hyperlink" Target="https://www.sec.gov/Archives/edgar/data/1423689/000142368921000011/agncexhibit102812312010-k.htm" TargetMode="External"/><Relationship Id="rId137" Type="http://schemas.openxmlformats.org/officeDocument/2006/relationships/hyperlink" Target="https://www.sec.gov/Archives/edgar/data/1423689/000142368921000011/agncexhibit102812312010-k.htm" TargetMode="External"/><Relationship Id="rId138" Type="http://schemas.openxmlformats.org/officeDocument/2006/relationships/hyperlink" Target="https://www.sec.gov/Archives/edgar/data/1423689/000142368921000011/agncexhibit102912312010-k.htm" TargetMode="External"/><Relationship Id="rId139" Type="http://schemas.openxmlformats.org/officeDocument/2006/relationships/hyperlink" Target="https://www.sec.gov/Archives/edgar/data/1423689/000142368921000011/agncexhibit102912312010-k.htm" TargetMode="External"/><Relationship Id="rId140" Type="http://schemas.openxmlformats.org/officeDocument/2006/relationships/hyperlink" Target="https://www.sec.gov/Archives/edgar/data/1423689/000142368921000011/agncexhibit102912312010-k.htm" TargetMode="External"/><Relationship Id="rId141" Type="http://schemas.openxmlformats.org/officeDocument/2006/relationships/hyperlink" Target="https://www.sec.gov/Archives/edgar/data/1423689/000142368924000005/agncexhibit102012312310-k.htm" TargetMode="External"/><Relationship Id="rId142" Type="http://schemas.openxmlformats.org/officeDocument/2006/relationships/hyperlink" Target="https://www.sec.gov/Archives/edgar/data/1423689/000142368924000005/agncexhibit102012312310-k.htm" TargetMode="External"/><Relationship Id="rId143" Type="http://schemas.openxmlformats.org/officeDocument/2006/relationships/hyperlink" Target="https://www.sec.gov/Archives/edgar/data/1423689/000142368924000005/agncexhibit102012312310-k.htm" TargetMode="External"/><Relationship Id="rId144" Type="http://schemas.openxmlformats.org/officeDocument/2006/relationships/hyperlink" Target="https://www.sec.gov/Archives/edgar/data/1423689/000142368924000005/agncexhibit102112312310-k.htm" TargetMode="External"/><Relationship Id="rId145" Type="http://schemas.openxmlformats.org/officeDocument/2006/relationships/hyperlink" Target="https://www.sec.gov/Archives/edgar/data/1423689/000142368924000005/agncexhibit102112312310-k.htm" TargetMode="External"/><Relationship Id="rId146" Type="http://schemas.openxmlformats.org/officeDocument/2006/relationships/hyperlink" Target="https://www.sec.gov/Archives/edgar/data/1423689/000142368924000005/agncexhibit102112312310-k.htm" TargetMode="External"/><Relationship Id="rId147" Type="http://schemas.openxmlformats.org/officeDocument/2006/relationships/hyperlink" Target="https://www.sec.gov/Archives/edgar/data/1423689/000142368924000005/agncexhibit102112312310-k.htm" TargetMode="External"/><Relationship Id="rId148" Type="http://schemas.openxmlformats.org/officeDocument/2006/relationships/hyperlink" Target="https://www.sec.gov/Archives/edgar/data/1423689/000142368924000005/agncexhibit102112312310-k.htm" TargetMode="External"/><Relationship Id="rId149" Type="http://schemas.openxmlformats.org/officeDocument/2006/relationships/hyperlink" Target="https://www.sec.gov/Archives/edgar/data/1423689/000142368925000073/agncexhibit146302510-q.htm" TargetMode="External"/><Relationship Id="rId150" Type="http://schemas.openxmlformats.org/officeDocument/2006/relationships/hyperlink" Target="https://www.sec.gov/Archives/edgar/data/1423689/000142368925000073/agncexhibit146302510-q.htm" TargetMode="External"/><Relationship Id="rId151" Type="http://schemas.openxmlformats.org/officeDocument/2006/relationships/hyperlink" Target="https://www.sec.gov/Archives/edgar/data/1423689/000142368925000007/agncexhibit1912312410-k.htm" TargetMode="External"/><Relationship Id="rId152" Type="http://schemas.openxmlformats.org/officeDocument/2006/relationships/hyperlink" Target="https://www.sec.gov/Archives/edgar/data/1423689/000142368925000007/agncexhibit1912312410-k.htm" TargetMode="External"/><Relationship Id="rId153" Type="http://schemas.openxmlformats.org/officeDocument/2006/relationships/hyperlink" Target="https://www.sec.gov/Archives/edgar/data/1423689/000142368925000007/agncexhibit1912312410-k.htm" TargetMode="External"/><Relationship Id="rId154" Type="http://schemas.openxmlformats.org/officeDocument/2006/relationships/hyperlink" Target="https://www.sec.gov/Archives/edgar/data/1423689/000142368925000007/agncexhibit1912312410-k.htm" TargetMode="External"/><Relationship Id="rId155" Type="http://schemas.openxmlformats.org/officeDocument/2006/relationships/hyperlink" Target="https://www.sec.gov/Archives/edgar/data/1423689/000142368925000007/agncexhibit1912312410-k.htm" TargetMode="External"/><Relationship Id="rId156" Type="http://schemas.openxmlformats.org/officeDocument/2006/relationships/hyperlink" Target="https://www.sec.gov/Archives/edgar/data/1423689/000142368925000007/agncexhibit1912312410-k.htm" TargetMode="External"/><Relationship Id="rId157" Type="http://schemas.openxmlformats.org/officeDocument/2006/relationships/hyperlink" Target="https://www.sec.gov/Archives/edgar/data/1423689/000142368924000005/agncexhibit97112312310-k.htm" TargetMode="External"/><Relationship Id="rId158" Type="http://schemas.openxmlformats.org/officeDocument/2006/relationships/hyperlink" Target="https://www.sec.gov/Archives/edgar/data/1423689/000142368924000005/agncexhibit97112312310-k.htm" TargetMode="External"/><Relationship Id="rId159" Type="http://schemas.openxmlformats.org/officeDocument/2006/relationships/fontTable" Target="fontTable.xml"/><Relationship Id="rId16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28</Pages>
  <Words>67413</Words>
  <Characters>365550</Characters>
  <CharactersWithSpaces>430015</CharactersWithSpaces>
  <Paragraphs>6721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