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u w:val="single" w:color="auto"/>
                <w:color w:val="0000EE"/>
                <w:w w:val="99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u w:val="single" w:color="auto"/>
                  <w:color w:val="0000EE"/>
                  <w:w w:val="99"/>
                </w:rPr>
                <w:t>Bell Bernice</w:t>
              </w:r>
            </w:hyperlink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80"/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21"/>
                  <w:szCs w:val="21"/>
                  <w:u w:val="single" w:color="auto"/>
                  <w:color w:val="0000EE"/>
                </w:rPr>
                <w:t>AGNC Investment Corp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.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AGNC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AGNC INVESTMENT CORP.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03/15/2021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 BETHESDA METRO CENTER, 12TH FLOOR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5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SVP and Chief Financial Off</w:t>
      </w:r>
    </w:p>
    <w:p>
      <w:pPr>
        <w:spacing w:after="0" w:line="40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6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40" w:type="dxa"/>
            <w:vAlign w:val="bottom"/>
            <w:gridSpan w:val="10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BETHESDA</w:t>
            </w: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MD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20814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5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03/15/2021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4,030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5"/>
                <w:vertAlign w:val="superscript"/>
              </w:rPr>
              <w:t>(1)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16.52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120,878.311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9"/>
                <w:vertAlign w:val="superscript"/>
              </w:rPr>
              <w:t>(2)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0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-2874010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Dispositions represent shares withheld upon vesting of restricted stock unit ("RSU") awards to cover tax withholdings.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360" w:firstLine="7"/>
        <w:spacing w:after="0" w:line="266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25.4 shares acquired on March 9, 2021 under a dividend reinvestment plan and 643 dividend equivalent stock units received on previously granted RSU awards since the Reporting Person's last Form 4 filing.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Bernice Bell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03/16/2021</w:t>
            </w:r>
          </w:p>
        </w:tc>
      </w:tr>
      <w:tr>
        <w:trPr>
          <w:trHeight w:val="20"/>
        </w:trPr>
        <w:tc>
          <w:tcPr>
            <w:tcW w:w="8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665177" TargetMode="External"/><Relationship Id="rId14" Type="http://schemas.openxmlformats.org/officeDocument/2006/relationships/hyperlink" Target="http://www.sec.gov/cgi-bin/browse-edgar?action=getcompany&amp;CIK=00014236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2021-03-16T16:19:14Z</dcterms:created>
  <dcterms:modified xsi:type="dcterms:W3CDTF">2021-03-16T16:19:14Z</dcterms:modified>
</cp:coreProperties>
</file>