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88"/>
        </w:trPr>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tcPr>
          <w:p>
            <w:pPr>
              <w:jc w:val="center"/>
              <w:ind w:right="882"/>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11"/>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Washington, D.C. 20549</w:t>
            </w:r>
          </w:p>
        </w:tc>
      </w:tr>
      <w:tr>
        <w:trPr>
          <w:trHeight w:val="329"/>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62"/>
              <w:spacing w:after="0"/>
              <w:rPr>
                <w:sz w:val="20"/>
                <w:szCs w:val="20"/>
                <w:color w:val="auto"/>
              </w:rPr>
            </w:pPr>
            <w:r>
              <w:rPr>
                <w:rFonts w:ascii="Arial" w:cs="Arial" w:eastAsia="Arial" w:hAnsi="Arial"/>
                <w:sz w:val="25"/>
                <w:szCs w:val="25"/>
                <w:b w:val="1"/>
                <w:bCs w:val="1"/>
                <w:color w:val="auto"/>
              </w:rPr>
              <w:t>FORM 10-K</w:t>
            </w:r>
          </w:p>
        </w:tc>
      </w:tr>
      <w:tr>
        <w:trPr>
          <w:trHeight w:val="444"/>
        </w:trPr>
        <w:tc>
          <w:tcPr>
            <w:tcW w:w="104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tcPr>
          <w:p>
            <w:pPr>
              <w:jc w:val="center"/>
              <w:ind w:right="202"/>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63"/>
        </w:trPr>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89"/>
              </w:rPr>
              <w:t>For the year ended December 31, 2016</w:t>
            </w:r>
          </w:p>
        </w:tc>
      </w:tr>
      <w:tr>
        <w:trPr>
          <w:trHeight w:val="270"/>
        </w:trPr>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6"/>
              </w:rPr>
              <w:t>OR</w:t>
            </w:r>
          </w:p>
        </w:tc>
      </w:tr>
      <w:tr>
        <w:trPr>
          <w:trHeight w:val="415"/>
        </w:trPr>
        <w:tc>
          <w:tcPr>
            <w:tcW w:w="1040" w:type="dxa"/>
            <w:vAlign w:val="bottom"/>
            <w:gridSpan w:val="2"/>
          </w:tcPr>
          <w:p>
            <w:pPr>
              <w:spacing w:after="0"/>
              <w:rPr>
                <w:sz w:val="20"/>
                <w:szCs w:val="20"/>
                <w:color w:val="auto"/>
              </w:rPr>
            </w:pPr>
            <w:r>
              <w:rPr>
                <w:rFonts w:ascii="Arial" w:cs="Arial" w:eastAsia="Arial" w:hAnsi="Arial"/>
                <w:sz w:val="22"/>
                <w:szCs w:val="22"/>
                <w:color w:val="auto"/>
              </w:rPr>
              <w:t>o</w:t>
            </w:r>
          </w:p>
        </w:tc>
        <w:tc>
          <w:tcPr>
            <w:tcW w:w="10240" w:type="dxa"/>
            <w:vAlign w:val="bottom"/>
          </w:tcPr>
          <w:p>
            <w:pPr>
              <w:jc w:val="center"/>
              <w:ind w:right="182"/>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343"/>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14"/>
                <w:szCs w:val="14"/>
                <w:b w:val="1"/>
                <w:bCs w:val="1"/>
                <w:color w:val="auto"/>
                <w:w w:val="93"/>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102235</wp:posOffset>
            </wp:positionV>
            <wp:extent cx="245237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AGNC INVESTMENT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420" w:type="dxa"/>
            <w:vAlign w:val="bottom"/>
          </w:tcPr>
          <w:p>
            <w:pPr>
              <w:jc w:val="center"/>
              <w:ind w:right="2566"/>
              <w:spacing w:after="0"/>
              <w:rPr>
                <w:sz w:val="20"/>
                <w:szCs w:val="20"/>
                <w:color w:val="auto"/>
              </w:rPr>
            </w:pPr>
            <w:r>
              <w:rPr>
                <w:rFonts w:ascii="Arial" w:cs="Arial" w:eastAsia="Arial" w:hAnsi="Arial"/>
                <w:sz w:val="18"/>
                <w:szCs w:val="18"/>
                <w:b w:val="1"/>
                <w:bCs w:val="1"/>
                <w:color w:val="auto"/>
                <w:w w:val="93"/>
              </w:rPr>
              <w:t>Delaware</w:t>
            </w:r>
          </w:p>
        </w:tc>
        <w:tc>
          <w:tcPr>
            <w:tcW w:w="2540" w:type="dxa"/>
            <w:vAlign w:val="bottom"/>
          </w:tcPr>
          <w:p>
            <w:pPr>
              <w:jc w:val="center"/>
              <w:ind w:left="425"/>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3"/>
              </w:rPr>
              <w:t>(State or Other Jurisdiction of</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5"/>
              </w:rPr>
              <w:t>Incorporation or Organization)</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4"/>
              </w:rPr>
              <w:t>Identification No.)</w:t>
            </w:r>
          </w:p>
        </w:tc>
      </w:tr>
      <w:tr>
        <w:trPr>
          <w:trHeight w:val="219"/>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2 Bethesda Metro Center, 12th Floor</w:t>
            </w:r>
          </w:p>
        </w:tc>
        <w:tc>
          <w:tcPr>
            <w:tcW w:w="2540" w:type="dxa"/>
            <w:vAlign w:val="bottom"/>
          </w:tcPr>
          <w:p>
            <w:pPr>
              <w:spacing w:after="0"/>
              <w:rPr>
                <w:sz w:val="19"/>
                <w:szCs w:val="19"/>
                <w:color w:val="auto"/>
              </w:rPr>
            </w:pPr>
          </w:p>
        </w:tc>
      </w:tr>
      <w:tr>
        <w:trPr>
          <w:trHeight w:val="162"/>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Bethesda, Maryland 20814</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3"/>
              </w:rPr>
              <w:t>(301) 968-9315</w:t>
            </w:r>
          </w:p>
        </w:tc>
        <w:tc>
          <w:tcPr>
            <w:tcW w:w="2540" w:type="dxa"/>
            <w:vAlign w:val="bottom"/>
          </w:tcPr>
          <w:p>
            <w:pPr>
              <w:spacing w:after="0"/>
              <w:rPr>
                <w:sz w:val="14"/>
                <w:szCs w:val="14"/>
                <w:color w:val="auto"/>
              </w:rPr>
            </w:pPr>
          </w:p>
        </w:tc>
      </w:tr>
      <w:tr>
        <w:trPr>
          <w:trHeight w:val="186"/>
        </w:trPr>
        <w:tc>
          <w:tcPr>
            <w:tcW w:w="8960" w:type="dxa"/>
            <w:vAlign w:val="bottom"/>
            <w:gridSpan w:val="2"/>
          </w:tcPr>
          <w:p>
            <w:pPr>
              <w:jc w:val="center"/>
              <w:ind w:left="66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2"/>
        </w:trPr>
        <w:tc>
          <w:tcPr>
            <w:tcW w:w="6420" w:type="dxa"/>
            <w:vAlign w:val="bottom"/>
          </w:tcPr>
          <w:p>
            <w:pPr>
              <w:jc w:val="center"/>
              <w:ind w:left="3206"/>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2540" w:type="dxa"/>
            <w:vAlign w:val="bottom"/>
          </w:tcPr>
          <w:p>
            <w:pPr>
              <w:spacing w:after="0"/>
              <w:rPr>
                <w:sz w:val="14"/>
                <w:szCs w:val="14"/>
                <w:color w:val="auto"/>
              </w:rPr>
            </w:pPr>
          </w:p>
        </w:tc>
      </w:tr>
      <w:tr>
        <w:trPr>
          <w:trHeight w:val="295"/>
        </w:trPr>
        <w:tc>
          <w:tcPr>
            <w:tcW w:w="64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8"/>
        </w:trPr>
        <w:tc>
          <w:tcPr>
            <w:tcW w:w="6420" w:type="dxa"/>
            <w:vAlign w:val="bottom"/>
          </w:tcPr>
          <w:p>
            <w:pPr>
              <w:jc w:val="center"/>
              <w:ind w:right="2326"/>
              <w:spacing w:after="0"/>
              <w:rPr>
                <w:sz w:val="20"/>
                <w:szCs w:val="20"/>
                <w:color w:val="auto"/>
              </w:rPr>
            </w:pPr>
            <w:r>
              <w:rPr>
                <w:rFonts w:ascii="Arial" w:cs="Arial" w:eastAsia="Arial" w:hAnsi="Arial"/>
                <w:sz w:val="13"/>
                <w:szCs w:val="13"/>
                <w:b w:val="1"/>
                <w:bCs w:val="1"/>
                <w:color w:val="auto"/>
                <w:w w:val="83"/>
              </w:rPr>
              <w:t>Title of each class</w:t>
            </w: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40"/>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2"/>
              </w:rPr>
              <w:t>8.000% Series A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46"/>
              <w:spacing w:after="0"/>
              <w:rPr>
                <w:sz w:val="20"/>
                <w:szCs w:val="20"/>
                <w:color w:val="auto"/>
              </w:rPr>
            </w:pPr>
            <w:r>
              <w:rPr>
                <w:rFonts w:ascii="Arial" w:cs="Arial" w:eastAsia="Arial" w:hAnsi="Arial"/>
                <w:sz w:val="16"/>
                <w:szCs w:val="16"/>
                <w:b w:val="1"/>
                <w:bCs w:val="1"/>
                <w:color w:val="auto"/>
                <w:w w:val="91"/>
              </w:rPr>
              <w:t>7.750% Series B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5" w:lineRule="exact"/>
        <w:rPr>
          <w:sz w:val="24"/>
          <w:szCs w:val="24"/>
          <w:color w:val="auto"/>
        </w:rPr>
      </w:pPr>
    </w:p>
    <w:p>
      <w:pPr>
        <w:ind w:right="37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 w:lineRule="exact"/>
        <w:rPr>
          <w:sz w:val="24"/>
          <w:szCs w:val="24"/>
          <w:color w:val="auto"/>
        </w:rPr>
      </w:pPr>
    </w:p>
    <w:p>
      <w:pPr>
        <w:ind w:left="660"/>
        <w:spacing w:after="0" w:line="161" w:lineRule="exact"/>
        <w:tabs>
          <w:tab w:leader="none" w:pos="2100" w:val="left"/>
          <w:tab w:leader="none" w:pos="2960" w:val="left"/>
          <w:tab w:leader="none" w:pos="4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18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(Do not check if a smaller reporting company)  Smaller Reporting Company</w:t>
      </w:r>
      <w:r>
        <w:rPr>
          <w:rFonts w:ascii="MS PGothic" w:cs="MS PGothic" w:eastAsia="MS PGothic" w:hAnsi="MS PGothic"/>
          <w:sz w:val="13"/>
          <w:szCs w:val="13"/>
          <w:color w:val="auto"/>
        </w:rPr>
        <w:t xml:space="preserve">  ☐</w:t>
      </w:r>
    </w:p>
    <w:p>
      <w:pPr>
        <w:spacing w:after="0" w:line="1"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244" w:lineRule="auto"/>
        <w:rPr>
          <w:sz w:val="20"/>
          <w:szCs w:val="20"/>
          <w:color w:val="auto"/>
        </w:rPr>
      </w:pPr>
      <w:r>
        <w:rPr>
          <w:rFonts w:ascii="Arial" w:cs="Arial" w:eastAsia="Arial" w:hAnsi="Arial"/>
          <w:sz w:val="14"/>
          <w:szCs w:val="14"/>
          <w:color w:val="auto"/>
        </w:rPr>
        <w:t>As of June 30, 2016, the aggregate market value of the Registrant's common stock held by non-affiliates of the Registrant was approximately $5.5 billion based upon the closing price of the Registrant's common stock of $19.82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outstanding as of January 31, 2017 was 331,046,077</w:t>
      </w:r>
      <w:r>
        <w:rPr>
          <w:rFonts w:ascii="Arial" w:cs="Arial" w:eastAsia="Arial" w:hAnsi="Arial"/>
          <w:sz w:val="18"/>
          <w:szCs w:val="18"/>
          <w:color w:val="auto"/>
        </w:rPr>
        <w:t>.</w:t>
      </w:r>
    </w:p>
    <w:p>
      <w:pPr>
        <w:spacing w:after="0" w:line="8" w:lineRule="exact"/>
        <w:rPr>
          <w:sz w:val="24"/>
          <w:szCs w:val="24"/>
          <w:color w:val="auto"/>
        </w:rPr>
      </w:pPr>
    </w:p>
    <w:p>
      <w:pPr>
        <w:jc w:val="both"/>
        <w:ind w:firstLine="324"/>
        <w:spacing w:after="0" w:line="246" w:lineRule="auto"/>
        <w:rPr>
          <w:sz w:val="20"/>
          <w:szCs w:val="20"/>
          <w:color w:val="auto"/>
        </w:rPr>
      </w:pPr>
      <w:r>
        <w:rPr>
          <w:rFonts w:ascii="Arial" w:cs="Arial" w:eastAsia="Arial" w:hAnsi="Arial"/>
          <w:sz w:val="14"/>
          <w:szCs w:val="14"/>
          <w:color w:val="auto"/>
        </w:rPr>
        <w:t>DOCUMENTS INCORPORATED BY REFERENCE. The Registrant's definitive proxy statement for the 2017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8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rPr>
              <w:t>AGNC INVESTMENT CORP.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3"/>
        </w:trPr>
        <w:tc>
          <w:tcPr>
            <w:tcW w:w="520" w:type="dxa"/>
            <w:vAlign w:val="bottom"/>
            <w:tcBorders>
              <w:bottom w:val="single" w:sz="8" w:color="0000EE"/>
            </w:tcBorders>
            <w:gridSpan w:val="2"/>
          </w:tcPr>
          <w:p>
            <w:pPr>
              <w:spacing w:after="0"/>
              <w:rPr>
                <w:rFonts w:ascii="Arial" w:cs="Arial" w:eastAsia="Arial" w:hAnsi="Arial"/>
                <w:sz w:val="16"/>
                <w:szCs w:val="16"/>
                <w:b w:val="1"/>
                <w:bCs w:val="1"/>
                <w:color w:val="0000EE"/>
                <w:w w:val="84"/>
              </w:rPr>
            </w:pPr>
            <w:hyperlink w:anchor="page25">
              <w:r>
                <w:rPr>
                  <w:rFonts w:ascii="Arial" w:cs="Arial" w:eastAsia="Arial" w:hAnsi="Arial"/>
                  <w:sz w:val="16"/>
                  <w:szCs w:val="16"/>
                  <w:b w:val="1"/>
                  <w:bCs w:val="1"/>
                  <w:color w:val="0000EE"/>
                  <w:w w:val="84"/>
                </w:rPr>
                <w:t>PART I.</w:t>
              </w:r>
            </w:hyperlink>
          </w:p>
        </w:tc>
        <w:tc>
          <w:tcPr>
            <w:tcW w:w="52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460" w:type="dxa"/>
            <w:vAlign w:val="bottom"/>
          </w:tcPr>
          <w:p>
            <w:pPr>
              <w:spacing w:after="0"/>
              <w:rPr>
                <w:rFonts w:ascii="Arial" w:cs="Arial" w:eastAsia="Arial" w:hAnsi="Arial"/>
                <w:sz w:val="16"/>
                <w:szCs w:val="16"/>
                <w:color w:val="0000EE"/>
                <w:w w:val="85"/>
              </w:rPr>
            </w:pPr>
            <w:hyperlink w:anchor="page61">
              <w:r>
                <w:rPr>
                  <w:rFonts w:ascii="Arial" w:cs="Arial" w:eastAsia="Arial" w:hAnsi="Arial"/>
                  <w:sz w:val="16"/>
                  <w:szCs w:val="16"/>
                  <w:color w:val="0000EE"/>
                  <w:w w:val="85"/>
                </w:rPr>
                <w:t>Item 1.</w:t>
              </w:r>
            </w:hyperlink>
          </w:p>
        </w:tc>
        <w:tc>
          <w:tcPr>
            <w:tcW w:w="580" w:type="dxa"/>
            <w:vAlign w:val="bottom"/>
            <w:gridSpan w:val="5"/>
          </w:tcPr>
          <w:p>
            <w:pPr>
              <w:spacing w:after="0"/>
              <w:rPr>
                <w:sz w:val="22"/>
                <w:szCs w:val="22"/>
                <w:color w:val="auto"/>
              </w:rPr>
            </w:pPr>
          </w:p>
        </w:tc>
        <w:tc>
          <w:tcPr>
            <w:tcW w:w="540" w:type="dxa"/>
            <w:vAlign w:val="bottom"/>
          </w:tcPr>
          <w:p>
            <w:pPr>
              <w:spacing w:after="0"/>
              <w:rPr>
                <w:rFonts w:ascii="Arial" w:cs="Arial" w:eastAsia="Arial" w:hAnsi="Arial"/>
                <w:sz w:val="16"/>
                <w:szCs w:val="16"/>
                <w:color w:val="0000EE"/>
                <w:w w:val="76"/>
              </w:rPr>
            </w:pPr>
            <w:hyperlink w:anchor="page3">
              <w:r>
                <w:rPr>
                  <w:rFonts w:ascii="Arial" w:cs="Arial" w:eastAsia="Arial" w:hAnsi="Arial"/>
                  <w:sz w:val="16"/>
                  <w:szCs w:val="16"/>
                  <w:color w:val="0000EE"/>
                  <w:w w:val="76"/>
                </w:rPr>
                <w:t>Business</w:t>
              </w:r>
            </w:hyperlink>
          </w:p>
        </w:tc>
        <w:tc>
          <w:tcPr>
            <w:tcW w:w="8940" w:type="dxa"/>
            <w:vAlign w:val="bottom"/>
            <w:gridSpan w:val="16"/>
          </w:tcPr>
          <w:p>
            <w:pPr>
              <w:spacing w:after="0"/>
              <w:rPr>
                <w:sz w:val="22"/>
                <w:szCs w:val="22"/>
                <w:color w:val="auto"/>
              </w:rPr>
            </w:pPr>
          </w:p>
        </w:tc>
        <w:tc>
          <w:tcPr>
            <w:tcW w:w="160" w:type="dxa"/>
            <w:vAlign w:val="bottom"/>
            <w:gridSpan w:val="2"/>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8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9">
              <w:r>
                <w:rPr>
                  <w:rFonts w:ascii="Arial" w:cs="Arial" w:eastAsia="Arial" w:hAnsi="Arial"/>
                  <w:sz w:val="16"/>
                  <w:szCs w:val="16"/>
                  <w:color w:val="0000EE"/>
                  <w:w w:val="80"/>
                </w:rPr>
                <w:t>Item 1A.</w:t>
              </w:r>
            </w:hyperlink>
          </w:p>
        </w:tc>
        <w:tc>
          <w:tcPr>
            <w:tcW w:w="520" w:type="dxa"/>
            <w:vAlign w:val="bottom"/>
            <w:gridSpan w:val="4"/>
          </w:tcPr>
          <w:p>
            <w:pPr>
              <w:spacing w:after="0"/>
              <w:rPr>
                <w:sz w:val="20"/>
                <w:szCs w:val="20"/>
                <w:color w:val="auto"/>
              </w:rPr>
            </w:pPr>
          </w:p>
        </w:tc>
        <w:tc>
          <w:tcPr>
            <w:tcW w:w="9480" w:type="dxa"/>
            <w:vAlign w:val="bottom"/>
            <w:gridSpan w:val="17"/>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160" w:type="dxa"/>
            <w:vAlign w:val="bottom"/>
            <w:gridSpan w:val="2"/>
          </w:tcPr>
          <w:p>
            <w:pPr>
              <w:jc w:val="center"/>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8</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6"/>
                <w:szCs w:val="16"/>
                <w:color w:val="0000EE"/>
                <w:w w:val="80"/>
              </w:rPr>
            </w:pPr>
            <w:hyperlink w:anchor="page24">
              <w:r>
                <w:rPr>
                  <w:rFonts w:ascii="Arial" w:cs="Arial" w:eastAsia="Arial" w:hAnsi="Arial"/>
                  <w:sz w:val="16"/>
                  <w:szCs w:val="16"/>
                  <w:color w:val="0000EE"/>
                  <w:w w:val="80"/>
                </w:rPr>
                <w:t>Item 1B.</w:t>
              </w:r>
            </w:hyperlink>
          </w:p>
        </w:tc>
        <w:tc>
          <w:tcPr>
            <w:tcW w:w="520" w:type="dxa"/>
            <w:vAlign w:val="bottom"/>
            <w:gridSpan w:val="4"/>
          </w:tcPr>
          <w:p>
            <w:pPr>
              <w:spacing w:after="0"/>
              <w:rPr>
                <w:sz w:val="21"/>
                <w:szCs w:val="21"/>
                <w:color w:val="auto"/>
              </w:rPr>
            </w:pPr>
          </w:p>
        </w:tc>
        <w:tc>
          <w:tcPr>
            <w:tcW w:w="9480" w:type="dxa"/>
            <w:vAlign w:val="bottom"/>
            <w:gridSpan w:val="1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Unresolved Staff Comments</w:t>
              </w:r>
            </w:hyperlink>
          </w:p>
        </w:tc>
        <w:tc>
          <w:tcPr>
            <w:tcW w:w="160" w:type="dxa"/>
            <w:vAlign w:val="bottom"/>
            <w:gridSpan w:val="2"/>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2.</w:t>
              </w:r>
            </w:hyperlink>
          </w:p>
        </w:tc>
        <w:tc>
          <w:tcPr>
            <w:tcW w:w="60" w:type="dxa"/>
            <w:vAlign w:val="bottom"/>
          </w:tcPr>
          <w:p>
            <w:pPr>
              <w:spacing w:after="0"/>
              <w:rPr>
                <w:sz w:val="21"/>
                <w:szCs w:val="21"/>
                <w:color w:val="auto"/>
              </w:rPr>
            </w:pPr>
          </w:p>
        </w:tc>
        <w:tc>
          <w:tcPr>
            <w:tcW w:w="520" w:type="dxa"/>
            <w:vAlign w:val="bottom"/>
            <w:gridSpan w:val="4"/>
          </w:tcPr>
          <w:p>
            <w:pPr>
              <w:spacing w:after="0"/>
              <w:rPr>
                <w:sz w:val="21"/>
                <w:szCs w:val="21"/>
                <w:color w:val="auto"/>
              </w:rPr>
            </w:pPr>
          </w:p>
        </w:tc>
        <w:tc>
          <w:tcPr>
            <w:tcW w:w="660" w:type="dxa"/>
            <w:vAlign w:val="bottom"/>
            <w:gridSpan w:val="2"/>
          </w:tcPr>
          <w:p>
            <w:pPr>
              <w:spacing w:after="0"/>
              <w:rPr>
                <w:rFonts w:ascii="Arial" w:cs="Arial" w:eastAsia="Arial" w:hAnsi="Arial"/>
                <w:sz w:val="16"/>
                <w:szCs w:val="16"/>
                <w:color w:val="0000EE"/>
                <w:w w:val="87"/>
              </w:rPr>
            </w:pPr>
            <w:hyperlink w:anchor="page24">
              <w:r>
                <w:rPr>
                  <w:rFonts w:ascii="Arial" w:cs="Arial" w:eastAsia="Arial" w:hAnsi="Arial"/>
                  <w:sz w:val="16"/>
                  <w:szCs w:val="16"/>
                  <w:color w:val="0000EE"/>
                  <w:w w:val="87"/>
                </w:rPr>
                <w:t>Properties</w:t>
              </w:r>
            </w:hyperlink>
          </w:p>
        </w:tc>
        <w:tc>
          <w:tcPr>
            <w:tcW w:w="1180" w:type="dxa"/>
            <w:vAlign w:val="bottom"/>
            <w:gridSpan w:val="5"/>
          </w:tcPr>
          <w:p>
            <w:pPr>
              <w:spacing w:after="0"/>
              <w:rPr>
                <w:sz w:val="21"/>
                <w:szCs w:val="21"/>
                <w:color w:val="auto"/>
              </w:rPr>
            </w:pPr>
          </w:p>
        </w:tc>
        <w:tc>
          <w:tcPr>
            <w:tcW w:w="7640" w:type="dxa"/>
            <w:vAlign w:val="bottom"/>
            <w:gridSpan w:val="10"/>
          </w:tcPr>
          <w:p>
            <w:pPr>
              <w:spacing w:after="0"/>
              <w:rPr>
                <w:sz w:val="21"/>
                <w:szCs w:val="21"/>
                <w:color w:val="auto"/>
              </w:rPr>
            </w:pPr>
          </w:p>
        </w:tc>
        <w:tc>
          <w:tcPr>
            <w:tcW w:w="160" w:type="dxa"/>
            <w:vAlign w:val="bottom"/>
            <w:gridSpan w:val="2"/>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3.</w:t>
              </w:r>
            </w:hyperlink>
          </w:p>
        </w:tc>
        <w:tc>
          <w:tcPr>
            <w:tcW w:w="580" w:type="dxa"/>
            <w:vAlign w:val="bottom"/>
            <w:gridSpan w:val="5"/>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Legal Proceedings</w:t>
              </w:r>
            </w:hyperlink>
          </w:p>
        </w:tc>
        <w:tc>
          <w:tcPr>
            <w:tcW w:w="8300" w:type="dxa"/>
            <w:vAlign w:val="bottom"/>
            <w:gridSpan w:val="13"/>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4.</w:t>
              </w:r>
            </w:hyperlink>
          </w:p>
        </w:tc>
        <w:tc>
          <w:tcPr>
            <w:tcW w:w="580" w:type="dxa"/>
            <w:vAlign w:val="bottom"/>
            <w:gridSpan w:val="5"/>
          </w:tcPr>
          <w:p>
            <w:pPr>
              <w:spacing w:after="0"/>
              <w:rPr>
                <w:sz w:val="20"/>
                <w:szCs w:val="20"/>
                <w:color w:val="auto"/>
              </w:rPr>
            </w:pPr>
          </w:p>
        </w:tc>
        <w:tc>
          <w:tcPr>
            <w:tcW w:w="9480" w:type="dxa"/>
            <w:vAlign w:val="bottom"/>
            <w:gridSpan w:val="17"/>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Mine Safety Disclosures</w:t>
              </w:r>
            </w:hyperlink>
          </w:p>
        </w:tc>
        <w:tc>
          <w:tcPr>
            <w:tcW w:w="160" w:type="dxa"/>
            <w:vAlign w:val="bottom"/>
            <w:gridSpan w:val="2"/>
          </w:tcPr>
          <w:p>
            <w:pPr>
              <w:jc w:val="center"/>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1040" w:type="dxa"/>
            <w:vAlign w:val="bottom"/>
            <w:gridSpan w:val="6"/>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II.</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25">
              <w:r>
                <w:rPr>
                  <w:rFonts w:ascii="Arial" w:cs="Arial" w:eastAsia="Arial" w:hAnsi="Arial"/>
                  <w:sz w:val="16"/>
                  <w:szCs w:val="16"/>
                  <w:color w:val="0000EE"/>
                  <w:w w:val="85"/>
                </w:rPr>
                <w:t>Item 5.</w:t>
              </w:r>
            </w:hyperlink>
          </w:p>
        </w:tc>
        <w:tc>
          <w:tcPr>
            <w:tcW w:w="160" w:type="dxa"/>
            <w:vAlign w:val="bottom"/>
            <w:tcBorders>
              <w:top w:val="single" w:sz="8" w:color="0000EE"/>
            </w:tcBorders>
            <w:gridSpan w:val="2"/>
          </w:tcPr>
          <w:p>
            <w:pPr>
              <w:spacing w:after="0"/>
              <w:rPr>
                <w:sz w:val="21"/>
                <w:szCs w:val="21"/>
                <w:color w:val="auto"/>
              </w:rPr>
            </w:pPr>
          </w:p>
        </w:tc>
        <w:tc>
          <w:tcPr>
            <w:tcW w:w="420" w:type="dxa"/>
            <w:vAlign w:val="bottom"/>
            <w:gridSpan w:val="3"/>
          </w:tcPr>
          <w:p>
            <w:pPr>
              <w:spacing w:after="0"/>
              <w:rPr>
                <w:sz w:val="21"/>
                <w:szCs w:val="21"/>
                <w:color w:val="auto"/>
              </w:rPr>
            </w:pPr>
          </w:p>
        </w:tc>
        <w:tc>
          <w:tcPr>
            <w:tcW w:w="7300" w:type="dxa"/>
            <w:vAlign w:val="bottom"/>
            <w:gridSpan w:val="16"/>
          </w:tcPr>
          <w:p>
            <w:pPr>
              <w:spacing w:after="0"/>
              <w:rPr>
                <w:rFonts w:ascii="Arial" w:cs="Arial" w:eastAsia="Arial" w:hAnsi="Arial"/>
                <w:sz w:val="16"/>
                <w:szCs w:val="16"/>
                <w:color w:val="0000EE"/>
                <w:w w:val="91"/>
              </w:rPr>
            </w:pPr>
            <w:hyperlink w:anchor="page25">
              <w:r>
                <w:rPr>
                  <w:rFonts w:ascii="Arial" w:cs="Arial" w:eastAsia="Arial" w:hAnsi="Arial"/>
                  <w:sz w:val="16"/>
                  <w:szCs w:val="16"/>
                  <w:color w:val="0000EE"/>
                  <w:w w:val="91"/>
                </w:rPr>
                <w:t>Market for Registrant's Common Equity, Related Stockholder Matters, and Issuer Purchases of Equity Securities</w:t>
              </w:r>
            </w:hyperlink>
          </w:p>
        </w:tc>
        <w:tc>
          <w:tcPr>
            <w:tcW w:w="2180" w:type="dxa"/>
            <w:vAlign w:val="bottom"/>
          </w:tcPr>
          <w:p>
            <w:pPr>
              <w:spacing w:after="0"/>
              <w:rPr>
                <w:sz w:val="21"/>
                <w:szCs w:val="21"/>
                <w:color w:val="auto"/>
              </w:rPr>
            </w:pPr>
          </w:p>
        </w:tc>
        <w:tc>
          <w:tcPr>
            <w:tcW w:w="160" w:type="dxa"/>
            <w:vAlign w:val="bottom"/>
            <w:gridSpan w:val="2"/>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6.</w:t>
              </w:r>
            </w:hyperlink>
          </w:p>
        </w:tc>
        <w:tc>
          <w:tcPr>
            <w:tcW w:w="580" w:type="dxa"/>
            <w:vAlign w:val="bottom"/>
            <w:gridSpan w:val="5"/>
          </w:tcPr>
          <w:p>
            <w:pPr>
              <w:spacing w:after="0"/>
              <w:rPr>
                <w:sz w:val="20"/>
                <w:szCs w:val="20"/>
                <w:color w:val="auto"/>
              </w:rPr>
            </w:pPr>
          </w:p>
        </w:tc>
        <w:tc>
          <w:tcPr>
            <w:tcW w:w="1540" w:type="dxa"/>
            <w:vAlign w:val="bottom"/>
            <w:tcBorders>
              <w:top w:val="single" w:sz="8" w:color="0000EE"/>
            </w:tcBorders>
            <w:gridSpan w:val="5"/>
          </w:tcPr>
          <w:p>
            <w:pPr>
              <w:spacing w:after="0"/>
              <w:rPr>
                <w:rFonts w:ascii="Arial" w:cs="Arial" w:eastAsia="Arial" w:hAnsi="Arial"/>
                <w:sz w:val="16"/>
                <w:szCs w:val="16"/>
                <w:color w:val="0000EE"/>
                <w:w w:val="88"/>
              </w:rPr>
            </w:pPr>
            <w:hyperlink w:anchor="page27">
              <w:r>
                <w:rPr>
                  <w:rFonts w:ascii="Arial" w:cs="Arial" w:eastAsia="Arial" w:hAnsi="Arial"/>
                  <w:sz w:val="16"/>
                  <w:szCs w:val="16"/>
                  <w:color w:val="0000EE"/>
                  <w:w w:val="88"/>
                </w:rPr>
                <w:t>Selected Financial Data</w:t>
              </w:r>
            </w:hyperlink>
          </w:p>
        </w:tc>
        <w:tc>
          <w:tcPr>
            <w:tcW w:w="5760" w:type="dxa"/>
            <w:vAlign w:val="bottom"/>
            <w:tcBorders>
              <w:top w:val="single" w:sz="8" w:color="0000EE"/>
            </w:tcBorders>
            <w:gridSpan w:val="11"/>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26</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29">
              <w:r>
                <w:rPr>
                  <w:rFonts w:ascii="Arial" w:cs="Arial" w:eastAsia="Arial" w:hAnsi="Arial"/>
                  <w:sz w:val="16"/>
                  <w:szCs w:val="16"/>
                  <w:color w:val="0000EE"/>
                  <w:w w:val="85"/>
                </w:rPr>
                <w:t>Item 7.</w:t>
              </w:r>
            </w:hyperlink>
          </w:p>
        </w:tc>
        <w:tc>
          <w:tcPr>
            <w:tcW w:w="580" w:type="dxa"/>
            <w:vAlign w:val="bottom"/>
            <w:gridSpan w:val="5"/>
          </w:tcPr>
          <w:p>
            <w:pPr>
              <w:spacing w:after="0"/>
              <w:rPr>
                <w:sz w:val="20"/>
                <w:szCs w:val="20"/>
                <w:color w:val="auto"/>
              </w:rPr>
            </w:pPr>
          </w:p>
        </w:tc>
        <w:tc>
          <w:tcPr>
            <w:tcW w:w="5800" w:type="dxa"/>
            <w:vAlign w:val="bottom"/>
            <w:gridSpan w:val="13"/>
          </w:tcPr>
          <w:p>
            <w:pPr>
              <w:spacing w:after="0"/>
              <w:rPr>
                <w:rFonts w:ascii="Arial" w:cs="Arial" w:eastAsia="Arial" w:hAnsi="Arial"/>
                <w:sz w:val="16"/>
                <w:szCs w:val="16"/>
                <w:color w:val="0000EE"/>
                <w:w w:val="91"/>
              </w:rPr>
            </w:pPr>
            <w:hyperlink w:anchor="page29">
              <w:r>
                <w:rPr>
                  <w:rFonts w:ascii="Arial" w:cs="Arial" w:eastAsia="Arial" w:hAnsi="Arial"/>
                  <w:sz w:val="16"/>
                  <w:szCs w:val="16"/>
                  <w:color w:val="0000EE"/>
                  <w:w w:val="91"/>
                </w:rPr>
                <w:t>Management's Discussion and Analysis of Financial Condition and Results of Operations</w:t>
              </w:r>
            </w:hyperlink>
          </w:p>
        </w:tc>
        <w:tc>
          <w:tcPr>
            <w:tcW w:w="3680" w:type="dxa"/>
            <w:vAlign w:val="bottom"/>
            <w:gridSpan w:val="4"/>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28</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57">
              <w:r>
                <w:rPr>
                  <w:rFonts w:ascii="Arial" w:cs="Arial" w:eastAsia="Arial" w:hAnsi="Arial"/>
                  <w:sz w:val="16"/>
                  <w:szCs w:val="16"/>
                  <w:color w:val="0000EE"/>
                  <w:w w:val="80"/>
                </w:rPr>
                <w:t>Item 7A.</w:t>
              </w:r>
            </w:hyperlink>
          </w:p>
        </w:tc>
        <w:tc>
          <w:tcPr>
            <w:tcW w:w="520" w:type="dxa"/>
            <w:vAlign w:val="bottom"/>
            <w:gridSpan w:val="4"/>
          </w:tcPr>
          <w:p>
            <w:pPr>
              <w:spacing w:after="0"/>
              <w:rPr>
                <w:sz w:val="20"/>
                <w:szCs w:val="20"/>
                <w:color w:val="auto"/>
              </w:rPr>
            </w:pPr>
          </w:p>
        </w:tc>
        <w:tc>
          <w:tcPr>
            <w:tcW w:w="9480" w:type="dxa"/>
            <w:vAlign w:val="bottom"/>
            <w:gridSpan w:val="17"/>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Quantitative and Qualitative Disclosures About Market Risk</w:t>
              </w:r>
            </w:hyperlink>
          </w:p>
        </w:tc>
        <w:tc>
          <w:tcPr>
            <w:tcW w:w="160" w:type="dxa"/>
            <w:vAlign w:val="bottom"/>
            <w:gridSpan w:val="2"/>
          </w:tcPr>
          <w:p>
            <w:pPr>
              <w:jc w:val="center"/>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56</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61">
              <w:r>
                <w:rPr>
                  <w:rFonts w:ascii="Arial" w:cs="Arial" w:eastAsia="Arial" w:hAnsi="Arial"/>
                  <w:sz w:val="16"/>
                  <w:szCs w:val="16"/>
                  <w:color w:val="0000EE"/>
                  <w:w w:val="85"/>
                </w:rPr>
                <w:t>Item 8.</w:t>
              </w:r>
            </w:hyperlink>
          </w:p>
        </w:tc>
        <w:tc>
          <w:tcPr>
            <w:tcW w:w="60" w:type="dxa"/>
            <w:vAlign w:val="bottom"/>
          </w:tcPr>
          <w:p>
            <w:pPr>
              <w:spacing w:after="0"/>
              <w:rPr>
                <w:sz w:val="20"/>
                <w:szCs w:val="20"/>
                <w:color w:val="auto"/>
              </w:rPr>
            </w:pPr>
          </w:p>
        </w:tc>
        <w:tc>
          <w:tcPr>
            <w:tcW w:w="520" w:type="dxa"/>
            <w:vAlign w:val="bottom"/>
            <w:gridSpan w:val="4"/>
          </w:tcPr>
          <w:p>
            <w:pPr>
              <w:spacing w:after="0"/>
              <w:rPr>
                <w:sz w:val="20"/>
                <w:szCs w:val="20"/>
                <w:color w:val="auto"/>
              </w:rPr>
            </w:pPr>
          </w:p>
        </w:tc>
        <w:tc>
          <w:tcPr>
            <w:tcW w:w="3000" w:type="dxa"/>
            <w:vAlign w:val="bottom"/>
            <w:gridSpan w:val="9"/>
          </w:tcPr>
          <w:p>
            <w:pPr>
              <w:spacing w:after="0"/>
              <w:rPr>
                <w:rFonts w:ascii="Arial" w:cs="Arial" w:eastAsia="Arial" w:hAnsi="Arial"/>
                <w:sz w:val="16"/>
                <w:szCs w:val="16"/>
                <w:color w:val="0000EE"/>
                <w:w w:val="90"/>
              </w:rPr>
            </w:pPr>
            <w:hyperlink w:anchor="page61">
              <w:r>
                <w:rPr>
                  <w:rFonts w:ascii="Arial" w:cs="Arial" w:eastAsia="Arial" w:hAnsi="Arial"/>
                  <w:sz w:val="16"/>
                  <w:szCs w:val="16"/>
                  <w:color w:val="0000EE"/>
                  <w:w w:val="90"/>
                </w:rPr>
                <w:t>Financial Statements and Supplementary Data</w:t>
              </w:r>
            </w:hyperlink>
          </w:p>
        </w:tc>
        <w:tc>
          <w:tcPr>
            <w:tcW w:w="920" w:type="dxa"/>
            <w:vAlign w:val="bottom"/>
            <w:gridSpan w:val="2"/>
          </w:tcPr>
          <w:p>
            <w:pPr>
              <w:spacing w:after="0"/>
              <w:rPr>
                <w:sz w:val="20"/>
                <w:szCs w:val="20"/>
                <w:color w:val="auto"/>
              </w:rPr>
            </w:pPr>
          </w:p>
        </w:tc>
        <w:tc>
          <w:tcPr>
            <w:tcW w:w="5560" w:type="dxa"/>
            <w:vAlign w:val="bottom"/>
            <w:gridSpan w:val="6"/>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60</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97">
              <w:r>
                <w:rPr>
                  <w:rFonts w:ascii="Arial" w:cs="Arial" w:eastAsia="Arial" w:hAnsi="Arial"/>
                  <w:sz w:val="16"/>
                  <w:szCs w:val="16"/>
                  <w:color w:val="0000EE"/>
                  <w:w w:val="85"/>
                </w:rPr>
                <w:t>Item 9.</w:t>
              </w:r>
            </w:hyperlink>
          </w:p>
        </w:tc>
        <w:tc>
          <w:tcPr>
            <w:tcW w:w="580" w:type="dxa"/>
            <w:vAlign w:val="bottom"/>
            <w:gridSpan w:val="5"/>
          </w:tcPr>
          <w:p>
            <w:pPr>
              <w:spacing w:after="0"/>
              <w:rPr>
                <w:sz w:val="20"/>
                <w:szCs w:val="20"/>
                <w:color w:val="auto"/>
              </w:rPr>
            </w:pPr>
          </w:p>
        </w:tc>
        <w:tc>
          <w:tcPr>
            <w:tcW w:w="9480" w:type="dxa"/>
            <w:vAlign w:val="bottom"/>
            <w:gridSpan w:val="17"/>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Changes in and Disagreements with Accountants on Accounting and Financial Disclosure</w:t>
              </w:r>
            </w:hyperlink>
          </w:p>
        </w:tc>
        <w:tc>
          <w:tcPr>
            <w:tcW w:w="160" w:type="dxa"/>
            <w:vAlign w:val="bottom"/>
            <w:gridSpan w:val="2"/>
          </w:tcPr>
          <w:p>
            <w:pPr>
              <w:jc w:val="center"/>
              <w:spacing w:after="0"/>
              <w:rPr>
                <w:rFonts w:ascii="Arial" w:cs="Arial" w:eastAsia="Arial" w:hAnsi="Arial"/>
                <w:sz w:val="16"/>
                <w:szCs w:val="16"/>
                <w:color w:val="0000EE"/>
                <w:w w:val="89"/>
              </w:rPr>
            </w:pPr>
            <w:hyperlink w:anchor="page97">
              <w:r>
                <w:rPr>
                  <w:rFonts w:ascii="Arial" w:cs="Arial" w:eastAsia="Arial" w:hAnsi="Arial"/>
                  <w:sz w:val="16"/>
                  <w:szCs w:val="16"/>
                  <w:color w:val="0000EE"/>
                  <w:w w:val="89"/>
                </w:rPr>
                <w:t>96</w:t>
              </w:r>
            </w:hyperlink>
          </w:p>
        </w:tc>
        <w:tc>
          <w:tcPr>
            <w:tcW w:w="8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97">
              <w:r>
                <w:rPr>
                  <w:rFonts w:ascii="Arial" w:cs="Arial" w:eastAsia="Arial" w:hAnsi="Arial"/>
                  <w:sz w:val="16"/>
                  <w:szCs w:val="16"/>
                  <w:color w:val="0000EE"/>
                  <w:w w:val="80"/>
                </w:rPr>
                <w:t>Item 9A.</w:t>
              </w:r>
            </w:hyperlink>
          </w:p>
        </w:tc>
        <w:tc>
          <w:tcPr>
            <w:tcW w:w="520" w:type="dxa"/>
            <w:vAlign w:val="bottom"/>
            <w:gridSpan w:val="4"/>
          </w:tcPr>
          <w:p>
            <w:pPr>
              <w:spacing w:after="0"/>
              <w:rPr>
                <w:sz w:val="20"/>
                <w:szCs w:val="20"/>
                <w:color w:val="auto"/>
              </w:rPr>
            </w:pPr>
          </w:p>
        </w:tc>
        <w:tc>
          <w:tcPr>
            <w:tcW w:w="9480" w:type="dxa"/>
            <w:vAlign w:val="bottom"/>
            <w:gridSpan w:val="17"/>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Controls and Procedures</w:t>
              </w:r>
            </w:hyperlink>
          </w:p>
        </w:tc>
        <w:tc>
          <w:tcPr>
            <w:tcW w:w="160" w:type="dxa"/>
            <w:vAlign w:val="bottom"/>
            <w:gridSpan w:val="2"/>
          </w:tcPr>
          <w:p>
            <w:pPr>
              <w:jc w:val="center"/>
              <w:spacing w:after="0"/>
              <w:rPr>
                <w:rFonts w:ascii="Arial" w:cs="Arial" w:eastAsia="Arial" w:hAnsi="Arial"/>
                <w:sz w:val="16"/>
                <w:szCs w:val="16"/>
                <w:color w:val="0000EE"/>
                <w:w w:val="89"/>
              </w:rPr>
            </w:pPr>
            <w:hyperlink w:anchor="page97">
              <w:r>
                <w:rPr>
                  <w:rFonts w:ascii="Arial" w:cs="Arial" w:eastAsia="Arial" w:hAnsi="Arial"/>
                  <w:sz w:val="16"/>
                  <w:szCs w:val="16"/>
                  <w:color w:val="0000EE"/>
                  <w:w w:val="89"/>
                </w:rPr>
                <w:t>96</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97">
              <w:r>
                <w:rPr>
                  <w:rFonts w:ascii="Arial" w:cs="Arial" w:eastAsia="Arial" w:hAnsi="Arial"/>
                  <w:sz w:val="16"/>
                  <w:szCs w:val="16"/>
                  <w:color w:val="0000EE"/>
                  <w:w w:val="80"/>
                </w:rPr>
                <w:t>Item 9B.</w:t>
              </w:r>
            </w:hyperlink>
          </w:p>
        </w:tc>
        <w:tc>
          <w:tcPr>
            <w:tcW w:w="520" w:type="dxa"/>
            <w:vAlign w:val="bottom"/>
            <w:gridSpan w:val="4"/>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6"/>
                <w:szCs w:val="16"/>
                <w:color w:val="0000EE"/>
              </w:rPr>
              <w:t>Other Information</w:t>
            </w:r>
          </w:p>
        </w:tc>
        <w:tc>
          <w:tcPr>
            <w:tcW w:w="7940" w:type="dxa"/>
            <w:vAlign w:val="bottom"/>
            <w:gridSpan w:val="12"/>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97">
              <w:r>
                <w:rPr>
                  <w:rFonts w:ascii="Arial" w:cs="Arial" w:eastAsia="Arial" w:hAnsi="Arial"/>
                  <w:sz w:val="16"/>
                  <w:szCs w:val="16"/>
                  <w:color w:val="0000EE"/>
                  <w:w w:val="89"/>
                </w:rPr>
                <w:t>96</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1040" w:type="dxa"/>
            <w:vAlign w:val="bottom"/>
            <w:gridSpan w:val="6"/>
          </w:tcPr>
          <w:p>
            <w:pPr>
              <w:spacing w:after="0"/>
              <w:rPr>
                <w:sz w:val="20"/>
                <w:szCs w:val="20"/>
                <w:color w:val="auto"/>
              </w:rPr>
            </w:pPr>
            <w:r>
              <w:rPr>
                <w:rFonts w:ascii="Arial" w:cs="Arial" w:eastAsia="Arial" w:hAnsi="Arial"/>
                <w:sz w:val="16"/>
                <w:szCs w:val="16"/>
                <w:b w:val="1"/>
                <w:bCs w:val="1"/>
                <w:color w:val="0000EE"/>
              </w:rPr>
              <w:t>PART III.</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2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0000EE"/>
                <w:w w:val="82"/>
              </w:rPr>
              <w:t>Item 10.</w:t>
            </w:r>
          </w:p>
        </w:tc>
        <w:tc>
          <w:tcPr>
            <w:tcW w:w="160" w:type="dxa"/>
            <w:vAlign w:val="bottom"/>
            <w:tcBorders>
              <w:top w:val="single" w:sz="8" w:color="0000EE"/>
            </w:tcBorders>
            <w:gridSpan w:val="3"/>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17"/>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160" w:type="dxa"/>
            <w:vAlign w:val="bottom"/>
            <w:gridSpan w:val="2"/>
          </w:tcPr>
          <w:p>
            <w:pPr>
              <w:jc w:val="cente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97</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sz w:val="20"/>
                <w:szCs w:val="20"/>
                <w:color w:val="auto"/>
              </w:rPr>
            </w:pPr>
            <w:r>
              <w:rPr>
                <w:rFonts w:ascii="Arial" w:cs="Arial" w:eastAsia="Arial" w:hAnsi="Arial"/>
                <w:sz w:val="16"/>
                <w:szCs w:val="16"/>
                <w:color w:val="0000EE"/>
                <w:w w:val="82"/>
              </w:rPr>
              <w:t>Item 11.</w:t>
            </w:r>
          </w:p>
        </w:tc>
        <w:tc>
          <w:tcPr>
            <w:tcW w:w="520" w:type="dxa"/>
            <w:vAlign w:val="bottom"/>
            <w:gridSpan w:val="4"/>
          </w:tcPr>
          <w:p>
            <w:pPr>
              <w:spacing w:after="0"/>
              <w:rPr>
                <w:sz w:val="20"/>
                <w:szCs w:val="20"/>
                <w:color w:val="auto"/>
              </w:rPr>
            </w:pPr>
          </w:p>
        </w:tc>
        <w:tc>
          <w:tcPr>
            <w:tcW w:w="3680" w:type="dxa"/>
            <w:vAlign w:val="bottom"/>
            <w:gridSpan w:val="10"/>
          </w:tcPr>
          <w:p>
            <w:pPr>
              <w:spacing w:after="0"/>
              <w:rPr>
                <w:sz w:val="20"/>
                <w:szCs w:val="20"/>
                <w:color w:val="auto"/>
              </w:rPr>
            </w:pPr>
            <w:r>
              <w:rPr>
                <w:rFonts w:ascii="Arial" w:cs="Arial" w:eastAsia="Arial" w:hAnsi="Arial"/>
                <w:sz w:val="16"/>
                <w:szCs w:val="16"/>
                <w:color w:val="0000EE"/>
              </w:rPr>
              <w:t>Executive Compensation</w:t>
            </w:r>
          </w:p>
        </w:tc>
        <w:tc>
          <w:tcPr>
            <w:tcW w:w="5800" w:type="dxa"/>
            <w:vAlign w:val="bottom"/>
            <w:gridSpan w:val="7"/>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97</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sz w:val="20"/>
                <w:szCs w:val="20"/>
                <w:color w:val="auto"/>
              </w:rPr>
            </w:pPr>
            <w:r>
              <w:rPr>
                <w:rFonts w:ascii="Arial" w:cs="Arial" w:eastAsia="Arial" w:hAnsi="Arial"/>
                <w:sz w:val="16"/>
                <w:szCs w:val="16"/>
                <w:color w:val="0000EE"/>
                <w:w w:val="82"/>
              </w:rPr>
              <w:t>Item 12.</w:t>
            </w:r>
          </w:p>
        </w:tc>
        <w:tc>
          <w:tcPr>
            <w:tcW w:w="520" w:type="dxa"/>
            <w:vAlign w:val="bottom"/>
            <w:gridSpan w:val="4"/>
          </w:tcPr>
          <w:p>
            <w:pPr>
              <w:spacing w:after="0"/>
              <w:rPr>
                <w:sz w:val="20"/>
                <w:szCs w:val="20"/>
                <w:color w:val="auto"/>
              </w:rPr>
            </w:pPr>
          </w:p>
        </w:tc>
        <w:tc>
          <w:tcPr>
            <w:tcW w:w="9480" w:type="dxa"/>
            <w:vAlign w:val="bottom"/>
            <w:gridSpan w:val="17"/>
          </w:tcPr>
          <w:p>
            <w:pPr>
              <w:spacing w:after="0"/>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160" w:type="dxa"/>
            <w:vAlign w:val="bottom"/>
            <w:gridSpan w:val="2"/>
          </w:tcPr>
          <w:p>
            <w:pPr>
              <w:jc w:val="cente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97</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sz w:val="20"/>
                <w:szCs w:val="20"/>
                <w:color w:val="auto"/>
              </w:rPr>
            </w:pPr>
            <w:r>
              <w:rPr>
                <w:rFonts w:ascii="Arial" w:cs="Arial" w:eastAsia="Arial" w:hAnsi="Arial"/>
                <w:sz w:val="16"/>
                <w:szCs w:val="16"/>
                <w:color w:val="0000EE"/>
                <w:w w:val="82"/>
              </w:rPr>
              <w:t>Item 13.</w:t>
            </w:r>
          </w:p>
        </w:tc>
        <w:tc>
          <w:tcPr>
            <w:tcW w:w="520" w:type="dxa"/>
            <w:vAlign w:val="bottom"/>
            <w:gridSpan w:val="4"/>
          </w:tcPr>
          <w:p>
            <w:pPr>
              <w:spacing w:after="0"/>
              <w:rPr>
                <w:sz w:val="20"/>
                <w:szCs w:val="20"/>
                <w:color w:val="auto"/>
              </w:rPr>
            </w:pPr>
          </w:p>
        </w:tc>
        <w:tc>
          <w:tcPr>
            <w:tcW w:w="6560" w:type="dxa"/>
            <w:vAlign w:val="bottom"/>
            <w:gridSpan w:val="15"/>
          </w:tcPr>
          <w:p>
            <w:pPr>
              <w:spacing w:after="0"/>
              <w:rPr>
                <w:sz w:val="20"/>
                <w:szCs w:val="20"/>
                <w:color w:val="auto"/>
              </w:rPr>
            </w:pPr>
            <w:r>
              <w:rPr>
                <w:rFonts w:ascii="Arial" w:cs="Arial" w:eastAsia="Arial" w:hAnsi="Arial"/>
                <w:sz w:val="16"/>
                <w:szCs w:val="16"/>
                <w:color w:val="0000EE"/>
              </w:rPr>
              <w:t>Certain Relationships and Related Transactions, and Director Independence</w:t>
            </w:r>
          </w:p>
        </w:tc>
        <w:tc>
          <w:tcPr>
            <w:tcW w:w="2920" w:type="dxa"/>
            <w:vAlign w:val="bottom"/>
            <w:gridSpan w:val="2"/>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97</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sz w:val="20"/>
                <w:szCs w:val="20"/>
                <w:color w:val="auto"/>
              </w:rPr>
            </w:pPr>
            <w:r>
              <w:rPr>
                <w:rFonts w:ascii="Arial" w:cs="Arial" w:eastAsia="Arial" w:hAnsi="Arial"/>
                <w:sz w:val="16"/>
                <w:szCs w:val="16"/>
                <w:color w:val="0000EE"/>
                <w:w w:val="82"/>
              </w:rPr>
              <w:t>Item 14.</w:t>
            </w:r>
          </w:p>
        </w:tc>
        <w:tc>
          <w:tcPr>
            <w:tcW w:w="520" w:type="dxa"/>
            <w:vAlign w:val="bottom"/>
            <w:gridSpan w:val="4"/>
          </w:tcPr>
          <w:p>
            <w:pPr>
              <w:spacing w:after="0"/>
              <w:rPr>
                <w:sz w:val="20"/>
                <w:szCs w:val="20"/>
                <w:color w:val="auto"/>
              </w:rPr>
            </w:pPr>
          </w:p>
        </w:tc>
        <w:tc>
          <w:tcPr>
            <w:tcW w:w="2580" w:type="dxa"/>
            <w:vAlign w:val="bottom"/>
            <w:gridSpan w:val="8"/>
          </w:tcPr>
          <w:p>
            <w:pPr>
              <w:spacing w:after="0"/>
              <w:rPr>
                <w:sz w:val="20"/>
                <w:szCs w:val="20"/>
                <w:color w:val="auto"/>
              </w:rPr>
            </w:pPr>
            <w:r>
              <w:rPr>
                <w:rFonts w:ascii="Arial" w:cs="Arial" w:eastAsia="Arial" w:hAnsi="Arial"/>
                <w:sz w:val="16"/>
                <w:szCs w:val="16"/>
                <w:color w:val="0000EE"/>
                <w:w w:val="90"/>
              </w:rPr>
              <w:t>Principal Accounting Fees and Services</w:t>
            </w:r>
          </w:p>
        </w:tc>
        <w:tc>
          <w:tcPr>
            <w:tcW w:w="2320" w:type="dxa"/>
            <w:vAlign w:val="bottom"/>
            <w:gridSpan w:val="4"/>
          </w:tcPr>
          <w:p>
            <w:pPr>
              <w:spacing w:after="0"/>
              <w:rPr>
                <w:sz w:val="20"/>
                <w:szCs w:val="20"/>
                <w:color w:val="auto"/>
              </w:rPr>
            </w:pPr>
          </w:p>
        </w:tc>
        <w:tc>
          <w:tcPr>
            <w:tcW w:w="4580" w:type="dxa"/>
            <w:vAlign w:val="bottom"/>
            <w:gridSpan w:val="5"/>
          </w:tcPr>
          <w:p>
            <w:pPr>
              <w:spacing w:after="0"/>
              <w:rPr>
                <w:sz w:val="20"/>
                <w:szCs w:val="20"/>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98">
              <w:r>
                <w:rPr>
                  <w:rFonts w:ascii="Arial" w:cs="Arial" w:eastAsia="Arial" w:hAnsi="Arial"/>
                  <w:sz w:val="16"/>
                  <w:szCs w:val="16"/>
                  <w:color w:val="0000EE"/>
                  <w:w w:val="89"/>
                </w:rPr>
                <w:t>97</w:t>
              </w:r>
            </w:hyperlink>
          </w:p>
        </w:tc>
        <w:tc>
          <w:tcPr>
            <w:tcW w:w="80" w:type="dxa"/>
            <w:vAlign w:val="bottom"/>
          </w:tcPr>
          <w:p>
            <w:pPr>
              <w:spacing w:after="0"/>
              <w:rPr>
                <w:sz w:val="20"/>
                <w:szCs w:val="20"/>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4"/>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4"/>
              </w:rPr>
              <w:t>PART IV.</w:t>
            </w:r>
          </w:p>
        </w:tc>
        <w:tc>
          <w:tcPr>
            <w:tcW w:w="3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99">
              <w:r>
                <w:rPr>
                  <w:rFonts w:ascii="Arial" w:cs="Arial" w:eastAsia="Arial" w:hAnsi="Arial"/>
                  <w:sz w:val="16"/>
                  <w:szCs w:val="16"/>
                  <w:color w:val="0000EE"/>
                  <w:w w:val="85"/>
                </w:rPr>
                <w:t>Item 6.</w:t>
              </w:r>
            </w:hyperlink>
          </w:p>
        </w:tc>
        <w:tc>
          <w:tcPr>
            <w:tcW w:w="580" w:type="dxa"/>
            <w:vAlign w:val="bottom"/>
            <w:gridSpan w:val="5"/>
          </w:tcPr>
          <w:p>
            <w:pPr>
              <w:spacing w:after="0"/>
              <w:rPr>
                <w:sz w:val="21"/>
                <w:szCs w:val="21"/>
                <w:color w:val="auto"/>
              </w:rPr>
            </w:pPr>
          </w:p>
        </w:tc>
        <w:tc>
          <w:tcPr>
            <w:tcW w:w="540" w:type="dxa"/>
            <w:vAlign w:val="bottom"/>
          </w:tcPr>
          <w:p>
            <w:pPr>
              <w:spacing w:after="0"/>
              <w:rPr>
                <w:rFonts w:ascii="Arial" w:cs="Arial" w:eastAsia="Arial" w:hAnsi="Arial"/>
                <w:sz w:val="16"/>
                <w:szCs w:val="16"/>
                <w:color w:val="0000EE"/>
                <w:w w:val="89"/>
              </w:rPr>
            </w:pPr>
            <w:hyperlink w:anchor="page99">
              <w:r>
                <w:rPr>
                  <w:rFonts w:ascii="Arial" w:cs="Arial" w:eastAsia="Arial" w:hAnsi="Arial"/>
                  <w:sz w:val="16"/>
                  <w:szCs w:val="16"/>
                  <w:color w:val="0000EE"/>
                  <w:w w:val="89"/>
                </w:rPr>
                <w:t>Exhibits</w:t>
              </w:r>
            </w:hyperlink>
          </w:p>
        </w:tc>
        <w:tc>
          <w:tcPr>
            <w:tcW w:w="8940" w:type="dxa"/>
            <w:vAlign w:val="bottom"/>
            <w:gridSpan w:val="16"/>
          </w:tcPr>
          <w:p>
            <w:pPr>
              <w:spacing w:after="0"/>
              <w:rPr>
                <w:sz w:val="21"/>
                <w:szCs w:val="21"/>
                <w:color w:val="auto"/>
              </w:rPr>
            </w:pPr>
          </w:p>
        </w:tc>
        <w:tc>
          <w:tcPr>
            <w:tcW w:w="160" w:type="dxa"/>
            <w:vAlign w:val="bottom"/>
            <w:gridSpan w:val="2"/>
          </w:tcPr>
          <w:p>
            <w:pPr>
              <w:jc w:val="center"/>
              <w:spacing w:after="0"/>
              <w:rPr>
                <w:rFonts w:ascii="Arial" w:cs="Arial" w:eastAsia="Arial" w:hAnsi="Arial"/>
                <w:sz w:val="16"/>
                <w:szCs w:val="16"/>
                <w:color w:val="0000EE"/>
                <w:w w:val="89"/>
              </w:rPr>
            </w:pPr>
            <w:hyperlink w:anchor="page99">
              <w:r>
                <w:rPr>
                  <w:rFonts w:ascii="Arial" w:cs="Arial" w:eastAsia="Arial" w:hAnsi="Arial"/>
                  <w:sz w:val="16"/>
                  <w:szCs w:val="16"/>
                  <w:color w:val="0000EE"/>
                  <w:w w:val="89"/>
                </w:rPr>
                <w:t>98</w:t>
              </w:r>
            </w:hyperlink>
          </w:p>
        </w:tc>
        <w:tc>
          <w:tcPr>
            <w:tcW w:w="80" w:type="dxa"/>
            <w:vAlign w:val="bottom"/>
          </w:tcPr>
          <w:p>
            <w:pPr>
              <w:spacing w:after="0"/>
              <w:rPr>
                <w:sz w:val="21"/>
                <w:szCs w:val="2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102">
              <w:r>
                <w:rPr>
                  <w:rFonts w:ascii="Arial" w:cs="Arial" w:eastAsia="Arial" w:hAnsi="Arial"/>
                  <w:sz w:val="16"/>
                  <w:szCs w:val="16"/>
                  <w:color w:val="0000EE"/>
                  <w:w w:val="89"/>
                </w:rPr>
                <w:t>101</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80" w:top="580"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AGNC Investment Corp. ("AGNC," the "Company," "we," "us" and "our") was organized on January 7, 2008 and commenced operations on May 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following the completion of our initial public offering. Our common stock is traded on The NASDAQ Global Select Market under the symbol "AGNC."</w:t>
      </w:r>
    </w:p>
    <w:p>
      <w:pPr>
        <w:spacing w:after="0" w:line="3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residential and commercial mortgage-backed securities where repayment of principal and interest is not guaranteed by a GSE or U.S. Government agency.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 distributions and net asset value (also referred to as "net book value," "NAV" and "stockholders' equity") accretion. We fund our investments primarily through short-term borrowings structured as repurchase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 attractive risk-adjusted returns for our stockholders comprised of monthly dividend distributions and NAV accretion;</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a subset of the portfolio in mortgage credit risk oriented assets;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non-Agency securities market;</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extension and credit risks;</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63"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(the "Investment Company Act").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Securities</w:t>
      </w:r>
    </w:p>
    <w:p>
      <w:pPr>
        <w:spacing w:after="0" w:line="167" w:lineRule="exact"/>
        <w:rPr>
          <w:sz w:val="20"/>
          <w:szCs w:val="20"/>
          <w:color w:val="auto"/>
        </w:rPr>
      </w:pPr>
    </w:p>
    <w:p>
      <w:pPr>
        <w:jc w:val="both"/>
        <w:ind w:left="760" w:hanging="320"/>
        <w:spacing w:after="0" w:line="271"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Agency Residential Mortgage-Backed Securities ("Agency RMBS"). </w:t>
      </w:r>
      <w:r>
        <w:rPr>
          <w:rFonts w:ascii="Arial" w:cs="Arial" w:eastAsia="Arial" w:hAnsi="Arial"/>
          <w:sz w:val="17"/>
          <w:szCs w:val="17"/>
          <w:color w:val="auto"/>
        </w:rPr>
        <w:t>Our primary investments consist of Agency pass-through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representing interests in "pools" of mortgage loans secured by residential real property. Monthly payments of principal and interest made by the individual borrowers on the mortgage loans that underlie the securities, which are guaranteed by a GSE to holders of the securities, are in effect "passed through," net of fees paid to the issuer/guarantor and servicers of the securities, to the holders of the securities. In general, mortgage pass-through certificates distribute cash flows from the underlying collateral on a pro rata basis among the holders of the securities. Holders of the securities also receive guarantor advances of principal and interest for delinquent loans in the mortgage pools. We also invest in Agency collateralized mortgage obligations ("CMOs"), which are structured instruments representing interests in Agency residential pass-through certificates, and interest-only, inverse interest-only and principal-only securities, which represent the right to receive a specified proportion of the contractual interest or principal flows of specific Agency CMO securities.</w:t>
      </w:r>
    </w:p>
    <w:p>
      <w:pPr>
        <w:spacing w:after="0" w:line="120" w:lineRule="exact"/>
        <w:rPr>
          <w:rFonts w:ascii="Arial" w:cs="Arial" w:eastAsia="Arial" w:hAnsi="Arial"/>
          <w:sz w:val="17"/>
          <w:szCs w:val="17"/>
          <w:color w:val="auto"/>
        </w:rPr>
      </w:pPr>
    </w:p>
    <w:p>
      <w:pPr>
        <w:jc w:val="both"/>
        <w:ind w:left="760" w:hanging="320"/>
        <w:spacing w:after="0" w:line="266" w:lineRule="auto"/>
        <w:tabs>
          <w:tab w:leader="none" w:pos="7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To-Be-Announced Forward Contracts ("TBAs"). </w:t>
      </w:r>
      <w:r>
        <w:rPr>
          <w:rFonts w:ascii="Arial" w:cs="Arial" w:eastAsia="Arial" w:hAnsi="Arial"/>
          <w:sz w:val="18"/>
          <w:szCs w:val="18"/>
          <w:color w:val="auto"/>
        </w:rPr>
        <w:t>TBAs are forward contracts to purchase or sell Agency RMBS. TBA contracts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coupon rate, issuer, term and face value of the bonds to be delivered, with the actual bonds to be delivered only identified shortly before the TBA settlement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Non-Agency Securities</w:t>
      </w:r>
    </w:p>
    <w:p>
      <w:pPr>
        <w:spacing w:after="0" w:line="167" w:lineRule="exact"/>
        <w:rPr>
          <w:sz w:val="20"/>
          <w:szCs w:val="20"/>
          <w:color w:val="auto"/>
        </w:rPr>
      </w:pPr>
    </w:p>
    <w:p>
      <w:pPr>
        <w:jc w:val="both"/>
        <w:ind w:left="760" w:hanging="347"/>
        <w:spacing w:after="0" w:line="25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Credit Risk Transfer Securities ("CRT"). </w:t>
      </w:r>
      <w:r>
        <w:rPr>
          <w:rFonts w:ascii="Arial" w:cs="Arial" w:eastAsia="Arial" w:hAnsi="Arial"/>
          <w:sz w:val="18"/>
          <w:szCs w:val="18"/>
          <w:color w:val="auto"/>
        </w:rPr>
        <w:t>CRT securities are risk sharing instruments that transfer a portion of the risk associated with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within pools of conventional residential mortgage loans from the GSEs and/or third parties to private investors, such as us. Unlike Agency RMBS, full repayment of the original principal balance of CRT securities is not guaranteed by a GSE or other third party; rather, "credit risk transfer" is achieved by writing down the outstanding principal balance of the CRT securities if credit losses on the related pool of loans exceed certain thresholds. By reducing the amount that issuers are obligated to repay to holders of CRT securities, the issuers of CRT securities are able to offset credit losses on the related pool of loans.</w:t>
      </w:r>
    </w:p>
    <w:p>
      <w:pPr>
        <w:spacing w:after="0" w:line="133" w:lineRule="exact"/>
        <w:rPr>
          <w:rFonts w:ascii="Arial" w:cs="Arial" w:eastAsia="Arial" w:hAnsi="Arial"/>
          <w:sz w:val="18"/>
          <w:szCs w:val="18"/>
          <w:color w:val="auto"/>
        </w:rPr>
      </w:pPr>
    </w:p>
    <w:p>
      <w:pPr>
        <w:jc w:val="both"/>
        <w:ind w:left="760" w:hanging="347"/>
        <w:spacing w:after="0" w:line="271" w:lineRule="auto"/>
        <w:tabs>
          <w:tab w:leader="none" w:pos="7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Non-Agency Residential Mortgage-Backed Securities ("Non-Agency RMBS"). </w:t>
      </w:r>
      <w:r>
        <w:rPr>
          <w:rFonts w:ascii="Arial" w:cs="Arial" w:eastAsia="Arial" w:hAnsi="Arial"/>
          <w:sz w:val="17"/>
          <w:szCs w:val="17"/>
          <w:color w:val="auto"/>
        </w:rPr>
        <w:t>Non-Agency RMBS are securities backed by residential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mortgages, for which payment of principal and interest is not guaranteed by a GSE or government agency. Instead, a private institution such as a commercial bank will package residential mortgage loans and securitize them through the issuance of RMBS. Non-Agency RMBS are often referred to as private label RMBS. Non-Agency RMBS may benefit from credit enhancement derived from structural elements, such as subordination, overcollateralization or insurance. We may purchase highly-rated instruments that benefit from credit enhancement or non-investment grade instruments that absorb credit risk. We focus primarily on non-Agency securities where the underlying mortgages are secured by residential properties within the United States. Residential non-Agency securities are backed by residential mortgages that can be comprised of prime mortgage or nonprime mortgage loans. We may also purchase Agency or non-Agency multifamily securities where the collateral backing the securitization consists in whole or in part of loans to properties housing multiple tenants.</w:t>
      </w:r>
    </w:p>
    <w:p>
      <w:pPr>
        <w:spacing w:after="0" w:line="120" w:lineRule="exact"/>
        <w:rPr>
          <w:rFonts w:ascii="Arial" w:cs="Arial" w:eastAsia="Arial" w:hAnsi="Arial"/>
          <w:sz w:val="17"/>
          <w:szCs w:val="17"/>
          <w:b w:val="1"/>
          <w:bCs w:val="1"/>
          <w:color w:val="auto"/>
        </w:rPr>
      </w:pPr>
    </w:p>
    <w:p>
      <w:pPr>
        <w:jc w:val="both"/>
        <w:ind w:left="760" w:hanging="347"/>
        <w:spacing w:after="0" w:line="298" w:lineRule="auto"/>
        <w:tabs>
          <w:tab w:leader="none" w:pos="7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 Mortgage-Backed Securities ("CMBS"). </w:t>
      </w:r>
      <w:r>
        <w:rPr>
          <w:rFonts w:ascii="Arial" w:cs="Arial" w:eastAsia="Arial" w:hAnsi="Arial"/>
          <w:sz w:val="16"/>
          <w:szCs w:val="16"/>
          <w:color w:val="auto"/>
        </w:rPr>
        <w:t>CMBS are securities that are structured utilizing collateral pools comprised of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loans. CMBS can be structured as pass-through securities, where the cash flows generated by the collateral pool are passed on pro rata to investors after netting servicer or other fees, or where cash flows are distributed to numerous classes of securities following a predetermined waterfall, which may give priority to selected classes while subordinating other classes. We may invest across the capital structure of these securities, and we intend to focus on CMBS where the underlying collateral is secured by commercial properties located within the United States.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Active Portfolio Management Strategy</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employ an active management strategy designed to achieve our principal objectives of generating attractive risk-adjusted returns and managing our net asset value within reasonable bands. We invest in securities based on our assessment of the relative risk-return profile of the securities and our ability to effectively hedge a portion of the securities' exposure to market risks. The composition of our portfolio and strategies that we use will vary based on our view of prevailing market conditions and the availability of suitable investment, hedging and funding opportunities. We may experience investment gains or losses when we sell securities that we believe no longer provide attractive risk-adjusted returns or when we believe more attractive alternatives are available elsewhere in the mortgage or mortgage-related securities market, or when we believe it is prudent to reduce aggregate exposure or a particular type of risk embedded in the portfolio. We may also experience gains or losses as a result of our hedging strategies or due to credit losses on our non-Agency securities.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Strategy</w:t>
      </w:r>
    </w:p>
    <w:p>
      <w:pPr>
        <w:spacing w:after="0" w:line="17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part of our investment strategy, we leverage our investment portfolio to increase potential returns to our stockholders. Our primary source of financing is through repurchase agreements. A repurchase agreement transaction acts as a financing arrangement under which we effectively pledge our investment securities as collateral to secure a loan. Our borrowings pursuant to these repurchase transactions generally have maturities ranging from 30 days to one year, but may have maturities less than 30 days or up to five or more years. Under our repurchase agreements, our financing rate typically tracks short term rates such as one, three or six month London Interbank Offered Rate ("LIBOR"), plus or minus a fixed spread.</w:t>
      </w:r>
    </w:p>
    <w:p>
      <w:pPr>
        <w:spacing w:after="0" w:line="119"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Our leverage varies depending on market conditions, our assessment of risk and returns and our ability to continue to borrow funds sufficient to fund acquisitions of mortgage securities. We generally expect our leverage to be within six to eleven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seek to diversify our funding exposure by entering into repurchase agreements with multiple counterparties. We had master repurchase agreements with 38 financial institutions as of December 31, 2016. The terms of our master repurchase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t>standard master repurchase agreement. Typical supplemental terms and conditions include changes to the margin maintenance requirements, purchase price maintenance requirements, requirements that all controversies related to the repurchase agreement be litigated in a particular jurisdiction and cross default provisions. These provisions may differ for each lender and certain of these terms may not be determined until we engage in a specific repurchase transaction.</w:t>
      </w:r>
    </w:p>
    <w:p>
      <w:pPr>
        <w:spacing w:after="0" w:line="93"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may also obtain other sources of financing depending on market conditions. We may finance the acquisition of Agency RMBS by entering into TBA dollar roll transactions in which we would sell a TBA contract for current month settlement and simultaneously purchase a similar TBA contract for a forward settlement date. Prior to the forward settlement date, we may choose to roll the position out to a later date by entering into an offsetting TBA position, net settling the paired off positions for cash, and simultaneously entering into a similar TBA contract for a later settlement date. In such transactions, the TBA contract purchased for a forward settlement date is priced at a discount to the TBA contract sold for settlement/pair off in the current month. This difference (or discount) is referred to as the "price drop." The price drop is the economic equivalent of net interest carry income on the underlying Agency RMBS over the roll period (interest income less implied financing cost) and is commonly referred to as "dollar roll income." Consequently, dollar roll transactions represent a form of off-balance sheet financing. In evaluating our overall leverage at risk, we consider both our on-balance sheet and off-balance sheet financing.</w:t>
      </w:r>
    </w:p>
    <w:p>
      <w:pPr>
        <w:spacing w:after="0" w:line="14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During 2015, we formed a wholly-owned captive broker-dealer subsidiary, Bethesda Securities, LLC ("BES"). BES became operational and received final membership approval to the Fixed Income Clearing Corporation ("FICC") during the third quarter of 2016. BES has direct access to bilateral and triparty funding as a Financial Industry Regulatory Authority ("FINRA") member broker-dealer. As an eligible institution, BES also raises funds through the General Collateral Finance Repo service offered by the FICC, with the FICC acting as the central counterparty, and thus provides us greater depth and diversity of repurchase agreement funding while also lowering our funding cost and limiting our counterparty exposure.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Strategy</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use a variety of strategies to reduce our exposure to market risks, including interest rate, prepayment, extension and credit risks. Our investment strategies take into account our assessment of these risks, the cost of the hedging transactions and our intention to qualify as a REIT. Our hedging strategies are generally not designed to protect our net asset value from "spread risk" (also referred to as "basis risk"), which is the risk that the yield differential between our investments and our hedges fluctuates. In addition, while we use interest rate swaps and other supplemental hedges to attempt to protect our net asset value against moves in interest rates, we may not hedge certain interest rate, prepayment or extension risks if we believe that bearing such risks enhances our return profile, or if the hedging transaction would negatively impact our REIT status.</w:t>
      </w:r>
    </w:p>
    <w:p>
      <w:pPr>
        <w:spacing w:after="0" w:line="124"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interest rate mismatches between the interest we earn on our longer term investments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interest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2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3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27"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5" w:name="page6"/>
    <w:bookmarkEnd w:id="5"/>
    <w:p>
      <w:pPr>
        <w:jc w:val="both"/>
        <w:ind w:left="660" w:hanging="328"/>
        <w:spacing w:after="0" w:line="297"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Extension Risk. </w:t>
      </w:r>
      <w:r>
        <w:rPr>
          <w:rFonts w:ascii="Arial" w:cs="Arial" w:eastAsia="Arial" w:hAnsi="Arial"/>
          <w:sz w:val="16"/>
          <w:szCs w:val="16"/>
          <w:color w:val="auto"/>
        </w:rPr>
        <w:t>Because residential borrowers have the option to make only scheduled payments on their mortgage loans, rather than prepay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 because the rate at which borrowers refinance their mortgages, sell the property collateralizing the mortgage, or otherwise pay incremental principal payments occurs at a slower pace than was originally expected.</w:t>
      </w:r>
    </w:p>
    <w:p>
      <w:pPr>
        <w:spacing w:after="0" w:line="104" w:lineRule="exact"/>
        <w:rPr>
          <w:rFonts w:ascii="Arial" w:cs="Arial" w:eastAsia="Arial" w:hAnsi="Arial"/>
          <w:sz w:val="16"/>
          <w:szCs w:val="16"/>
          <w:b w:val="1"/>
          <w:bCs w:val="1"/>
          <w:i w:val="1"/>
          <w:iCs w:val="1"/>
          <w:color w:val="auto"/>
        </w:rPr>
      </w:pPr>
    </w:p>
    <w:p>
      <w:pPr>
        <w:jc w:val="both"/>
        <w:ind w:left="660" w:hanging="328"/>
        <w:spacing w:after="0" w:line="297"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Spread Risk. </w:t>
      </w:r>
      <w:r>
        <w:rPr>
          <w:rFonts w:ascii="Arial" w:cs="Arial" w:eastAsia="Arial" w:hAnsi="Arial"/>
          <w:sz w:val="16"/>
          <w:szCs w:val="16"/>
          <w:color w:val="auto"/>
        </w:rPr>
        <w:t>Because the market spread between the yield on our investments and the yield on benchmark interest rates, such as U.S. Treasury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rate swap rates, may vary, we are exposed to spread risk.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the Federal Reserve (the "Fed"), liquidity, or changes in required rates of return on different assets. Our strategies are generally not designed to protect our net asset value from spread risk.</w:t>
      </w:r>
    </w:p>
    <w:p>
      <w:pPr>
        <w:spacing w:after="0" w:line="158" w:lineRule="exact"/>
        <w:rPr>
          <w:rFonts w:ascii="Arial" w:cs="Arial" w:eastAsia="Arial" w:hAnsi="Arial"/>
          <w:sz w:val="16"/>
          <w:szCs w:val="16"/>
          <w:b w:val="1"/>
          <w:bCs w:val="1"/>
          <w:i w:val="1"/>
          <w:iCs w:val="1"/>
          <w:color w:val="auto"/>
        </w:rPr>
      </w:pPr>
    </w:p>
    <w:p>
      <w:pPr>
        <w:jc w:val="both"/>
        <w:ind w:left="66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We accept mortgage credit exposure related to our non-Agency securities at levels we deem to be prudent within the context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overall investment strategy. Therefore, we may retain all or a portion of the credit risk on the loans underlying our non-Agency securities. We seek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percentage mix of our Agency and non-Agency mortgage investments or our duration gap, when we believe credit performance is inversely correlated with changes in interest rates, in an effort to actively adjust our credit exposure and/or to improve the return profile of our investment portfolio.</w:t>
      </w:r>
    </w:p>
    <w:p>
      <w:pPr>
        <w:spacing w:after="0" w:line="12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RMBS securities in the TBA market on a generic pool basis and U.S. Treasury securities and U.S. Treasury futures contracts, primarily through short sales. We may also purchase or write put or call options on TBA securities and invest in mortgage and other types of derivative instruments, such as interest and principal-only securities.</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Income from hedging transactions that we enter into to manage risk may not constitute qualifying gross income under one or both of the gross income tests applicable to REITs (see </w:t>
      </w:r>
      <w:r>
        <w:rPr>
          <w:rFonts w:ascii="Arial" w:cs="Arial" w:eastAsia="Arial" w:hAnsi="Arial"/>
          <w:sz w:val="16"/>
          <w:szCs w:val="16"/>
          <w:i w:val="1"/>
          <w:iCs w:val="1"/>
          <w:color w:val="auto"/>
        </w:rPr>
        <w:t>"Real Estate Investment Trust Requirements"</w:t>
      </w:r>
      <w:r>
        <w:rPr>
          <w:rFonts w:ascii="Arial" w:cs="Arial" w:eastAsia="Arial" w:hAnsi="Arial"/>
          <w:sz w:val="16"/>
          <w:szCs w:val="16"/>
          <w:color w:val="auto"/>
        </w:rPr>
        <w:t>). Therefore, we may have to limit our use of certain hedging techniques, which could expose us to greater risks than we would otherwise want to bear, or implement those hedging techniques through a taxable REIT subsidiary ("TRS"). Implementing our hedges through a TRS could increase the cost of our hedging activities because a TRS would be subject to tax on income and gains.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Internalization</w:t>
      </w:r>
    </w:p>
    <w:p>
      <w:pPr>
        <w:spacing w:after="0" w:line="17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Prior to July 1, 2016, we were externally managed by AGNC Management, LLC (our "Manager," formerly known as American Capital AGNC Management, LLC). On July 1, 2016, we completed the acquisition of AGNC Mortgage Management, LLC ("AMM," formerly known as American Capital Mortgage Management, LLC), the parent company of our Manager, from American Capital Asset Management, LLC ("ACAM"), a wholly owned portfolio company of American Capital, Ltd. ("ACAS"), for a purchase price of $562 million in cash. AMM is also the parent company of MTGE Management, LLC ("MTGE Manager," formerly known as American Capital MTGE Management, LLC), the external manager of MTGE Investment Corp. ("MTGE," formerly known as American Capital Mortgage Investment Corp.).</w:t>
      </w:r>
    </w:p>
    <w:p>
      <w:pPr>
        <w:spacing w:after="0" w:line="13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Prior to our management internalization,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and were obligated to reimburse our Manager for its expenses incurred directly related to our operations, excluding employment-related expenses of our Manager's officers and employees and any American Capital employees who provided services to us pursuant to the management agreement. There was no incentive compensation payable to our Manager pursuant to the management agreement. Following the internalization of our manager, we no longer incur a management fee, but we incur expenses associated with being an internally managed organization, including compensation expense previously borne by our Manager. If we had elected to cancel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6" w:name="page7"/>
    <w:bookmarkEnd w:id="6"/>
    <w:p>
      <w:pPr>
        <w:jc w:val="both"/>
        <w:spacing w:after="0" w:line="302" w:lineRule="auto"/>
        <w:rPr>
          <w:sz w:val="20"/>
          <w:szCs w:val="20"/>
          <w:color w:val="auto"/>
        </w:rPr>
      </w:pPr>
      <w:r>
        <w:rPr>
          <w:rFonts w:ascii="Arial" w:cs="Arial" w:eastAsia="Arial" w:hAnsi="Arial"/>
          <w:sz w:val="16"/>
          <w:szCs w:val="16"/>
          <w:color w:val="auto"/>
        </w:rPr>
        <w:t>management contract without cause, we would have been obligated to pay management fees through our existing renewal term (plus an additional one year period if we had not provided notice of non-renewal at least 180-days prior to the completion of the then current renewal term) and a termination fee equal to three times our average annual management during the preceding 24-month period. We would have also been precluded from hiring any of the employees for a two year period following termination who had worked for ACAS or any of its affiliates, including our Manager, at any point over the prior two year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2016, we had 54 full-time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7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conduct our business so as not to become regulated as an investment company under the Investment Company Act, in reliance on the exemption provided by Section 3(c)(5)(C) of the Investment Company Act. As long as we qualify for this exemption, we will not be subject to leverage and other restrictions imposed on regulated investment companies, which would significantly reduce our ability to use leverage. Section 3(c)(5)(C), as interpreted by the staff of the SEC, requires us to invest at least 55% of our assets in "mortgages and other liens on and interest in real estate" or "qualifying real estate interests"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of the certificates issued by the pool ("whole pool" securities) as qualifying real estate interests. We typically treat "partial pool" and other mortgage securities where we hold less than all of the certificates issued by the pool as real estate-related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have elected to be taxed as a REIT under the Internal Revenue Code. As long as we qualify as a REIT, we generally will not be subject to U.S. federal or state corporate income tax on our taxable net income to the extent that we annually distribute all of our taxable net income to stockholders within the time limits prescribed by the Internal Revenue Code. Qualification and taxation as a REIT depends on our ability to meet on a continuing basis various qualification requirements imposed upon REITs by the Internal Revenue Code, including satisfying certain organizational requirements, an annual distribution requirement and quarterly asset and annual income tests. The REIT asset and income tests are of particular significance as they restrict the extent to which we can invest in certain types of securities and conduct certain hedging activities within the REIT. Consequently, we may be required to limit these activities or conduct them through a TRS. We believe that we have been organized and operate in such a manner as to qualify for taxation as a REIT.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order to continue to qualify as a REIT, we must satisfy two gross income requirements on an annual basis.</w:t>
      </w:r>
    </w:p>
    <w:p>
      <w:pPr>
        <w:spacing w:after="0" w:line="171" w:lineRule="exact"/>
        <w:rPr>
          <w:sz w:val="20"/>
          <w:szCs w:val="20"/>
          <w:color w:val="auto"/>
        </w:rPr>
      </w:pPr>
    </w:p>
    <w:p>
      <w:pPr>
        <w:ind w:left="720" w:hanging="320"/>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generally must be derived from investments in real property or mortgages on real property.</w:t>
      </w:r>
    </w:p>
    <w:p>
      <w:pPr>
        <w:spacing w:after="0" w:line="194" w:lineRule="exact"/>
        <w:rPr>
          <w:rFonts w:ascii="Arial" w:cs="Arial" w:eastAsia="Arial" w:hAnsi="Arial"/>
          <w:sz w:val="16"/>
          <w:szCs w:val="16"/>
          <w:color w:val="auto"/>
        </w:rPr>
      </w:pPr>
    </w:p>
    <w:p>
      <w:pPr>
        <w:ind w:left="1040" w:hanging="640"/>
        <w:spacing w:after="0" w:line="264" w:lineRule="auto"/>
        <w:tabs>
          <w:tab w:leader="none" w:pos="7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Interest income constitutes qualifying mortgage interest for purposes of the 75% gross income test described above to the extent that the obligation upon which such interest is paid is secured by a mortgage on real property. We expect that substantially all of our income from our Agency and non-Agency MBS will continue to be qualifying income for purposes of the 75% gross income test. Income from CRT securities is treated as non-qualifying income for the 75% gross income test, which potentially limits our ability to invest in CRT securities. There is no direct authority with respect to the qualification of income or gains from TBAs as gains from the sale of real estate assets or other qualifying income for purposes of the 75% gross income test. We treat gains from TBAs as qualifying income for purposes of the 75% gross income test and we treat TBAs as qualifying assets for purposes of the 75% asset test described below based on an opinion of legal counsel. Income and gains that we derive from instruments that we use to hedge the interest rate risk associated with our borrowings incurred to acquire real estate assets will generally be excluded from both the numerator and the denominator for purposes of the 75% and 95% gross income test, provided that specified requirements are met.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each calendar quarter, we must satisfy four tests relating to the nature of our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value of all securities of all TRSs that we hold may not exceed 25% of the value of our total assets. (For tax years beginning after December 31, 2017, the limit is reduced to 20% of the value of total assets.)</w:t>
      </w:r>
    </w:p>
    <w:p>
      <w:pPr>
        <w:spacing w:after="0" w:line="11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If we should fail to satisfy the income or asset tests, such a failure would not cause us to lose our REIT qualification if we were able to eliminate the discrepancy within a 30 day cure period, in the case of the asset test, or satisfy certain relief provisions and pay any applicable penalty taxes and other fines. Please also refer to the "Risks Related to Our Taxation as a REIT" in "Item 1A. Risk Factors" of this Form 10-K for further discussion of REIT qualification requirements and related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executive offices are located at Two Bethesda Metro Center,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Bethesda, MD 20814 and our telephone number is (301) 968-9315.</w:t>
      </w:r>
    </w:p>
    <w:p>
      <w:pPr>
        <w:spacing w:after="0" w:line="1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make available all of our Annual Reports on Form 10-K, quarterly reports on Form 10-Q, current reports on Form 8-K and amendments to such reports as well as our Code of Ethics and Conduct free of charge on our internet website at </w:t>
      </w:r>
      <w:r>
        <w:rPr>
          <w:rFonts w:ascii="Arial" w:cs="Arial" w:eastAsia="Arial" w:hAnsi="Arial"/>
          <w:sz w:val="18"/>
          <w:szCs w:val="18"/>
          <w:u w:val="single" w:color="auto"/>
          <w:color w:val="auto"/>
        </w:rPr>
        <w:t>www.AGNC.com</w:t>
      </w:r>
      <w:r>
        <w:rPr>
          <w:rFonts w:ascii="Arial" w:cs="Arial" w:eastAsia="Arial" w:hAnsi="Arial"/>
          <w:sz w:val="18"/>
          <w:szCs w:val="18"/>
          <w:color w:val="auto"/>
        </w:rPr>
        <w:t xml:space="preserve"> as soon as reasonably practical after such material is electronically filed with or furnished to the Securities and Exchange Commission ("SEC"). These reports are also available on the SEC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in the repurchase agreement market, which may also be impacted by competing borrowers. Our investment strategy will be adversely impacted if we are not able to secure financing on favorable terms, if at all.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Annual Report on Form 10-K, including our annual consolidated financial statements and the related notes thereto before making a decision to purchase our securities. The risks and uncertainties described below are not the only ones facing us. Additional risks and uncertainties not presently known to us, or not presently deemed material by us, may also impair our operations and performance.</w:t>
      </w:r>
    </w:p>
    <w:p>
      <w:pPr>
        <w:spacing w:after="0" w:line="1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the trading price of our securities could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Investing, Portfolio Management and Financing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borrowing costs would adversely affect our financial condition and results of operations.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borrowing costs may increase for a number of reasons, including increases in short-term interest rates, the "haircut" applied to our assets under repurchase agreements, interest rate volatility, decreases in the value of our assets or availability of financing generally. An increase in our borrowing costs will reduce the difference, or spread, that we may earn between the yields on the investments we make and the borrowings we use to finance such investments. Moreover, due to the short-term or adjustable rate nature of the majority of our repurchase agreements used to finance our investments, our borrowing costs are particularly sensitive to increases in short-term interest rates as well as other factors. It is possible that due to higher borrowing costs, the spread on investments could be reduced to a point at which the profitability from investments would be significantly reduced or eliminated. This would adversely affect the returns on our assets, financial condition and results of operations and could require us to liquidate certain or all of our assets.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pace of reinvestment of paydowns or sales of Agency mortgage-backed securities by the Federal Reserve may adversely affect the price and return associated with Agency securities.</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October 2014, the Federal Reserve ended its large scale asset purchases under quantitative easing programs designed to support the mortgage markets and stimulate the economy. The Federal Reserve currently reinvests all principal payments from its U.S. Treasury, Agency debt and Agency RMBS portfolios acquired as a function of its quantitative easing programs, thereby holding the nominal size of the securities it holds in each of these portfolios largely unchanged. In previous statements, members of the Federal Open Market Committee (FOMC) of the Federal Reserve have indicated that full reinvestment of the securities portfolio would continue until "normalization of the level of the federal funds rate is well under way"; therefore, it is difficult to predict when and at what pace the Federal Reserve will end reinvestments of principal payments. We also cannot predict the impact that this or other actions could have on the prices and liquidity of Agency RMBS or on mortgage spreads relative to interest rate hedges tied to benchmark interest rates. During periods in which the Federal Reserve reduces or ceases reinvestment of principal or undertakes outright sales of its securities portfolio, the price of Agency RMBS and U.S. Treasury securities will likely decline, mortgage spreads will likely widen, refinancing volumes will likely be lower and market volatility will likely be considerably higher than would have been the case absent such actions and our net book value could be adversely affected.</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guidelines without notice or stockholder consent, which may result in riskier investments, and does not approve each investment we make.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of Directors has approved the following investment guidelines:</w:t>
      </w:r>
    </w:p>
    <w:p>
      <w:pPr>
        <w:spacing w:after="0" w:line="171"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portfolio shall consist primarily of Agency securities, but may include other types of mortgage and mortgage-related residential and commercial mortgage-backed securities where repayment of principal and interest is not guaranteed by a GSE;</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fail to qualify as a REIT for federal income tax purposes;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be regulated as an investment company under the Investment Company Act.</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Board of Directors periodically reviews our investment guidelines, investment portfolio, and potential investment strategies. However, our Board of Directors does not pre-approve individual investments leaving management with day to day discretion over the portfolio composition within the investment guidelines. Within those guidelines, management has discretion to significantly change the composition of the portfolio. In addition, in conducting periodic reviews, our Board of Directors may rely primarily on information provided to them by our management. Our Board of Directors has the authority to change our investment guidelines at any time without notice to or consent from our stockholders. In 2015, our Board of Directors amended our investment guidelines permitting us to invest in high credit quality non-Agency MBS. In 2016, our Board of Directors, expanded such authorization to include CRT securities and other mortgage or mortgage-related investments with no restriction on the credit rating of those securities. To the extent that our investment guidelines change in the future, we may make investments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that are different from, and possibly riskier than, the investments described in this Annual Report on Form 10-K. A change in our investment guidelines may increase our exposure to interest rate and real estate market fluctuations.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significant gains or losses and, consequently, greater earnings volatility as a result of our active portfolio management strategy.</w:t>
      </w:r>
    </w:p>
    <w:p>
      <w:pPr>
        <w:spacing w:after="0" w:line="19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employ an active management strategy to achieve our principal objective of preserving our net asset value while generating attractive risk-adjusted returns. The composition of our investment portfolio will vary as we believe changes to market conditions, risks and valuations warrant. Consequently, we may experience significant investment gains or losses when we sell investments that we no longer believe provide attractive risk-adjusted returns or when we believe more attractive alternatives are available. We may be incorrect in our assessment of our investment portfolio and select an investment portfolio that could generate lower returns than a more static management strategy. Also, investors may be less able to assess the changes in our valuation and performance by observing changes in the mortgage market since we may have changed our strategy and portfolio from the last publicly available data. We may also experience fluctuations in leverage as we pursue our active management strategy.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involves significant leverage, which increases the risk that we may incur substantial losses.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our leverage to vary with market conditions and our assessment of risk/return on investments. We incur this leverage by borrowing against a substantial portion of the market value of our assets. By incurring this leverage, we could enhance our returns. Nevertheless, this leverage, which is fundamental to our investment strategy, also creates significant risks. For example, because of our significant leverage, we may incur substantial losses or lose our ability to maintain the outstanding balance of our borrowings if our borrowing costs increase substantially or if the value of our investments declines substantially.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procure adequate repurchase agreement and other financing or to renew or replace existing repurchase agreement and other financing as it matures (to which risk we are specifically exposed due to the short-term nature of our financing arrangements we employ) would adversely affect our financial condition and results of operations.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debt financing as a strategy to increase our return on equity. However, we may not be able to achieve our desired leverage ratio for a number of reasons, including if:</w:t>
      </w:r>
    </w:p>
    <w:p>
      <w:pPr>
        <w:spacing w:after="0" w:line="11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lenders do not make repurchase or other financing agreements available to us at acceptable terms;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lenders with whom we enter into repurchase or other financing agreements subsequently exit the market;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lenders require additional collateral to cover our borrowings, which we may be unable to do;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determine that the leverage would expose us to excessive risk.</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Furthermore, because we rely primarily on short-term borrowings, our ability to achieve our investment objectives depends not only on our ability to borrow money in sufficient amounts and on favorable terms, but also on our ability to renew or replace on a continuous basis our maturing short-term borrowings. Additionally, our wholly-owned captive broker-dealer subsidiary's (or BES's) ability to access bilateral and triparty repo funding and to raise funds through the General Collateral Finance Repo service offered by the FICC, requires that it meet on a continuous basis the regulatory and membership requirements of FINRA and the FICC, which may change over time. If BES fails to meet these requirements and is unable to access such funding, we would be required to find alternative funding, which we may be unable to do, and our funding costs, "haircuts" and/or counterparty exposure could increase. Additionally, on January 12, 2016, the Federal Housing Finance Agency ("FHFA") released its final rule on changes to regulations concerning Federal Home Loan Bank ("FHLB") membership criteria. The final rule terminated our captive insurance subsidiary's FHLB membership and required repayment of all advances at the earlier of their contractual maturity dates or one year after the effective date of the final rule in February 2017.</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not able to renew or replace maturing borrowings, we may have to sell some or all of our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 particularly with respect to assignee liability. Consequently, financing may not be available to us in the future on terms that are acceptable to us. In the event that we cannot obtain sufficient funding on acceptable terms, there may be a negative impact on the value of our common and preferred stock and our ability to make distributions on our common and preferred stock.</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Differences in the stated maturity of our fixed rate assets, or in timing of interest rate adjustments on our adjustable-rate assets, and our borrowings may adversely affect our profitability.</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rely primarily on short-term and/or variable rate borrowings to acquire fixed-rate securities with long-term maturities. In addition, we may have adjustable rate assets with interest rates that vary over time based upon changes in an objective index,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such as LIBOR or the U.S. Treasury rate. These indices generally reflect short-term interest rates but these assets may not reset in a manner that matches our borrowings.</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relationship between short-term and longer-term interest rates is often referred to as the "yield curve." Ordinarily, short-term interest rates are lower than longer-term interest rates. If short-term interest rates rise disproportionately relative to longer-term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 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we could incur operating losses and our ability to make distributions to our stockholders could be adversely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value of the assets in which we invest will adversely affect our financial condition and results of operations, and make it more costly to finance these assets.</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use our investments as collateral for our financings. A decline in their value, or perceived market uncertainty about their value, could make it difficult for us to obtain financing on favorable terms or at all, or maintain our compliance with terms of any financing arrangements already in place. Any fixed-rate securities we invest in generally will be more negatively affected by increases in interest rates than adjustable-rate securities. Most of our investments in mortgage-related securities are recorded at fair value with changes in fair value reported in net income or other comprehensive income (a component of equity). As a result, a decline in the fair value of our mortgage-related securities could reduce both our comprehensive income and stockholders' equity. If market conditions result in a decline in the fair value of our assets it will decrease the amounts we may borrow to purchase additional mortgage-related investments, which may restrict our ability to increase our net income, and our financial condition and results of operations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the risks associated with changes in interest rates.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Subject to complying with REIT tax requirements, we employ techniques that are intended to limit, or "hedge," the adverse effects of changes in interest rates on our repurchase agreements and our net asset value. In general, our hedging strategy depends on our management's view of our entire investment portfolio, consisting of assets, liabilities and derivative instruments, in light of prevailing market conditions. Our hedging activities are generally designed to limit certain exposures and not to eliminate them. In addition, these strategies may be unsuccessful and we could misjudge the condition of our investment portfolio or the market. Our hedging activity will vary in scope based on the level and volatility of interest rates and principal repayments, credit market conditions, the type of assets held and other changing market conditions. Our hedging decisions will be determined in light of the facts and circumstances existing at the time and may differ from our current hedging strategy. Our hedging strategies may include entering into interest rate swap agreements, interest rate swaptions, TBAs, short sales, caps, collars, floors, forward contracts, options, futures or other types of hedging transactions. We may conduct certain hedging transactions through a TRS, which may subject those transactions to federal, state and, if applicable, local income tax.</w:t>
      </w:r>
    </w:p>
    <w:p>
      <w:pPr>
        <w:spacing w:after="0" w:line="11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There are no perfect hedging strategies, and interest rate hedging may fail to protect us from loss. Additionally, our business model calls for accepting certain amounts of interest rate, mortgage spread, prepayment, extension, liquidity and credit risks and other exposures and thus some risks will generally not be hedged. We could also fail to properly assess a risk to our investment portfolio or fail to recognize a risk entirely, leaving us exposed to losses without the benefit of any offsetting hedging activities. The derivative financial instruments we select may not have the effect of reducing our risk. The nature and timing of hedging transactions may influence the effectiveness of these strategies. Poorly designed hedging strategies or improperly executed transactions could actually increase our risk and losses. In addition, hedging activities could result in losses if the event against which we hedge does not occur. For example, interest rate hedging could fail to protect us or adversely affect us because, among other things:</w:t>
      </w:r>
    </w:p>
    <w:p>
      <w:pPr>
        <w:spacing w:after="0" w:line="12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hedging can be expensive, particularly during periods of rising and volatile interest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available interest rate hedges may not correspond directly with the interest rate risk for which protection is sought;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of the hedge may not match the duration of the related asset or liability;</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income that a REIT may earn from hedging transactions, other than hedging transactions that satisfy certain requirements of the Internal Revenue Code or that are done through a TRS, is limited by federal tax provisions governing REITs;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party owing money in the hedging transaction may default on its obligation to pay;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credit quality of the party owing money on the hedge may be downgraded to such an extent that it impairs our ability to sell or assign our side of the hedging transaction;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value of our interest rate hedges declines due to interest rate fluctuations, lapse of time or other factors, reducing our stockholders' equity.</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Furthermore, our hedging activities involve costs that we incur regardless of the effectiveness of the hedging activity. These costs may be higher in periods of market volatility, both because the counterparties to our derivative agreements may demand a higher payment for taking risks, and because repeated adjustments of our hedges during periods of interest rate changes also may increase costs. Consequently, we could incur significant hedging-related costs without any corresponding economic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are generally not designed to mitigate spread risk.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When the market spread between the yield on our mortgage assets and benchmark interest rates widens, our net asset value could decline if the value of our mortgage assets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is an inherent risk to our business and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asset value against spread risk, which could adversely affect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our profitability and are difficult to predict.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investment portfolio includes securities backed by pools of mortgage loans. For securities backed by pools of mortgage loans, we receive payments, generally, from the payments that are made on these underlying mortgage loans. When borrowers prepay their mortgage loans at rates that are faster or slower than expected, it results in prepayments that are faster or slower than expected on our assets. These faster or slower than expected payments may adversely affect our profitability.</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may purchase securities that have a higher interest rate than the then prevailing market interest rate. In exchange for this higher interest rate, we may pay a premium to par value to acquire the security. In accordance with GAAP, we amortize this premium over the expected term of the security based on our prepayment assumptions. If a security is prepaid in whole or in part at a faster than expected rate, however, we must expense all or a part of the remaining unamortized portion of the premium that was paid at the time of the purchase, which would adversely affect our profitability.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may purchase securities that have a lower interest rate than the then prevailing market interest rate. In exchange for this lower interest rate, we may receive a discount to par value to acquire the security. We accrete this discount over the expected term of the security based on our prepayment assumptions. If a security is prepaid at a slower than expected rate, however, we must accrete the remaining portion of the discount at a slower than expected rate, which would result in a lower than expected yield on securities purchased at a discount to par.</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Moreover, if prepayment rates decrease due to a rising interest rate environment, the average life or duration of our fixed-rate assets or the fixed-rate portion of our hybrid ARMs and other assets will generally extend.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assets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Although prepayment rates generally increase when interest rates fall and decrease when interest rates rise, changes in prepayment rates are difficult to predict. Prepayments can also occur when borrowers sell the property and use the sale proceeds to prepay the mortgage or when borrowers default on their mortgages and the mortgages are prepaid from the proceeds of a foreclosure sale of the property. Fannie Mae and Freddie Mac will generally, among other conditions, purchase mortgages that are 120 days or more delinquent from mortgage-backed securities trusts when the cost of guarantee payments to security holders, including advances of interest at the security coupon rate, exceeds the cost of holding the nonperforming loans in their portfolios. Consequently, prepayment rates also may be affected by conditions in the housing and financial markets, which may result in increased delinquencies on mortgage loans, the government-sponsored entities cost of capital, general economic conditions and the relative interest rates on fixed and adjustable rate loans, which could lead to an acceleration of the payment of the related principal. Additionally, changes in the government-sponsored entities' decisions as to when to repurchase delinquent loans can materially impact prepayment rates.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8" w:right="239" w:bottom="1440" w:gutter="0" w:footer="0" w:header="0"/>
        </w:sectPr>
      </w:pPr>
    </w:p>
    <w:bookmarkStart w:id="12" w:name="page13"/>
    <w:bookmarkEnd w:id="12"/>
    <w:p>
      <w:pPr>
        <w:jc w:val="both"/>
        <w:ind w:firstLine="405"/>
        <w:spacing w:after="0" w:line="279" w:lineRule="auto"/>
        <w:rPr>
          <w:sz w:val="20"/>
          <w:szCs w:val="20"/>
          <w:color w:val="auto"/>
        </w:rPr>
      </w:pPr>
      <w:r>
        <w:rPr>
          <w:rFonts w:ascii="Arial" w:cs="Arial" w:eastAsia="Arial" w:hAnsi="Arial"/>
          <w:sz w:val="17"/>
          <w:szCs w:val="17"/>
          <w:color w:val="auto"/>
        </w:rPr>
        <w:t>In addition, the introduction of new government programs could increase the availability of mortgage credit to a large number of homeowners in the United States, which could impact the prepayment rates for the entire mortgage securities market, and in particular for Fannie Mae and Freddie Mac Agency securities. These new programs or changes to existing programs could cause substantial uncertainty around the magnitude of changes in prepayment speeds. To the extent that actual prepayment speeds differ from our expectations, it could adversely affect our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Market conditions may disrupt the historical relationship between interest rate changes and prepayment trends, which may make it more difficult to analyze our investment portfolio.</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success depends, in part, on our ability to analyze the relationship of changing interest rates on prepayments of the mortgage loans that underlie securities we may own. Changes in interest rates and prepayments affect the market price of the assets that we purchase and any assets that we may hold at a given time. As part of our overall portfolio risk management, we analyze interest rate changes and prepayment trends separately and collectively to assess their effects on our investment portfolio. In conducting our analysis, we depend on certain assumptions based upon historical trends with respect to the relationship between interest rates and prepayments under normal market conditions. Dislocations in the residential mortgage market and other developments may disrupt the relationship between the way that prepayment trends have historically responded to interest rate changes and, consequently, may negatively impact our ability to (i) assess the market value of our investment portfolio, (ii) implement our hedging strategies and (iii) implement techniques to reduce our prepayment rate volatility, which could materially adversely affect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 in non-Agency securities potentially subject us to delinquency, foreclosure and related losses on the underlying mortgage loans.</w:t>
      </w:r>
    </w:p>
    <w:p>
      <w:pPr>
        <w:spacing w:after="0" w:line="1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Investments in mortgage and mortgage-related securities, such as CRT securities, non-Agency RMBS and CMBS, where repayment of principal and interest is not guaranteed by a GSE subject us to the potential risk of loss of principal and/or interest due to delinquency, foreclosure and related losses on the underlying mortgage loans.</w:t>
      </w:r>
    </w:p>
    <w:p>
      <w:pPr>
        <w:spacing w:after="0" w:line="12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CRT securities are risk sharing instruments issued by Fannie Mae (CAS) and Freddie Mac (STACR), and similarly structured transactions arranged by third party market participants. The securities issued in the CRT sector are designed to synthetically transfer mortgage credit risk from Fannie Mae and Freddie Mac to private investors. Currently, CAS and STACR transactions are structured as unsecured and unguaranteed bonds issued by Fannie Mae or Freddie Mac, respectively, whose principal payments are determined by the delinquency and prepayment experience of a reference pool of mortgages guaranteed by Fannie Mae or Freddie Mac in a particular quarter. Transactions arranged by third party market participants in the CRT sector are similarly structured to reference a specific pool of loans that have been securitized by Fannie Mae or Freddie Mac and synthetically transfer mortgage credit risk related to those loans to the purchaser of the securities. The holder of CRT securities bears the risk that the borrowers may default on their obligations to make full and timely payments of principal and interest. The return of the principal invested in CRT securities is dependent on the level of borrower defaults on the underlying pool of mortgages. An investor in CRT securities bears the risk that the borrowers in the reference pool of loans may default on their obligations to make full and timely payments of principal and interest.</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Residential mortgage loans underlying non-Agency RMBS are secured by residential property and are subject to risks of delinquency, foreclosure and loss. The ability of a borrower to repay a loan secured by residential property is dependent upon the income or assets of the borrower. A number of factors may impair a borrower's ability to repay its loan, including: loss of employment; divorce; illness; acts of God; acts of war or terrorism; adverse changes in national and local economic and market conditions; changes in governmental laws and regulations, fiscal policies and zoning ordinances and the related costs of complying with such laws and regulations, fiscal policies and ordinances; costs of remediation and liabilities associated with environmental conditions such as mold; and the potential for uninsured or under-insured property losses.</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Commercial mortgage loans underlying CMBS are generally secured by multifamily or other commercial property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among other things: tenant mix; success of tenant businesses; property management decisions; property location and condition; competition from comparable types of properties; changes in laws that increase operating expense or limit rents that may be charged; any need to address environmental contamination at the property; the occurrence of any uninsured casualty at the property; changes in national, regional or local economic conditions or specific industry segments; declines in regional or local real estate values; declines in regional or local rental or occupancy rates; increases in interest rates; real estate tax rates and other operating expenses; changes in governmental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rules, regulations and fiscal policies, including environmental legislation; acts of God, acts of war or terrorism, social unrest and civil disturbances.</w:t>
      </w:r>
    </w:p>
    <w:p>
      <w:pPr>
        <w:spacing w:after="0" w:line="18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in non-Agency securities could cause us to incur losses of income from, and/or losses in market value relating to, these assets if there are defaults of principal and/or interest on the underlying or referenced pool of mortgages in the transaction.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U.S. Federal Reserve, U.S. Treasury, Federal Housing Finance Administration, and other governmental and regulatory bodies may adversely affect our business.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U.S. Government actions may have an adverse impact on the financial and housing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could adversely affect the availability or terms of financing from our lender counterparties, could impose more stringent capital rules on large financial institutions, could restrict the origination of residential mortgage loans and the formation of new issuances of mortgage-backed securities and could limit the trading activities of certain banking entities and other systemically significant organizations that are important to our business. Together or individually these new regulatory requirements could materially affect our financial condition or the results of our operations in an adverse way.</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Pursuant to the terms of borrowings under master repurchase agreements, we are subject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enter into master repurchase agreements with a number of financial institutions. We borrow under these master repurchase agreements to finance the assets for our investment portfolio. Pursuant to the terms of borrowings under our master repurchase agreements, a decline in the value of the collateral may result in our lenders initiating margin calls. A margin call means that the lender requires us to pledge additional collateral to re-establish the ratio of the value of the collateral to the amount of the borrowing. The specific collateral value to borrowing ratio that would trigger a margin call is not set in the master repurchase agreements and is not determined until we engage in a repurchase transaction under these agreements. Our fixed-rate collateral generally may be more susceptible to margin calls as increases in interest rates tend to affect more negatively the market value of fixed-rate securities. In addition, some collateral may be more illiquid than other instruments in which we invest, which could cause them to be more susceptible to margin calls in a volatile market environment. Moreover, collateral that prepays more quickly increases the frequency and magnitude of potential margin calls as there is a significant time lag between when the prepayment is reported (which reduces the market value of the security) and when the principal payment is actually received. If we are unable to satisfy margin calls, our lenders may foreclose on our collateral. The threat of or occurrence of a margin call could force us to sell, either directly or through a foreclosure, our collateral under adverse market conditions. Because of the leverage we expect to have, we may incur substantial losses upon the threat or occurrence of a margin call.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derivative agreements expose us to margin calls that could result in defaults or force us to sell assets under adverse market conditions.</w:t>
      </w:r>
    </w:p>
    <w:p>
      <w:pPr>
        <w:spacing w:after="0" w:line="18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derivative agreements typically require that we pledge collateral on such agreements to our counterparties in a similar manner as we are required to under our repurchase agreements.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 Our derivative agreements may also contain cross default provisions under which a default under certain of our other indebtedness in excess of a certain threshold amount causes an event of default under the agreement. Following an event of default, we could be required to settle our obligations under the agreements at their termination values. The threat of or occurrence of margin calls or the forced settlement of our obligations under our derivative agreements at their termination values could force us to sell, either directly or through a foreclosure, our investments under adverse market conditions. Because of the leverage we have, we may incur substantial losses upon the threat or occurrence of either of these events.</w:t>
      </w:r>
    </w:p>
    <w:p>
      <w:pPr>
        <w:spacing w:after="0" w:line="11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Regulations adopted by the U.S. Commodity Futures Trading Commission and regulators of other countries could impose increased margin requirements and require additional operational and compliance costs, which could negatively affect our financial condition and results of operations.</w:t>
      </w:r>
    </w:p>
    <w:p>
      <w:pPr>
        <w:spacing w:after="0" w:line="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U.S. Commodity Futures Trading Commission (the "CFTC") subjects certain swaps to clearing and exchange trading requirements, margin requirements, reporting, record keeping and business conduct rules. The rules and regulations promulgated by the CFTC and regulators of other countries may adversely affect our ability to engage in derivative transactions or may increase the cost of our hedging activity. We are required to follow some of these local regulations or help the non-U.S. counterparties comply with these local regulations. It is possible that such regulatory requirements will result in increased costs for OTC derivative counterparties and also lead to an increase in the costs of collateral, which may have an adverse impact on our business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may utilize TBA dollar roll transactions as a means of investing in and financing Agency mortgage-backed securities. TBA contracts enable us to purchase or sell, for future delivery, Agency securities with certain principal and interest terms and certain types of collateral, but the particular Agency securities to be delivered are not identified until shortly before the TBA settlement date. Prior to settlement of the TBA contract we may choose to move the settlement of the securities out to a later date by entering into an offsetting position (referred to as a "pair off"), net settling the paired off positions for cash, and simultaneously purchasing a similar TBA contract for a later settlement date, collectively referred to as a "dollar roll." The Agency securities purchased for a forward settlement date under the TBA contract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 Consequently, dollar roll transactions and such forward purchases of Agency securities represent a form of off-balance sheet financing and increase our "at risk" leverage.</w:t>
      </w:r>
    </w:p>
    <w:p>
      <w:pPr>
        <w:spacing w:after="0" w:line="11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Under certain market conditions, TBA dollar roll transactions may result in negative carry income whereby the Agency securities purchased for a forward settlement date under the TBA contract are priced at a premium to Agency securities for settlement in the current month. Additionally, sales of some or all of the Fed's holdings of Agency RMBS or declines in purchases of Agency RMBS by the Fed could adversely impact the dollar roll market. Under such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In addition, pursuant to the margin provisions established by the Mortgage-Backed Securities Division ("MBSD") of the FICC we are subject to margin calls on our TBA contracts. Further, our prime brokerage agreements may require us to post additional margin above the levels established by the MBSD. Negative carry income on TBA dollar roll transactions or failure to procure adequate financing to settle our obligations or meet margin calls under our TBA contracts could result in defaults or force us to sell assets under adverse market conditions or through foreclosure and adversely affect our financial condition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Defaults by lenders to our repurchase transactions on their obligations to resell the underlying collateral back to us at the end of the transaction term, declines in the value of our collateral by the end of the term or defaults by us on our obligations under the transaction will cause us to lose money on repurchase transactions.</w:t>
      </w:r>
    </w:p>
    <w:p>
      <w:pPr>
        <w:spacing w:after="0" w:line="1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When we engage in a repurchase transaction, we initially transfer securities or loans to the financial institution under one of our master repurchase agreements in exchange for cash, and our counterparty is obligated to resell such assets to us at the end of the term of the transaction, which is typically from 30 days to one year, but which may have terms from one day to up to five years or more. The cash we receive when we initially sell the collateral is less than the value of that collateral, which is referred to as the "haircut." As a result, we are able to borrow against a smaller portion of the collateral that we initially sell in these transactions. Increased haircuts require us to post additional collateral. The haircut rates under our master repurchase agreements are not set until we engage in a specific repurchase transaction under these agreements. If our counterparty defaults on its obligation to resell collateral to us, we would incur a loss on the transaction equal to the amount of the haircut (assuming there was no change in the value of the securities). Any losses we incur on our repurchase transactions could adversely affect our earnings, and, thus, our cash available for distribution to our stockholders.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we default on one of our obligations under a repurchase transaction, the counterparty can terminate the transaction and cease entering into any other repurchase transactions with us. In that case, we would likely need to establish a replacement repurchase facility with another financial institution in order to continue to leverage our investment portfolio and carry out our investment strategy. We may not be able to secure a suitable replacement facility on acceptable terms or at all.</w:t>
      </w:r>
    </w:p>
    <w:p>
      <w:pPr>
        <w:spacing w:after="0" w:line="1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Further, financial institutions providing the repurchase agreements may require us to maintain a certain amount of cash or to set aside non-leveraged assets sufficient to maintain a specified liquidity position which would allow us to satisfy our collateral obligations. As a result, we may not be able to leverage our assets as fully as we would choose, which could reduce our return on equity. If we are unable to meet these collateral obligations, our financial condition could deteriorate rapidly. Additionally, our counterparties can unilaterally choose to cease entering into any further repurchase transactions with us.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rights under our repurchase agreements are subject to the effects of the bankruptcy laws in the event of the bankruptcy or insolvency of us or our lenders under the repurchase agreements.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agreement without delay. In the event of the insolvency or bankruptcy of a lender during the term of a repurchase agreement, the lender may be permitted,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exercise our rights to recover our assets under a repurchase agreement or to be compensated for any damages resulting from the lender's insolvency may be further limited by those statutes. These claims would be subject to significant delay and, if and when received, may be substantially less than the damages we actually incur.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derivative agreements may expose us to counterparty risk.</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Certain hedging instruments are not traded on regulated exchanges or guaranteed by an exchange or its clearinghouse and involves risks and costs that could result in material losses. Consequently, there may not be requirements with respect to record keeping, financial responsibility or segregation of customer funds and positions. Furthermore, the enforceability of agreements underlying hedging transactions may depend on compliance with applicable statutory and commodity and other regulatory requirements and, depending on the domicile of the counterparty, applicable international requirements. Consequently, if a counterparty fails to perform under a derivative agreement we could incur a significant loss.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example, if a swap counterparty under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counterparty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investments are recorded at fair value and quoted prices or observable inputs may not be readily available to determine such value, resulting in the use of unobservable inputs to determine value, and the fair value of our investments may be materially different from the value that we ultimately realize upon their disposal.</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values of our investments may not be readily determinable or ultimately realizable. We measure the fair value of our investments quarterly, in accordance with guidance set forth in Accounting Standards Codification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Ultimate realization of the value of an asset depends to a great extent on economic and other conditions that are beyond our control. Further, fair value is only an estimate based on good faith judgment of the price at which an investment can be sold since market prices of investments can only be determined by negotiation between a willing buyer and seller. If we were to liquidate a particular asset, the realized value may be more than or less than the amount at which such asset is valued. Accordingly, the value of our common stock could be adversely affected by our determinations regarding the fair value of our investments, whether in the applicable period or in the future. Additionally, such valuations may fluctuate over short periods of time.</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 security, valuations of the same security can vary substantially from one dealer or pricing service to another. Therefore, our results of operations for a given period could be adversely affected if our determinations regarding the fair market value of these investments are materially different from the values that we ultimately realize upon their disposal.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Investments in the common stock of other publicly traded mortgage REITs expose us to incremental risks and costs and may adversely affect our financial condition and results of operations.</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may invest in other mortgage REITs that primarily invest in Agency securities, non-Agency securities and other mortgage related instruments on a leveraged basis, utilizing short-term borrowings as their primary source of funding. Such mortgage REITs are, therefore, exposed to similar risk factors as those described herein and other risks inherent to investment strategies that they may pursue that diverge from our own. In addition, our investments in other mortgage REITs may expose us to incremental risks and costs due to our lack of control, lack of transparency into their underlying investment portfolios and business operations, stock market volatility and management fees, each of which could adversely affect our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federal conservatorship of Fannie Mae and Freddie Mac and related efforts, along with any changes in laws and regulations affecting the relationship between these agencies and the U.S. Government, may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of principal and interest we receive on the Agency securities in which we invest are guaranteed by Fannie Mae, Freddie Mac or Ginnie Mae. The guarantees on Agency securities created by Fannie Mae and Freddie Mac are not backed by the full faith and credit of the United States, whereas the guarantee on securities created by Ginnie Mae are backed by the full faith and credit of the United States.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response to general market instability and, more specifically, the financial conditions of Fannie Mae and Freddie Mac, in July 2008, the Housing and Economic Recovery Act of 2008, or "HERA", established FHFA as the new regulator for Fannie Mae and Freddie Mac. In September 2008, the U.S. Treasury, the FHFA and the U.S. Federal Reserve announced a comprehensive action plan to help stabilize the financial markets, support the availability of mortgage financing and protect taxpayers. Under this plan, among other things, the FHFA was appointed as conservator of both Fannie Mae and Freddie Mac. The future roles of Fannie Mae and Freddie Mac could be significantly reduced and the nature of their guarantee obligations could be considerably limited relative to historical measurements. Any such changes to the nature of their guarantee obligations could re-define what constitutes an Agency security and could have broad adverse implications for the market and our business, operations and financial condition.</w:t>
      </w:r>
    </w:p>
    <w:p>
      <w:pPr>
        <w:spacing w:after="0" w:line="12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Future changes to Fannie Mae or Freddie Mac may create market uncertainty and may reduce the actual or perceived credit quality of securities issued or guaranteed by these agencies. Moreover, if the guarantee obligations of Fannie Mae or Freddie Mac were repudiated by FHFA, payments of principal and/or interest to holders of Agency securities issued by Fannie Mae or Freddie Mac would be reduced in the event of any borrower's late payments or failure to pay or a servicer's failure to remit borrower payments to the trust. In that case, trust administration and servicing fees could be paid from mortgage payments prior to distributions to holders of Agency securities. Any actual direct compensatory damages owed due to the repudiation of Fannie Mae or Freddie Mac's guarantee obligations may not be sufficient to offset any shortfalls experienced by holders of Agency securities. As a result, such laws or changes could increase the risk of loss on our investments in Agency mortgage investments guaranteed by Fannie Mae and/or Freddie Mac or adversely impact the market for such securities and spreads at which they trade and could materially and adversely affect our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conflicts of interest with other funds that we manage.</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Through our wholly-owned subsidiary, MTGE Management, LLC, we manage MTGE Investment Corp., which is also a mortgage REIT that invests in securities and instruments of the type invested by us. Although we have policies in place to seek to mitigate the effects of conflicts of interest, these policies will not eliminate the conflicts of interest that our officers and employees, who provide services to both us and MTGE, will face in making investment decisions on behalf of us or MTGE. Further, we do not have any agreement or understanding with MTGE that would give us any priority over it in opportunities to invest in overlapping investments. Accordingly, we may compete for access to investments with MTGE.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and other key personnel are critical to our success and the loss of any executive officer or key employee may materially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adverse tax consequences.</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we operate in a manner that allows us to qualify as a REIT for federal income tax purposes under Sections 856 through 860 of the Internal Revenue Code of 1986, as amended, and Treasury Regulations promulgated thereunder (or the Code).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jc w:val="both"/>
        <w:ind w:firstLine="405"/>
        <w:spacing w:after="0" w:line="255" w:lineRule="auto"/>
        <w:rPr>
          <w:sz w:val="20"/>
          <w:szCs w:val="20"/>
          <w:color w:val="auto"/>
        </w:rPr>
      </w:pPr>
      <w:r>
        <w:rPr>
          <w:rFonts w:ascii="Arial" w:cs="Arial" w:eastAsia="Arial" w:hAnsi="Arial"/>
          <w:sz w:val="18"/>
          <w:szCs w:val="18"/>
          <w:color w:val="auto"/>
        </w:rPr>
        <w:t>If we fail to qualify as a REIT in any tax year, we would be subject to U.S. federal and state corporate income tax on our taxable net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would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to a particular set of circumstances,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U.S. federal corporate tax rate (currently 35%) if that amount exceeds $50,000 per failure, and, in case of income test failures, will be a 100% tax on an amount based on the magnitude of the failure, as adjusted to reflect the profit margin associated with our gross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payable by REITs do not qualify for the reduced tax rates available for some dividends.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maximum tax rate applicable to income from "qualified dividends" payable to domestic stockholders that are individuals, trusts and estates is currently 20%. Distributions of ordinary income payable by REITs, however, generally are not eligible for the reduced rates. Although this legislation does not adversely affect the taxation of REITs or distributions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common stock.</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in each instance potentially with retroactive effect, could make it more difficult or impossible for us to remain qualified as a REIT or it could reduce the favorable tax attributes of REITs to stockholders.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present federal income tax treatment of REITs may be modified, possibly with retroactive effect, by legislative, judicial or administrative action at any time, which could affect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Furthermore, changes in corporate and individual tax rates may reduce or eliminate the favorable tax attributes of REITs to stockholders relative to alternative investment vehicles. Revisions in federal tax laws and interpretations thereof could affect or cause us to change our investments and commitments and affect the tax considerations of an investment in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generally must distribute annually at least 90% of our taxable income, subject to certain adjustments and excluding any net capital gain, in order for U.S. federal and state corporate income tax not to apply to earnings that we distribute.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w:t>
      </w:r>
    </w:p>
    <w:p>
      <w:pPr>
        <w:spacing w:after="0" w:line="14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w:t>
      </w:r>
    </w:p>
    <w:p>
      <w:pPr>
        <w:jc w:val="both"/>
        <w:ind w:firstLine="8"/>
        <w:spacing w:after="0" w:line="254"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pacing w:after="0" w:line="1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From time-to-time, we may generate taxable income greater than our income for financial reporting purposes prepared in accordance with GAAP, or differences in timing between the recognition of taxable income and the actual receipt of cash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6"/>
          <w:szCs w:val="16"/>
          <w:color w:val="auto"/>
        </w:rPr>
        <w:t>occur. For example, if we purchase mortgage securities at a discount, we are generally required to accrete the discount into taxable income prior to receiving the cash proceeds of the accreted discount at maturity. Additionally, if we incur capital losses in excess of capital gains, such net capital losses are not allowed to reduce our taxable income for purposes of determining our distribution requirement. They may be carried forward for a period of up to five years and applied against future capital gains subject to the limitation of our ability to generate sufficient capital gains, which cannot be assured. If we do not have other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excise tax in a particular year. These alternatives could increase our costs or reduce our stockholders' equity. Thus, compliance with the REIT requirements may hinder our ability to grow, which could adversely affect the value of our common stock.</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income taxes in excess of the cash dividends you receive.</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in order to pay taxes owed on dividends, it may put downward pressure on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Even if we remain qualified for taxation as a REIT, we may nonetheless be subject to certain federal, state and local taxes on our income and assets, including, but not limited to, the following items. Any of these or other taxes we may incur would decrease cash available for distribution to our stockholders.</w:t>
      </w:r>
    </w:p>
    <w:p>
      <w:pPr>
        <w:spacing w:after="0" w:line="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Regular U.S. federal and state corporate income taxes on any undistributed taxable income, including undistributed net capital gains.</w:t>
      </w:r>
    </w:p>
    <w:p>
      <w:pPr>
        <w:spacing w:after="0" w:line="74"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non-deductible 4% excise tax if the actual amount distributed to our stockholders in a calendar year is less than a minimum amount specified under federal tax laws.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income taxes on the earnings of subsidiaries, to the extent that such subsidiaries are subchapter C corporations and are not qualified REIT subsidiaries or other disregarded entity for federal income tax purposes.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tax on transactions between us and our TRSs, that do not reflect arm's-length terms.</w:t>
      </w:r>
    </w:p>
    <w:p>
      <w:pPr>
        <w:spacing w:after="0" w:line="6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ten-year period following their acquisition from the subchapter C corporation.</w:t>
      </w:r>
    </w:p>
    <w:p>
      <w:pPr>
        <w:spacing w:after="0" w:line="2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tax on net income and gains from "prohibited transactions"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Penalty taxes and other fines for failure to satisfy one or more requirements for REIT qualification.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remain qualified as a REIT for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may be unable to pursue investments that would be otherwise advantageous to us in order to satisfy the source-of-income or asset-diversification requirements for qualifying as a REIT. Thus, compliance with the REIT requirements may hinder our ability to make and, in certain cases, to maintain ownership of, certain attractive investments.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To remain qualified as a REIT, we must ensure that at the end of each calendar quarter, at least 75% of the value of our assets consists of cash, cash items, government securities and qualified real estate assets. The remainder of our investment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for tax years beginning on or before December 31, 2017, no more than 25% of the value of our total assets can be represented by securities of one or more TRSs. For tax years beginning after December 31, 2017,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investment portfolio otherwise attractive investments. These actions could have the effect of reducing our income and amounts available for distribution to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assets subject to repurchase agreements to qualify as real estate assets could adversely affect our ability to remain qualified as a REIT.</w:t>
      </w:r>
    </w:p>
    <w:p>
      <w:pPr>
        <w:spacing w:after="0" w:line="1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certain financing arrangements that are structured as sale and repurchase agreements pursuant to which we nominally sell certain of our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REIT provisions of the Internal Revenue Code could substantially limit our ability to hedge our liabilities. Any income from a properly designated hedging transaction we enter into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of the gross income tests. As a result of these rules, we may have to limit our use of advantageous hedging techniques or implement those hedges through our TRS. This could increase the cost of our hedging activities because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purchase and sell Agency mortgage-backed securities through TBAs and recognize income or gains from the disposition of those TBAs, through dollar roll transactions or otherwise, and may continue to do so in the future. While there is no direct authority with respect to the qualification of TBAs as real estate assets or U.S. Government securities for purposes of the 75% asset test or the qualification of income or gains from dispositions of TBAs as gains from the sale of real property (including interests in real property and interests in mortgages on real property) or other qualifying income for purposes of the 75% gross income test,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securities, and (ii)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in cases where we own an equity interest in an entity that is classified as a partnership for federal income tax purposes.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on prohibited transactions will limit our ability to engage in transactions, including certain methods of structuring CMOs, which would be treated as prohibited transactions for federal income tax purposes.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Net income that we derive from a prohibited transaction is subject to a 100% tax. The term "prohibited transaction" generally includes a sale or other disposition of property (including Agency securities, but other than foreclosure property, as discussed below)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intend to conduct our operations at the REIT level so that no asset that we own (or are treated as owning) will be treated as, or as having been, held for sale to customers, and that a sale of any such asset will not be treated as having been in the ordinary course of our business. As a result, we may choose not to engage in certain transactions at the REIT level, and may limit the structures we utilize for our CMO transactions, even though the sales or structures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tax-exempt investors may be classified as unrelated business taxable income.</w:t>
      </w:r>
    </w:p>
    <w:p>
      <w:pPr>
        <w:spacing w:after="0" w:line="171" w:lineRule="exact"/>
        <w:rPr>
          <w:sz w:val="20"/>
          <w:szCs w:val="20"/>
          <w:color w:val="auto"/>
        </w:rPr>
      </w:pPr>
    </w:p>
    <w:p>
      <w:pPr>
        <w:jc w:val="both"/>
        <w:ind w:right="20" w:firstLine="405"/>
        <w:spacing w:after="0" w:line="258" w:lineRule="auto"/>
        <w:rPr>
          <w:sz w:val="20"/>
          <w:szCs w:val="20"/>
          <w:color w:val="auto"/>
        </w:rPr>
      </w:pPr>
      <w:r>
        <w:rPr>
          <w:rFonts w:ascii="Arial" w:cs="Arial" w:eastAsia="Arial" w:hAnsi="Arial"/>
          <w:sz w:val="18"/>
          <w:szCs w:val="18"/>
          <w:color w:val="auto"/>
        </w:rPr>
        <w:t>Neither ordinary nor capital gain distributions with respect to our common stock nor gain from the sale of common stock should generally constitute unrelated business taxable income to a tax-exempt investor. However, there are certain exceptions to this rule. In particular:</w:t>
      </w:r>
    </w:p>
    <w:p>
      <w:pPr>
        <w:spacing w:after="0" w:line="1" w:lineRule="exact"/>
        <w:rPr>
          <w:sz w:val="20"/>
          <w:szCs w:val="20"/>
          <w:color w:val="auto"/>
        </w:rPr>
      </w:pPr>
    </w:p>
    <w:p>
      <w:pPr>
        <w:jc w:val="both"/>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 of the income and gain recognized by certain qualified employee pension trusts with respect to our common stock may be treated as unrelated business taxable income if shares of our common stock are predominantly held by qualified employee pension trusts, and we are required to rely on a special look-through rule for purposes of meeting one of the REIT ownership tests, and we are not operated in a manner to avoid treatment of such income or gain as unrelated business taxable income;</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 of the income and gain recognized by a tax-exempt investor with respect to our common stock would constitute unrelated business taxable income if the investor incurs debt in order to acquire the common stock;</w:t>
      </w:r>
    </w:p>
    <w:p>
      <w:pPr>
        <w:jc w:val="both"/>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 or all of the income or gain recognized with respect to our common stock by social clubs, voluntary employee benefit associations, supplemental unemployment benefit trusts and qualified group legal services plans which are exempt from federal income taxation under the Internal Revenue Code may be treated as unrelated business taxable income;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we are (or a part of us, or a disregarded subsidiary of ours, is) a "taxable mortgage pool," or if we hold residual interests in a REMIC, a portion of the distributions paid to a tax-exempt stockholder that is allocable to excess inclusion income may be treated as unrelated business taxable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 of "mortgages and other liens on and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in real estate," or "qualifying real estate interests," and (ii) at least 80% of our investment portfolio consist of qualifying real estate interests plus "real estate-related assets."</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hold all of the certificates issued by the pool ("whole pool" securities) as qualifying real estate interests based on pronouncements of the SEC staff. We treat partial pool securities, CRT and other mortgage related securities as real estate-related assets. If the SEC determines that any of these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Our compliance with these requirements may at times lead us to adopt less efficient methods of financing certain of our investments, and we may be precluded from acquiring higher yielding securities. Furthermore, if we fail to qualify for this exemption, our ability to use leverage would be substantially reduced and we would be unable to conduct our business as we currently conduct it, which could materially and adversely affect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market price of our common stock may be highly volatile and be subject to wide fluctuations. In addition, the trading volume in our common stock may fluctuate and cause significant price variations to occur. Price variations may be unrelated to our operating performance. If the market price of our common stock declines significantly, you may be unable to resell your shares at a gain. Further, fluctuations in the trading price of our common stock may adversely affect the liquidity of the trading market for our common stock and, in the event that we seek to raise capital through future equity financings, our ability to raise such equity capital.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Some of the factors that could negatively affect our share price or result in fluctuations in the price or trading volume of our common stock include:</w:t>
      </w:r>
    </w:p>
    <w:p>
      <w:pPr>
        <w:spacing w:after="0" w:line="18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distributions;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or specialty finance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shares of common stock to demand a higher yield;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additional equity securities;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repurchases of shares of our common stock;</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from time to time, which are often unrelated to the operating performance of particular companies;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tax laws and financial accounting and reporting standards, particularly with respect to REITs, or applicable exemptions from the Investment Company Act of 1940, as amended;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 earnings or variations in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securities analysts;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our net asset value per share;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major repurchase agreement providers;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In addition, the price of our common stock may be below our reported net asset value per common share. We cannot assure you that the market price of our common stock will not fluctuate or decline significantly in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rank senior to our preferred and common stock upon our liquidation, and future offerings of equity securities, which would dilute our existing stockholders and may be senior to our common stock for the purposes of dividend and liquidating distributions, may adversely affect the market price of our common stock.</w:t>
      </w:r>
    </w:p>
    <w:p>
      <w:pPr>
        <w:spacing w:after="0" w:line="12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 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may depress the price of our shares.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we cannot assure you of our ability to pay dividends in the future.</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intend to pay monthly dividends to our common stockholders and to distribute all or substantially all of our taxable income within the limits prescribed by the Internal Revenue Code. However, we have not established a minimum dividend payment level and the amount of our dividend will fluctuate. Our ability to pay dividends may be adversely affected by the risk factors described herein. All distributions will be made at the discretion of our Board of Directors and will depend on our earnings, our financial condition, the requirements for REIT qualification and such other factors as our Board of Directors may deem relevant from time to time. We may not be able to make distributions in the future or our Board of Directors may change our dividend policy in the future.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basis of a stockholder's investment in our common stock to the extent of such basis and is treated as capital gain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may cause a material decrease in the market price of our common stock.</w:t>
      </w:r>
    </w:p>
    <w:p>
      <w:pPr>
        <w:spacing w:after="0" w:line="17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One of the factors that investors may consider in deciding whether to buy or sell shares of our common stock is our distribution rate as a percentage of our share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are likely to affect adversely the market price of our common stock. For instance, if market rates rise without an increase in our distribution rate, the market price of our common stock could decrease as potential investors may require a higher distribution rate on our common stock or seek other securities paying higher distributions or interest. In addition, rising interest rates would result in increased interest expense on our variable rate debt, thereby reducing cash flow and our ability to service our indebtedness and pay distributions.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16"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To qualify as a REIT under the Internal Revenue Code, not more than 50% in value of our outstanding stock may be owned, directly or indirectly, by five or fewer individuals (as defined in the Internal Revenue Code to include certain entities) at any time 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1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to any person whose percentage ownership of our common or capital stock, as the case may be, is in excess of such decreased stock ownership limit until that person's percentage ownership of our common or capital stock, as the case may be, equals or falls below the decreased stock ownership limit. Until such a person's percentage ownership of our common or capital stock, as the case may be, falls below such decreased stock ownership limit, any further acquisition of our common or capital stock will be in violation of the decreased stock ownership limit.</w:t>
      </w:r>
    </w:p>
    <w:p>
      <w:pPr>
        <w:spacing w:after="0" w:line="117"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ownership limits imposed by the tax law are based upon direct or indirect ownership by "individuals," but only during the last half of a tax year. The ownership limits contained in our amended and restated certificate of incorporation apply to the ownership at any time by any "person," which term includes entities. Any attempt to own or transfer shares of our common stock or capital stock in violations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stock ownership limitation contained in our amended and restated certificate of incorporation generally does not permit ownership in excess of 9.8% of our common or capital stock, and attempts to acquire our common or capital stock in excess of these limits will be ineffective unless an exemption is granted by our Board of Directors.</w:t>
      </w:r>
    </w:p>
    <w:p>
      <w:pPr>
        <w:spacing w:after="0" w:line="18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less than these percentages of the outstanding stock by an individual or entity could cause that individual or entity to own constructively in excess of these percentages of the outstanding stock and thus be subject to our amended and restated certificate of incorporation's ownership limit. Any attempt to own or transfer shares of our common or preferred stock in excess of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Provisions in our amended and restated certificate of incorporation and bylaws may make it more difficult and expensive for a third 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and, in particular, our common stockholders. In addition, the market price of our common stock could be adversely affected to the extent that provisions of our amended and restated certificate of incorporation and bylaws discourage potential takeover attempts, or other transactions, that our stockholders may favor.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own any property. Our executive offices are located in Bethesda, Maryland.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See also </w:t>
      </w:r>
      <w:r>
        <w:rPr>
          <w:rFonts w:ascii="Arial" w:cs="Arial" w:eastAsia="Arial" w:hAnsi="Arial"/>
          <w:sz w:val="16"/>
          <w:szCs w:val="16"/>
          <w:i w:val="1"/>
          <w:iCs w:val="1"/>
          <w:color w:val="auto"/>
        </w:rPr>
        <w:t>"Loss Contingencies"</w:t>
      </w:r>
      <w:r>
        <w:rPr>
          <w:rFonts w:ascii="Arial" w:cs="Arial" w:eastAsia="Arial" w:hAnsi="Arial"/>
          <w:sz w:val="16"/>
          <w:szCs w:val="16"/>
          <w:color w:val="auto"/>
        </w:rPr>
        <w:t xml:space="preserve"> in Note 2 to the Consolidated Financial Statements included under Item 8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FINANCIAL INFORMATION</w:t>
      </w:r>
    </w:p>
    <w:p>
      <w:pPr>
        <w:spacing w:after="0" w:line="225" w:lineRule="exact"/>
        <w:rPr>
          <w:sz w:val="20"/>
          <w:szCs w:val="20"/>
          <w:color w:val="auto"/>
        </w:rPr>
      </w:pPr>
    </w:p>
    <w:p>
      <w:pPr>
        <w:ind w:right="2480"/>
        <w:spacing w:after="0" w:line="42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Quarterly Stock Prices and Dividend Declarations</w:t>
      </w:r>
    </w:p>
    <w:p>
      <w:pPr>
        <w:ind w:firstLine="432"/>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2017, we had 1,084 stockholders of record. Most of the shares of our common stock are held by brokers and other institutions on behalf of stockholders.</w:t>
      </w:r>
    </w:p>
    <w:p>
      <w:pPr>
        <w:spacing w:after="0" w:line="10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the range of high and low sales prices of our common stock as reported on the NASDAQ Global Select Market and dividends declared on our common stock for fiscal years 2016 and 2015:</w:t>
      </w:r>
    </w:p>
    <w:p>
      <w:pPr>
        <w:spacing w:after="0" w:line="279" w:lineRule="exact"/>
        <w:rPr>
          <w:sz w:val="20"/>
          <w:szCs w:val="20"/>
          <w:color w:val="auto"/>
        </w:rPr>
      </w:pPr>
    </w:p>
    <w:tbl>
      <w:tblPr>
        <w:tblLayout w:type="fixed"/>
        <w:tblInd w:w="24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w w:val="91"/>
              </w:rPr>
              <w:t>Sales Prices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6"/>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Low</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 xml:space="preserve">Declared </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2016</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20.43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20.10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19.85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18.00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Fiscal Year 2015</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20.08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18.21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21.83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37"/>
        </w:trPr>
        <w:tc>
          <w:tcPr>
            <w:tcW w:w="274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22.36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20.74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_______________________</w:t>
      </w:r>
    </w:p>
    <w:p>
      <w:pPr>
        <w:spacing w:after="0" w:line="67" w:lineRule="exact"/>
        <w:rPr>
          <w:sz w:val="20"/>
          <w:szCs w:val="20"/>
          <w:color w:val="auto"/>
        </w:rPr>
      </w:pPr>
    </w:p>
    <w:p>
      <w:pPr>
        <w:ind w:left="2220" w:hanging="267"/>
        <w:spacing w:after="0"/>
        <w:tabs>
          <w:tab w:leader="none" w:pos="2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sum of monthly dividends declared during each period presented.</w:t>
      </w:r>
    </w:p>
    <w:p>
      <w:pPr>
        <w:spacing w:after="0" w:line="2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intend to pay monthly dividends to our common stockholders and to distribute all of our annual taxable income in a timely manner. This will enable us to qualify for the tax benefits accorded to a REIT under the Internal Revenue Code. We have not established a minimum dividend payment level and our ability to pay dividends may be adversely affected for the reasons described under the caption "Risk Factors."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In addition, holders of our 8.000% Series A Cumulative Redeemable Preferred Stock ("Series A Preferred Stock") and our 7.750% Series B Cumulative Redeemable Preferred Stock ("Series B Preferred Stock") (each underlying depositary share representing a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interest in a share of our Series B Preferred Stock) are entitled to receive cumulative cash dividends at a rate of 8.000% and 7.750% per annum, respectively, of their aggregate liquidation preference of $173 million and $175 million, respectively, before holders of our common stock are entitled to receive any dividends. Under certain circumstances upon a change of control, the Series A and Series B Preferred Stock are convertible to shares of our common stock. All distributions will be made at the discretion of our Board of Directors and will depend on our earnings, our financial condition, maintenance of our REIT status and such other factors as our Board of Directors may deem relevant from time to time.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tax characterization of dividends declared on our common stock for fiscal years 2016 and 2015:</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Tax Characterization</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jc w:val="center"/>
              <w:ind w:right="143"/>
              <w:spacing w:after="0" w:line="139" w:lineRule="exact"/>
              <w:rPr>
                <w:sz w:val="20"/>
                <w:szCs w:val="20"/>
                <w:color w:val="auto"/>
              </w:rPr>
            </w:pPr>
            <w:r>
              <w:rPr>
                <w:rFonts w:ascii="Arial" w:cs="Arial" w:eastAsia="Arial" w:hAnsi="Arial"/>
                <w:sz w:val="14"/>
                <w:szCs w:val="14"/>
                <w:b w:val="1"/>
                <w:bCs w:val="1"/>
                <w:color w:val="auto"/>
                <w:w w:val="92"/>
              </w:rPr>
              <w:t>Dividends Declared</w:t>
            </w:r>
          </w:p>
        </w:tc>
        <w:tc>
          <w:tcPr>
            <w:tcW w:w="148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w w:val="98"/>
              </w:rPr>
              <w:t>Ordinary Income Per</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6"/>
              </w:rPr>
              <w:t>Long-Term Capital</w:t>
            </w:r>
          </w:p>
        </w:tc>
        <w:tc>
          <w:tcPr>
            <w:tcW w:w="240" w:type="dxa"/>
            <w:vAlign w:val="bottom"/>
          </w:tcPr>
          <w:p>
            <w:pPr>
              <w:spacing w:after="0"/>
              <w:rPr>
                <w:sz w:val="12"/>
                <w:szCs w:val="12"/>
                <w:color w:val="auto"/>
              </w:rPr>
            </w:pPr>
          </w:p>
        </w:tc>
        <w:tc>
          <w:tcPr>
            <w:tcW w:w="132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Non-Dividend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260" w:type="dxa"/>
            <w:vAlign w:val="bottom"/>
            <w:gridSpan w:val="2"/>
          </w:tcPr>
          <w:p>
            <w:pPr>
              <w:jc w:val="center"/>
              <w:ind w:left="502"/>
              <w:spacing w:after="0" w:line="149" w:lineRule="exact"/>
              <w:rPr>
                <w:sz w:val="20"/>
                <w:szCs w:val="20"/>
                <w:color w:val="auto"/>
              </w:rPr>
            </w:pPr>
            <w:r>
              <w:rPr>
                <w:rFonts w:ascii="Arial" w:cs="Arial" w:eastAsia="Arial" w:hAnsi="Arial"/>
                <w:sz w:val="14"/>
                <w:szCs w:val="14"/>
                <w:b w:val="1"/>
                <w:bCs w:val="1"/>
                <w:color w:val="auto"/>
                <w:w w:val="92"/>
              </w:rPr>
              <w:t>Per Share of Common</w:t>
            </w: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Qualified Dividends</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2"/>
              </w:rPr>
              <w:t>Gains Per Share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 xml:space="preserve">Distributions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Fiscal Year 2016 </w:t>
            </w:r>
            <w:r>
              <w:rPr>
                <w:rFonts w:ascii="Arial" w:cs="Arial" w:eastAsia="Arial" w:hAnsi="Arial"/>
                <w:sz w:val="21"/>
                <w:szCs w:val="21"/>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2.12</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1.689674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0.430326</w:t>
            </w: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6"/>
                <w:szCs w:val="16"/>
                <w:color w:val="auto"/>
              </w:rPr>
              <w:t>Fiscal Year 2015</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2.48</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2.480000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ind w:left="10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1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w:t>
      </w:r>
    </w:p>
    <w:p>
      <w:pPr>
        <w:ind w:left="660" w:right="2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dividends declared through November 30, 2016. The dividend of $0.18 per common share declared on December 14, 2016, which was payable on January 9, 2017, will be reported to stockholders as a fiscal year 2017 distribution for federal income tax purposes.</w:t>
      </w:r>
    </w:p>
    <w:p>
      <w:pPr>
        <w:ind w:left="6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Also referred to as a "return of capital." Represents dividends paid in excess of our current and accumulated earnings and profit, or "E&amp;P," which is a tax-based measure calculated by making adjustments to taxable income for items that are treated differently for E&amp;P purposes, such as net capital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ind w:left="660"/>
        <w:spacing w:after="0" w:line="414" w:lineRule="auto"/>
        <w:rPr>
          <w:sz w:val="20"/>
          <w:szCs w:val="20"/>
          <w:color w:val="auto"/>
        </w:rPr>
      </w:pPr>
      <w:r>
        <w:rPr>
          <w:rFonts w:ascii="Arial" w:cs="Arial" w:eastAsia="Arial" w:hAnsi="Arial"/>
          <w:sz w:val="14"/>
          <w:szCs w:val="14"/>
          <w:color w:val="auto"/>
        </w:rPr>
        <w:t>losses and utilization of net capital loss carryforwards. A return of capital reduces the basis of a stockholder's investment in our common stock to the extent of such basis and is treated as capital gain thereafter.</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information, as of December 31, 2016, concerning shares of our common stock authorized for issuance under our equity compensation plans, pursuant to which grants of equity-based awards, including stock options, restricted stock units and unrestricted stock awards may be granted from time to time. See "Item 8. Financial Statements" for a description of our equity compensation plans.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first column of this table)</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1</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122,841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9,898,593</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50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122,841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9,898,593</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jc w:val="right"/>
              <w:ind w:right="2241"/>
              <w:spacing w:after="0"/>
              <w:rPr>
                <w:sz w:val="20"/>
                <w:szCs w:val="20"/>
                <w:color w:val="auto"/>
              </w:rPr>
            </w:pPr>
            <w:r>
              <w:rPr>
                <w:rFonts w:ascii="Arial" w:cs="Arial" w:eastAsia="Arial" w:hAnsi="Arial"/>
                <w:sz w:val="11"/>
                <w:szCs w:val="11"/>
                <w:color w:val="auto"/>
                <w:w w:val="87"/>
              </w:rPr>
              <w:t>_________________________________________________________</w:t>
            </w: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unvested restricted stock units and accrued dividend equivalent units.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following graph and table compare a stockholder's cumulative total return, assuming $100 invested at December 31, 2011, with the reinvestment of all dividends, as if such amounts had been invested in: (i) our common stock; (ii) the stocks included in the Standard &amp; Poor's 500 Stock Index ("S&amp;P 500");</w:t>
      </w:r>
    </w:p>
    <w:p>
      <w:pPr>
        <w:jc w:val="both"/>
        <w:ind w:firstLine="8"/>
        <w:spacing w:after="0" w:line="255" w:lineRule="auto"/>
        <w:tabs>
          <w:tab w:leader="none" w:pos="3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stocks included in the FTSE NAREIT Mortgage REIT Index; (iv) an index of selected issuers in our peer group, composed of Annaly Capital Management, Inc., Anworth Mortgage Asset Corporation, Capstead Mortgage Corporation, CYS Investments, Inc. and Armour Residential REIT, Inc. (collectively, the "Agency REIT Peer Group").</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34"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185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9" w:lineRule="exact"/>
        <w:rPr>
          <w:sz w:val="20"/>
          <w:szCs w:val="20"/>
          <w:color w:val="auto"/>
        </w:rPr>
      </w:pPr>
    </w:p>
    <w:p>
      <w:pPr>
        <w:ind w:left="720" w:hanging="307"/>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$100 invested on 12/31/11 in stock or index, including reinvestment of dividends.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Fiscal year ending December 31.</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Copyright © 2017 S&amp;P, a division of The McGraw-Hill Companies Inc. All rights reserved.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2012</w:t>
            </w:r>
          </w:p>
        </w:tc>
      </w:tr>
      <w:tr>
        <w:trPr>
          <w:trHeight w:val="25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AGNC Investment Corp.</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120.10</w:t>
            </w:r>
          </w:p>
        </w:tc>
      </w:tr>
      <w:tr>
        <w:trPr>
          <w:trHeight w:val="264"/>
        </w:trPr>
        <w:tc>
          <w:tcPr>
            <w:tcW w:w="322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198.18</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177.01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174.60</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153.58</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116.00</w:t>
            </w:r>
          </w:p>
        </w:tc>
      </w:tr>
      <w:tr>
        <w:trPr>
          <w:trHeight w:val="27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FTSE NAREIT Mortgage REITs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119.89</w:t>
            </w:r>
          </w:p>
        </w:tc>
      </w:tr>
      <w:tr>
        <w:trPr>
          <w:trHeight w:val="258"/>
        </w:trPr>
        <w:tc>
          <w:tcPr>
            <w:tcW w:w="3220" w:type="dxa"/>
            <w:vAlign w:val="bottom"/>
          </w:tcPr>
          <w:p>
            <w:pPr>
              <w:ind w:left="20"/>
              <w:spacing w:after="0"/>
              <w:rPr>
                <w:sz w:val="20"/>
                <w:szCs w:val="20"/>
                <w:color w:val="auto"/>
              </w:rPr>
            </w:pPr>
            <w:r>
              <w:rPr>
                <w:rFonts w:ascii="Arial" w:cs="Arial" w:eastAsia="Arial" w:hAnsi="Arial"/>
                <w:sz w:val="14"/>
                <w:szCs w:val="14"/>
                <w:color w:val="auto"/>
              </w:rPr>
              <w:t xml:space="preserve">Agency REIT Peer Group </w:t>
            </w:r>
            <w:r>
              <w:rPr>
                <w:rFonts w:ascii="Arial" w:cs="Arial" w:eastAsia="Arial" w:hAnsi="Arial"/>
                <w:sz w:val="8"/>
                <w:szCs w:val="8"/>
                <w:color w:val="auto"/>
              </w:rPr>
              <w:t>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112.01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93.07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98.05</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81.35</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100.95</w:t>
            </w:r>
          </w:p>
        </w:tc>
      </w:tr>
    </w:tbl>
    <w:p>
      <w:pPr>
        <w:spacing w:after="0"/>
        <w:rPr>
          <w:sz w:val="20"/>
          <w:szCs w:val="20"/>
          <w:color w:val="auto"/>
        </w:rPr>
      </w:pPr>
      <w:r>
        <w:rPr>
          <w:rFonts w:ascii="Arial" w:cs="Arial" w:eastAsia="Arial" w:hAnsi="Arial"/>
          <w:sz w:val="18"/>
          <w:szCs w:val="18"/>
          <w:color w:val="auto"/>
        </w:rPr>
        <w:t>_______________________</w:t>
      </w:r>
    </w:p>
    <w:p>
      <w:pPr>
        <w:spacing w:after="0" w:line="56" w:lineRule="exact"/>
        <w:rPr>
          <w:sz w:val="20"/>
          <w:szCs w:val="20"/>
          <w:color w:val="auto"/>
        </w:rPr>
      </w:pPr>
    </w:p>
    <w:p>
      <w:pPr>
        <w:ind w:left="840" w:hanging="427"/>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Agency REIT Peer Group annual return is calculated on a weighted basis by market cap at the end of the previous year.</w:t>
      </w:r>
    </w:p>
    <w:p>
      <w:pPr>
        <w:spacing w:after="0" w:line="3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Item 6. 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audited financial statements for the five fiscal years ended December 31, 2016. The selected financial data should be read in conjunction with the more detailed information contained in the Financial Statements and Notes thereto and "Management's Discussion and Analysis of Financial Condition and Results of Operations" included elsewhere in this Annual Report on Form 10-K.</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at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46,499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52,473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56,748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85,245</w:t>
            </w:r>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56,880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57,021</w:t>
            </w:r>
          </w:p>
        </w:tc>
        <w:tc>
          <w:tcPr>
            <w:tcW w:w="1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67,766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76,255</w:t>
            </w:r>
          </w:p>
        </w:tc>
        <w:tc>
          <w:tcPr>
            <w:tcW w:w="8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100,453</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Federal Home Loan Bank advances and other debt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41,355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46,102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75,415</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49,524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49,050</w:t>
            </w:r>
          </w:p>
        </w:tc>
        <w:tc>
          <w:tcPr>
            <w:tcW w:w="1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58,338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67,558</w:t>
            </w:r>
          </w:p>
        </w:tc>
        <w:tc>
          <w:tcPr>
            <w:tcW w:w="8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89,557</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7,356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10,896</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020" w:type="dxa"/>
            <w:vAlign w:val="bottom"/>
            <w:gridSpan w:val="2"/>
          </w:tcPr>
          <w:p>
            <w:pPr>
              <w:ind w:left="2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21.17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23"/>
                <w:szCs w:val="2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25.74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23.93</w:t>
            </w:r>
          </w:p>
        </w:tc>
        <w:tc>
          <w:tcPr>
            <w:tcW w:w="80" w:type="dxa"/>
            <w:vAlign w:val="bottom"/>
          </w:tcPr>
          <w:p>
            <w:pPr>
              <w:spacing w:after="0"/>
              <w:rPr>
                <w:sz w:val="23"/>
                <w:szCs w:val="23"/>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31.64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Tangible net asset value per common share as of period end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19.50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3"/>
                <w:szCs w:val="23"/>
                <w:color w:val="auto"/>
              </w:rPr>
            </w:pPr>
          </w:p>
        </w:tc>
      </w:tr>
      <w:tr>
        <w:trPr>
          <w:trHeight w:val="399"/>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Statement of Comprehensive Income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auto"/>
            </w:tcBorders>
          </w:tcPr>
          <w:p>
            <w:pPr>
              <w:spacing w:after="0"/>
              <w:rPr>
                <w:sz w:val="22"/>
                <w:szCs w:val="22"/>
                <w:color w:val="auto"/>
              </w:rPr>
            </w:pPr>
          </w:p>
        </w:tc>
      </w:tr>
      <w:tr>
        <w:trPr>
          <w:trHeight w:val="25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1,472</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2,193</w:t>
            </w:r>
          </w:p>
        </w:tc>
        <w:tc>
          <w:tcPr>
            <w:tcW w:w="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2,109</w:t>
            </w:r>
          </w:p>
        </w:tc>
        <w:tc>
          <w:tcPr>
            <w:tcW w:w="20" w:type="dxa"/>
            <w:vAlign w:val="bottom"/>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color w:val="auto"/>
              </w:rPr>
              <w:t>3</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512</w:t>
            </w:r>
          </w:p>
        </w:tc>
        <w:tc>
          <w:tcPr>
            <w:tcW w:w="20" w:type="dxa"/>
            <w:vAlign w:val="bottom"/>
            <w:tcBorders>
              <w:bottom w:val="single" w:sz="8" w:color="auto"/>
            </w:tcBorders>
          </w:tcPr>
          <w:p>
            <w:pPr>
              <w:spacing w:after="0"/>
              <w:rPr>
                <w:sz w:val="22"/>
                <w:szCs w:val="22"/>
                <w:color w:val="auto"/>
              </w:rPr>
            </w:pPr>
          </w:p>
        </w:tc>
      </w:tr>
      <w:tr>
        <w:trPr>
          <w:trHeight w:val="25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1,100</w:t>
            </w: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1,657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1,597</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 xml:space="preserve">Other gain (loss), net </w:t>
            </w:r>
            <w:r>
              <w:rPr>
                <w:rFonts w:ascii="Arial" w:cs="Arial" w:eastAsia="Arial" w:hAnsi="Arial"/>
                <w:sz w:val="8"/>
                <w:szCs w:val="8"/>
                <w:color w:val="auto"/>
              </w:rPr>
              <w:t>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90"/>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79"/>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21"/>
                <w:szCs w:val="21"/>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144</w:t>
            </w:r>
          </w:p>
        </w:tc>
        <w:tc>
          <w:tcPr>
            <w:tcW w:w="20" w:type="dxa"/>
            <w:vAlign w:val="bottom"/>
            <w:tcBorders>
              <w:bottom w:val="single" w:sz="8" w:color="auto"/>
            </w:tcBorders>
            <w:shd w:val="clear" w:color="auto" w:fill="CCEEFF"/>
          </w:tcPr>
          <w:p>
            <w:pPr>
              <w:spacing w:after="0"/>
              <w:rPr>
                <w:sz w:val="23"/>
                <w:szCs w:val="23"/>
                <w:color w:val="auto"/>
              </w:rPr>
            </w:pPr>
          </w:p>
        </w:tc>
      </w:tr>
      <w:tr>
        <w:trPr>
          <w:trHeight w:val="250"/>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Income (loss) before income tax</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1,272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1,296</w:t>
            </w:r>
          </w:p>
        </w:tc>
        <w:tc>
          <w:tcPr>
            <w:tcW w:w="20" w:type="dxa"/>
            <w:vAlign w:val="bottom"/>
          </w:tcPr>
          <w:p>
            <w:pPr>
              <w:spacing w:after="0"/>
              <w:rPr>
                <w:sz w:val="21"/>
                <w:szCs w:val="21"/>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income tax, net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23"/>
                <w:szCs w:val="23"/>
                <w:color w:val="auto"/>
              </w:rPr>
            </w:pPr>
          </w:p>
        </w:tc>
      </w:tr>
      <w:tr>
        <w:trPr>
          <w:trHeight w:val="250"/>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1,277</w:t>
            </w:r>
          </w:p>
        </w:tc>
        <w:tc>
          <w:tcPr>
            <w:tcW w:w="20" w:type="dxa"/>
            <w:vAlign w:val="bottom"/>
            <w:tcBorders>
              <w:top w:val="single" w:sz="8" w:color="auto"/>
            </w:tcBorders>
          </w:tcPr>
          <w:p>
            <w:pPr>
              <w:spacing w:after="0"/>
              <w:rPr>
                <w:sz w:val="21"/>
                <w:szCs w:val="21"/>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23"/>
                <w:szCs w:val="23"/>
                <w:color w:val="auto"/>
              </w:rPr>
            </w:pPr>
          </w:p>
        </w:tc>
      </w:tr>
      <w:tr>
        <w:trPr>
          <w:trHeight w:val="296"/>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Net income (loss) available (attributable) to common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1,245</w:t>
            </w:r>
          </w:p>
        </w:tc>
        <w:tc>
          <w:tcPr>
            <w:tcW w:w="80" w:type="dxa"/>
            <w:vAlign w:val="bottom"/>
          </w:tcPr>
          <w:p>
            <w:pPr>
              <w:spacing w:after="0"/>
              <w:rPr>
                <w:sz w:val="24"/>
                <w:szCs w:val="24"/>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1,267</w:t>
            </w:r>
          </w:p>
        </w:tc>
        <w:tc>
          <w:tcPr>
            <w:tcW w:w="20" w:type="dxa"/>
            <w:vAlign w:val="bottom"/>
          </w:tcPr>
          <w:p>
            <w:pPr>
              <w:spacing w:after="0"/>
              <w:rPr>
                <w:sz w:val="24"/>
                <w:szCs w:val="24"/>
                <w:color w:val="auto"/>
              </w:rPr>
            </w:pPr>
          </w:p>
        </w:tc>
      </w:tr>
      <w:tr>
        <w:trPr>
          <w:trHeight w:val="278"/>
        </w:trPr>
        <w:tc>
          <w:tcPr>
            <w:tcW w:w="40" w:type="dxa"/>
            <w:vAlign w:val="bottom"/>
            <w:tcBorders>
              <w:top w:val="single" w:sz="8" w:color="CCEEFF"/>
            </w:tcBorders>
            <w:shd w:val="clear" w:color="auto" w:fill="CCEEFF"/>
          </w:tcPr>
          <w:p>
            <w:pPr>
              <w:spacing w:after="0"/>
              <w:rPr>
                <w:sz w:val="24"/>
                <w:szCs w:val="24"/>
                <w:color w:val="auto"/>
              </w:rPr>
            </w:pPr>
          </w:p>
        </w:tc>
        <w:tc>
          <w:tcPr>
            <w:tcW w:w="59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2"/>
                <w:szCs w:val="22"/>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22"/>
                <w:szCs w:val="22"/>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1,277</w:t>
            </w:r>
          </w:p>
        </w:tc>
        <w:tc>
          <w:tcPr>
            <w:tcW w:w="20" w:type="dxa"/>
            <w:vAlign w:val="bottom"/>
          </w:tcPr>
          <w:p>
            <w:pPr>
              <w:spacing w:after="0"/>
              <w:rPr>
                <w:sz w:val="22"/>
                <w:szCs w:val="22"/>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xml:space="preserve">Other comprehensive income (loss) </w:t>
            </w:r>
            <w:r>
              <w:rPr>
                <w:rFonts w:ascii="Arial" w:cs="Arial" w:eastAsia="Arial" w:hAnsi="Arial"/>
                <w:sz w:val="8"/>
                <w:szCs w:val="8"/>
                <w:color w:val="auto"/>
              </w:rPr>
              <w:t>3</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(331)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1,813</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(2,938)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1,244</w:t>
            </w:r>
          </w:p>
        </w:tc>
        <w:tc>
          <w:tcPr>
            <w:tcW w:w="20" w:type="dxa"/>
            <w:vAlign w:val="bottom"/>
            <w:tcBorders>
              <w:bottom w:val="single" w:sz="8" w:color="auto"/>
            </w:tcBorders>
            <w:shd w:val="clear" w:color="auto" w:fill="CCEEFF"/>
          </w:tcPr>
          <w:p>
            <w:pPr>
              <w:spacing w:after="0"/>
              <w:rPr>
                <w:sz w:val="23"/>
                <w:szCs w:val="23"/>
                <w:color w:val="auto"/>
              </w:rPr>
            </w:pPr>
          </w:p>
        </w:tc>
      </w:tr>
      <w:tr>
        <w:trPr>
          <w:trHeight w:val="250"/>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1,580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(1,679)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2,521</w:t>
            </w:r>
          </w:p>
        </w:tc>
        <w:tc>
          <w:tcPr>
            <w:tcW w:w="20" w:type="dxa"/>
            <w:vAlign w:val="bottom"/>
          </w:tcPr>
          <w:p>
            <w:pPr>
              <w:spacing w:after="0"/>
              <w:rPr>
                <w:sz w:val="21"/>
                <w:szCs w:val="21"/>
                <w:color w:val="auto"/>
              </w:rPr>
            </w:pP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23"/>
                <w:szCs w:val="23"/>
                <w:color w:val="auto"/>
              </w:rPr>
            </w:pPr>
          </w:p>
        </w:tc>
      </w:tr>
      <w:tr>
        <w:trPr>
          <w:trHeight w:val="296"/>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w w:val="89"/>
              </w:rPr>
              <w:t>1,557</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(1,693)</w:t>
            </w:r>
          </w:p>
        </w:tc>
        <w:tc>
          <w:tcPr>
            <w:tcW w:w="80" w:type="dxa"/>
            <w:vAlign w:val="bottom"/>
          </w:tcPr>
          <w:p>
            <w:pPr>
              <w:spacing w:after="0"/>
              <w:rPr>
                <w:sz w:val="24"/>
                <w:szCs w:val="24"/>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2,511</w:t>
            </w:r>
          </w:p>
        </w:tc>
        <w:tc>
          <w:tcPr>
            <w:tcW w:w="20" w:type="dxa"/>
            <w:vAlign w:val="bottom"/>
          </w:tcPr>
          <w:p>
            <w:pPr>
              <w:spacing w:after="0"/>
              <w:rPr>
                <w:sz w:val="24"/>
                <w:szCs w:val="24"/>
                <w:color w:val="auto"/>
              </w:rPr>
            </w:pPr>
          </w:p>
        </w:tc>
      </w:tr>
      <w:tr>
        <w:trPr>
          <w:trHeight w:val="278"/>
        </w:trPr>
        <w:tc>
          <w:tcPr>
            <w:tcW w:w="40" w:type="dxa"/>
            <w:vAlign w:val="bottom"/>
            <w:tcBorders>
              <w:top w:val="single" w:sz="8" w:color="CCEEFF"/>
            </w:tcBorders>
            <w:shd w:val="clear" w:color="auto" w:fill="CCEEFF"/>
          </w:tcPr>
          <w:p>
            <w:pPr>
              <w:spacing w:after="0"/>
              <w:rPr>
                <w:sz w:val="24"/>
                <w:szCs w:val="24"/>
                <w:color w:val="auto"/>
              </w:rPr>
            </w:pPr>
          </w:p>
        </w:tc>
        <w:tc>
          <w:tcPr>
            <w:tcW w:w="59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331.9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353.3</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379.1</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303.9</w:t>
            </w:r>
          </w:p>
        </w:tc>
        <w:tc>
          <w:tcPr>
            <w:tcW w:w="20" w:type="dxa"/>
            <w:vAlign w:val="bottom"/>
            <w:tcBorders>
              <w:bottom w:val="single" w:sz="8" w:color="auto"/>
            </w:tcBorders>
          </w:tcPr>
          <w:p>
            <w:pPr>
              <w:spacing w:after="0"/>
              <w:rPr>
                <w:sz w:val="24"/>
                <w:szCs w:val="24"/>
                <w:color w:val="auto"/>
              </w:rPr>
            </w:pP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 - 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3.28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4.17</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606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Comprehensive income (loss) per common share - basic and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0.80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0"/>
              </w:rPr>
              <w:t>(0.89)</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(4.47)</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8.26</w:t>
            </w:r>
          </w:p>
        </w:tc>
        <w:tc>
          <w:tcPr>
            <w:tcW w:w="20" w:type="dxa"/>
            <w:vAlign w:val="bottom"/>
            <w:tcBorders>
              <w:bottom w:val="single" w:sz="8" w:color="auto"/>
            </w:tcBorders>
          </w:tcPr>
          <w:p>
            <w:pPr>
              <w:spacing w:after="0"/>
              <w:rPr>
                <w:sz w:val="24"/>
                <w:szCs w:val="24"/>
                <w:color w:val="auto"/>
              </w:rPr>
            </w:pPr>
          </w:p>
        </w:tc>
      </w:tr>
      <w:tr>
        <w:trPr>
          <w:trHeight w:val="23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2.30</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3.75</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5.00</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64"/>
        </w:trPr>
        <w:tc>
          <w:tcPr>
            <w:tcW w:w="5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Other Data (unaudited)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auto"/>
            </w:tcBorders>
          </w:tcPr>
          <w:p>
            <w:pPr>
              <w:spacing w:after="0"/>
              <w:rPr>
                <w:sz w:val="22"/>
                <w:szCs w:val="22"/>
                <w:color w:val="auto"/>
              </w:rPr>
            </w:pPr>
          </w:p>
        </w:tc>
      </w:tr>
      <w:tr>
        <w:trPr>
          <w:trHeight w:val="250"/>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Average investment securities - at par</w:t>
            </w:r>
          </w:p>
        </w:tc>
        <w:tc>
          <w:tcPr>
            <w:tcW w:w="220" w:type="dxa"/>
            <w:vAlign w:val="bottom"/>
          </w:tcPr>
          <w:p>
            <w:pPr>
              <w:spacing w:after="0"/>
              <w:rPr>
                <w:sz w:val="21"/>
                <w:szCs w:val="21"/>
                <w:color w:val="auto"/>
              </w:rPr>
            </w:pPr>
          </w:p>
        </w:tc>
        <w:tc>
          <w:tcPr>
            <w:tcW w:w="760" w:type="dxa"/>
            <w:vAlign w:val="bottom"/>
            <w:gridSpan w:val="3"/>
          </w:tcPr>
          <w:p>
            <w:pPr>
              <w:jc w:val="center"/>
              <w:ind w:right="139"/>
              <w:spacing w:after="0"/>
              <w:rPr>
                <w:sz w:val="20"/>
                <w:szCs w:val="20"/>
                <w:color w:val="auto"/>
              </w:rPr>
            </w:pPr>
            <w:r>
              <w:rPr>
                <w:rFonts w:ascii="Arial" w:cs="Arial" w:eastAsia="Arial" w:hAnsi="Arial"/>
                <w:sz w:val="16"/>
                <w:szCs w:val="16"/>
                <w:color w:val="auto"/>
                <w:w w:val="93"/>
              </w:rPr>
              <w:t>$47,101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$51,759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center"/>
              <w:ind w:right="79"/>
              <w:spacing w:after="0"/>
              <w:rPr>
                <w:sz w:val="20"/>
                <w:szCs w:val="20"/>
                <w:color w:val="auto"/>
              </w:rPr>
            </w:pPr>
            <w:r>
              <w:rPr>
                <w:rFonts w:ascii="Arial" w:cs="Arial" w:eastAsia="Arial" w:hAnsi="Arial"/>
                <w:sz w:val="16"/>
                <w:szCs w:val="16"/>
                <w:color w:val="auto"/>
                <w:w w:val="89"/>
              </w:rPr>
              <w:t>$53,578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$75,263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93"/>
              </w:rPr>
              <w:t>$71,002</w:t>
            </w:r>
          </w:p>
        </w:tc>
        <w:tc>
          <w:tcPr>
            <w:tcW w:w="20" w:type="dxa"/>
            <w:vAlign w:val="bottom"/>
          </w:tcPr>
          <w:p>
            <w:pPr>
              <w:spacing w:after="0"/>
              <w:rPr>
                <w:sz w:val="21"/>
                <w:szCs w:val="21"/>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Average investment securities - at cost</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color w:val="auto"/>
                <w:w w:val="93"/>
              </w:rPr>
              <w:t>$49,268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$54,019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$56,051</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$79,056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$74,588</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Average total assets - at fair value</w:t>
            </w:r>
          </w:p>
        </w:tc>
        <w:tc>
          <w:tcPr>
            <w:tcW w:w="220" w:type="dxa"/>
            <w:vAlign w:val="bottom"/>
          </w:tcPr>
          <w:p>
            <w:pPr>
              <w:spacing w:after="0"/>
              <w:rPr>
                <w:sz w:val="22"/>
                <w:szCs w:val="22"/>
                <w:color w:val="auto"/>
              </w:rPr>
            </w:pPr>
          </w:p>
        </w:tc>
        <w:tc>
          <w:tcPr>
            <w:tcW w:w="760" w:type="dxa"/>
            <w:vAlign w:val="bottom"/>
            <w:gridSpan w:val="3"/>
          </w:tcPr>
          <w:p>
            <w:pPr>
              <w:jc w:val="center"/>
              <w:ind w:right="139"/>
              <w:spacing w:after="0"/>
              <w:rPr>
                <w:sz w:val="20"/>
                <w:szCs w:val="20"/>
                <w:color w:val="auto"/>
              </w:rPr>
            </w:pPr>
            <w:r>
              <w:rPr>
                <w:rFonts w:ascii="Arial" w:cs="Arial" w:eastAsia="Arial" w:hAnsi="Arial"/>
                <w:sz w:val="16"/>
                <w:szCs w:val="16"/>
                <w:color w:val="auto"/>
                <w:w w:val="93"/>
              </w:rPr>
              <w:t>$56,931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$63,674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center"/>
              <w:ind w:right="79"/>
              <w:spacing w:after="0"/>
              <w:rPr>
                <w:sz w:val="20"/>
                <w:szCs w:val="20"/>
                <w:color w:val="auto"/>
              </w:rPr>
            </w:pPr>
            <w:r>
              <w:rPr>
                <w:rFonts w:ascii="Arial" w:cs="Arial" w:eastAsia="Arial" w:hAnsi="Arial"/>
                <w:sz w:val="16"/>
                <w:szCs w:val="16"/>
                <w:color w:val="auto"/>
                <w:w w:val="89"/>
              </w:rPr>
              <w:t>$67,007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$96,956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93"/>
              </w:rPr>
              <w:t>$86,172</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par (as of period end)</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color w:val="auto"/>
                <w:w w:val="93"/>
              </w:rPr>
              <w:t>$10,916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$7,295</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$14,412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right="180"/>
              <w:spacing w:after="0"/>
              <w:rPr>
                <w:sz w:val="20"/>
                <w:szCs w:val="20"/>
                <w:color w:val="auto"/>
              </w:rPr>
            </w:pPr>
            <w:r>
              <w:rPr>
                <w:rFonts w:ascii="Arial" w:cs="Arial" w:eastAsia="Arial" w:hAnsi="Arial"/>
                <w:sz w:val="16"/>
                <w:szCs w:val="16"/>
                <w:color w:val="auto"/>
                <w:w w:val="89"/>
              </w:rPr>
              <w:t>$2,119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$12,477</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Net TBA dollar roll position - at cost (as of period end)</w:t>
            </w:r>
          </w:p>
        </w:tc>
        <w:tc>
          <w:tcPr>
            <w:tcW w:w="220" w:type="dxa"/>
            <w:vAlign w:val="bottom"/>
          </w:tcPr>
          <w:p>
            <w:pPr>
              <w:spacing w:after="0"/>
              <w:rPr>
                <w:sz w:val="22"/>
                <w:szCs w:val="22"/>
                <w:color w:val="auto"/>
              </w:rPr>
            </w:pPr>
          </w:p>
        </w:tc>
        <w:tc>
          <w:tcPr>
            <w:tcW w:w="76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$11,312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$7,430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center"/>
              <w:ind w:right="79"/>
              <w:spacing w:after="0"/>
              <w:rPr>
                <w:sz w:val="20"/>
                <w:szCs w:val="20"/>
                <w:color w:val="auto"/>
              </w:rPr>
            </w:pPr>
            <w:r>
              <w:rPr>
                <w:rFonts w:ascii="Arial" w:cs="Arial" w:eastAsia="Arial" w:hAnsi="Arial"/>
                <w:sz w:val="16"/>
                <w:szCs w:val="16"/>
                <w:color w:val="auto"/>
                <w:w w:val="89"/>
              </w:rPr>
              <w:t>$14,576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180"/>
              <w:spacing w:after="0"/>
              <w:rPr>
                <w:sz w:val="20"/>
                <w:szCs w:val="20"/>
                <w:color w:val="auto"/>
              </w:rPr>
            </w:pPr>
            <w:r>
              <w:rPr>
                <w:rFonts w:ascii="Arial" w:cs="Arial" w:eastAsia="Arial" w:hAnsi="Arial"/>
                <w:sz w:val="16"/>
                <w:szCs w:val="16"/>
                <w:color w:val="auto"/>
                <w:w w:val="89"/>
              </w:rPr>
              <w:t>$2,276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93"/>
              </w:rPr>
              <w:t>$12,775</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TBA dollar roll position - at market value (as of period end)</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$11,165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$7,444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$14,768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right="180"/>
              <w:spacing w:after="0"/>
              <w:rPr>
                <w:sz w:val="20"/>
                <w:szCs w:val="20"/>
                <w:color w:val="auto"/>
              </w:rPr>
            </w:pPr>
            <w:r>
              <w:rPr>
                <w:rFonts w:ascii="Arial" w:cs="Arial" w:eastAsia="Arial" w:hAnsi="Arial"/>
                <w:sz w:val="16"/>
                <w:szCs w:val="16"/>
                <w:color w:val="auto"/>
                <w:w w:val="89"/>
              </w:rPr>
              <w:t>$2,271</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$12,870</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 xml:space="preserve">Net TBA dollar roll position - at carrying value (as of period end) </w:t>
            </w:r>
            <w:r>
              <w:rPr>
                <w:rFonts w:ascii="Arial" w:cs="Arial" w:eastAsia="Arial" w:hAnsi="Arial"/>
                <w:sz w:val="8"/>
                <w:szCs w:val="8"/>
                <w:color w:val="auto"/>
              </w:rPr>
              <w:t>4</w:t>
            </w:r>
          </w:p>
        </w:tc>
        <w:tc>
          <w:tcPr>
            <w:tcW w:w="220" w:type="dxa"/>
            <w:vAlign w:val="bottom"/>
          </w:tcPr>
          <w:p>
            <w:pPr>
              <w:spacing w:after="0"/>
              <w:rPr>
                <w:sz w:val="22"/>
                <w:szCs w:val="22"/>
                <w:color w:val="auto"/>
              </w:rPr>
            </w:pPr>
          </w:p>
        </w:tc>
        <w:tc>
          <w:tcPr>
            <w:tcW w:w="760" w:type="dxa"/>
            <w:vAlign w:val="bottom"/>
            <w:gridSpan w:val="3"/>
          </w:tcPr>
          <w:p>
            <w:pPr>
              <w:jc w:val="center"/>
              <w:ind w:right="139"/>
              <w:spacing w:after="0"/>
              <w:rPr>
                <w:sz w:val="20"/>
                <w:szCs w:val="20"/>
                <w:color w:val="auto"/>
              </w:rPr>
            </w:pPr>
            <w:r>
              <w:rPr>
                <w:rFonts w:ascii="Arial" w:cs="Arial" w:eastAsia="Arial" w:hAnsi="Arial"/>
                <w:sz w:val="16"/>
                <w:szCs w:val="16"/>
                <w:color w:val="auto"/>
                <w:w w:val="90"/>
              </w:rPr>
              <w:t>$(147)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center"/>
              <w:ind w:right="79"/>
              <w:spacing w:after="0"/>
              <w:rPr>
                <w:sz w:val="20"/>
                <w:szCs w:val="20"/>
                <w:color w:val="auto"/>
              </w:rPr>
            </w:pPr>
            <w:r>
              <w:rPr>
                <w:rFonts w:ascii="Arial" w:cs="Arial" w:eastAsia="Arial" w:hAnsi="Arial"/>
                <w:sz w:val="16"/>
                <w:szCs w:val="16"/>
                <w:color w:val="auto"/>
                <w:w w:val="89"/>
              </w:rPr>
              <w:t>$192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200"/>
              <w:spacing w:after="0"/>
              <w:rPr>
                <w:sz w:val="20"/>
                <w:szCs w:val="20"/>
                <w:color w:val="auto"/>
              </w:rPr>
            </w:pPr>
            <w:r>
              <w:rPr>
                <w:rFonts w:ascii="Arial" w:cs="Arial" w:eastAsia="Arial" w:hAnsi="Arial"/>
                <w:sz w:val="16"/>
                <w:szCs w:val="16"/>
                <w:color w:val="auto"/>
                <w:w w:val="91"/>
              </w:rPr>
              <w:t>$(5)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120"/>
              <w:spacing w:after="0"/>
              <w:rPr>
                <w:sz w:val="20"/>
                <w:szCs w:val="20"/>
                <w:color w:val="auto"/>
              </w:rPr>
            </w:pPr>
            <w:r>
              <w:rPr>
                <w:rFonts w:ascii="Arial" w:cs="Arial" w:eastAsia="Arial" w:hAnsi="Arial"/>
                <w:sz w:val="16"/>
                <w:szCs w:val="16"/>
                <w:color w:val="auto"/>
                <w:w w:val="89"/>
              </w:rPr>
              <w:t>$95</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Average net TBA portfolio - at cost</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color w:val="auto"/>
                <w:w w:val="93"/>
              </w:rPr>
              <w:t>$10,329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$7,547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$13,212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$11,383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89"/>
              </w:rPr>
              <w:t>$3,294</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 xml:space="preserve">Average mortgage borrowings outstanding </w:t>
            </w:r>
            <w:r>
              <w:rPr>
                <w:rFonts w:ascii="Arial" w:cs="Arial" w:eastAsia="Arial" w:hAnsi="Arial"/>
                <w:sz w:val="8"/>
                <w:szCs w:val="8"/>
                <w:color w:val="auto"/>
              </w:rPr>
              <w:t>5</w:t>
            </w:r>
          </w:p>
        </w:tc>
        <w:tc>
          <w:tcPr>
            <w:tcW w:w="220" w:type="dxa"/>
            <w:vAlign w:val="bottom"/>
          </w:tcPr>
          <w:p>
            <w:pPr>
              <w:spacing w:after="0"/>
              <w:rPr>
                <w:sz w:val="22"/>
                <w:szCs w:val="22"/>
                <w:color w:val="auto"/>
              </w:rPr>
            </w:pPr>
          </w:p>
        </w:tc>
        <w:tc>
          <w:tcPr>
            <w:tcW w:w="760" w:type="dxa"/>
            <w:vAlign w:val="bottom"/>
            <w:gridSpan w:val="3"/>
          </w:tcPr>
          <w:p>
            <w:pPr>
              <w:jc w:val="center"/>
              <w:ind w:right="139"/>
              <w:spacing w:after="0"/>
              <w:rPr>
                <w:sz w:val="20"/>
                <w:szCs w:val="20"/>
                <w:color w:val="auto"/>
              </w:rPr>
            </w:pPr>
            <w:r>
              <w:rPr>
                <w:rFonts w:ascii="Arial" w:cs="Arial" w:eastAsia="Arial" w:hAnsi="Arial"/>
                <w:sz w:val="16"/>
                <w:szCs w:val="16"/>
                <w:color w:val="auto"/>
                <w:w w:val="93"/>
              </w:rPr>
              <w:t>$44,566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119"/>
              <w:spacing w:after="0"/>
              <w:rPr>
                <w:sz w:val="20"/>
                <w:szCs w:val="20"/>
                <w:color w:val="auto"/>
              </w:rPr>
            </w:pPr>
            <w:r>
              <w:rPr>
                <w:rFonts w:ascii="Arial" w:cs="Arial" w:eastAsia="Arial" w:hAnsi="Arial"/>
                <w:sz w:val="16"/>
                <w:szCs w:val="16"/>
                <w:color w:val="auto"/>
                <w:w w:val="89"/>
              </w:rPr>
              <w:t>$48,641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center"/>
              <w:ind w:right="79"/>
              <w:spacing w:after="0"/>
              <w:rPr>
                <w:sz w:val="20"/>
                <w:szCs w:val="20"/>
                <w:color w:val="auto"/>
              </w:rPr>
            </w:pPr>
            <w:r>
              <w:rPr>
                <w:rFonts w:ascii="Arial" w:cs="Arial" w:eastAsia="Arial" w:hAnsi="Arial"/>
                <w:sz w:val="16"/>
                <w:szCs w:val="16"/>
                <w:color w:val="auto"/>
                <w:w w:val="89"/>
              </w:rPr>
              <w:t>$50,015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$71,753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100"/>
              <w:spacing w:after="0"/>
              <w:rPr>
                <w:sz w:val="20"/>
                <w:szCs w:val="20"/>
                <w:color w:val="auto"/>
              </w:rPr>
            </w:pPr>
            <w:r>
              <w:rPr>
                <w:rFonts w:ascii="Arial" w:cs="Arial" w:eastAsia="Arial" w:hAnsi="Arial"/>
                <w:sz w:val="16"/>
                <w:szCs w:val="16"/>
                <w:color w:val="auto"/>
                <w:w w:val="93"/>
              </w:rPr>
              <w:t>$68,810</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6</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color w:val="auto"/>
                <w:w w:val="93"/>
              </w:rPr>
              <w:t>$7,718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19"/>
              <w:spacing w:after="0"/>
              <w:rPr>
                <w:sz w:val="20"/>
                <w:szCs w:val="20"/>
                <w:color w:val="auto"/>
              </w:rPr>
            </w:pPr>
            <w:r>
              <w:rPr>
                <w:rFonts w:ascii="Arial" w:cs="Arial" w:eastAsia="Arial" w:hAnsi="Arial"/>
                <w:sz w:val="16"/>
                <w:szCs w:val="16"/>
                <w:color w:val="auto"/>
                <w:w w:val="89"/>
              </w:rPr>
              <w:t>$8,817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$9,295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$10,394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89"/>
              </w:rPr>
              <w:t>$9,473</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 xml:space="preserve">Average coupon </w:t>
            </w:r>
            <w:r>
              <w:rPr>
                <w:rFonts w:ascii="Arial" w:cs="Arial" w:eastAsia="Arial" w:hAnsi="Arial"/>
                <w:sz w:val="8"/>
                <w:szCs w:val="8"/>
                <w:color w:val="auto"/>
              </w:rPr>
              <w:t>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2"/>
              </w:rPr>
              <w:t>3.64 %</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3.63 %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3.59 %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3.90 %</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xml:space="preserve">Average asset yield </w:t>
            </w:r>
            <w:r>
              <w:rPr>
                <w:rFonts w:ascii="Arial" w:cs="Arial" w:eastAsia="Arial" w:hAnsi="Arial"/>
                <w:sz w:val="8"/>
                <w:szCs w:val="8"/>
                <w:color w:val="auto"/>
              </w:rPr>
              <w:t>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2.68 %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20" w:type="dxa"/>
            <w:vAlign w:val="bottom"/>
            <w:shd w:val="clear" w:color="auto" w:fill="CCEEFF"/>
          </w:tcPr>
          <w:p>
            <w:pPr>
              <w:spacing w:after="0"/>
              <w:rPr>
                <w:sz w:val="24"/>
                <w:szCs w:val="24"/>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4"/>
                <w:szCs w:val="14"/>
                <w:color w:val="auto"/>
              </w:rPr>
              <w:t xml:space="preserve">Average cost of funds </w:t>
            </w:r>
            <w:r>
              <w:rPr>
                <w:rFonts w:ascii="Arial" w:cs="Arial" w:eastAsia="Arial" w:hAnsi="Arial"/>
                <w:sz w:val="8"/>
                <w:szCs w:val="8"/>
                <w:color w:val="auto"/>
              </w:rPr>
              <w:t>9</w:t>
            </w:r>
          </w:p>
        </w:tc>
        <w:tc>
          <w:tcPr>
            <w:tcW w:w="22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2"/>
              </w:rPr>
              <w:t>(1.49)%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(1.40)%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2"/>
                <w:szCs w:val="22"/>
                <w:color w:val="auto"/>
              </w:rPr>
            </w:pPr>
          </w:p>
        </w:tc>
      </w:tr>
      <w:tr>
        <w:trPr>
          <w:trHeight w:val="276"/>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Average net interest rate spread</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1.23 %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20" w:type="dxa"/>
            <w:vAlign w:val="bottom"/>
            <w:shd w:val="clear" w:color="auto" w:fill="CCEEFF"/>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6" w:right="239" w:bottom="1440" w:gutter="0" w:footer="0" w:header="0"/>
        </w:sectPr>
      </w:pPr>
    </w:p>
    <w:bookmarkStart w:id="28" w:name="page29"/>
    <w:bookmarkEnd w:id="28"/>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Average net interest rate spread, including TBA dollar roll income </w:t>
      </w:r>
      <w:r>
        <w:rPr>
          <w:rFonts w:ascii="Arial" w:cs="Arial" w:eastAsia="Arial" w:hAnsi="Arial"/>
          <w:sz w:val="8"/>
          <w:szCs w:val="8"/>
          <w:color w:val="auto"/>
        </w:rPr>
        <w:t>10</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coupon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asset yield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cost of funds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net interest rate spread </w:t>
      </w:r>
      <w:r>
        <w:rPr>
          <w:rFonts w:ascii="Arial" w:cs="Arial" w:eastAsia="Arial" w:hAnsi="Arial"/>
          <w:sz w:val="14"/>
          <w:szCs w:val="14"/>
          <w:i w:val="1"/>
          <w:iCs w:val="1"/>
          <w:color w:val="auto"/>
        </w:rPr>
        <w:t>(as of period end)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Net comprehensive income return on average common equity </w:t>
      </w:r>
      <w:r>
        <w:rPr>
          <w:rFonts w:ascii="Arial" w:cs="Arial" w:eastAsia="Arial" w:hAnsi="Arial"/>
          <w:sz w:val="8"/>
          <w:szCs w:val="8"/>
          <w:color w:val="auto"/>
        </w:rPr>
        <w:t>12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Economic return on common equity </w:t>
      </w:r>
      <w:r>
        <w:rPr>
          <w:rFonts w:ascii="Arial" w:cs="Arial" w:eastAsia="Arial" w:hAnsi="Arial"/>
          <w:sz w:val="8"/>
          <w:szCs w:val="8"/>
          <w:color w:val="auto"/>
        </w:rPr>
        <w:t>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"at risk" leverage </w:t>
      </w:r>
      <w:r>
        <w:rPr>
          <w:rFonts w:ascii="Arial" w:cs="Arial" w:eastAsia="Arial" w:hAnsi="Arial"/>
          <w:sz w:val="8"/>
          <w:szCs w:val="8"/>
          <w:color w:val="auto"/>
        </w:rPr>
        <w:t>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15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Expenses % of average total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Expenses % of average assets, including average net TBA position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Expenses % of average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1.39 %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1.48 %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1.75 %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1.63 %</w:t>
            </w:r>
          </w:p>
        </w:tc>
        <w:tc>
          <w:tcPr>
            <w:tcW w:w="820" w:type="dxa"/>
            <w:vAlign w:val="bottom"/>
          </w:tcPr>
          <w:p>
            <w:pPr>
              <w:jc w:val="right"/>
              <w:spacing w:after="0"/>
              <w:rPr>
                <w:sz w:val="20"/>
                <w:szCs w:val="20"/>
                <w:color w:val="auto"/>
              </w:rPr>
            </w:pPr>
            <w:r>
              <w:rPr>
                <w:rFonts w:ascii="Arial" w:cs="Arial" w:eastAsia="Arial" w:hAnsi="Arial"/>
                <w:sz w:val="16"/>
                <w:szCs w:val="16"/>
                <w:color w:val="auto"/>
              </w:rPr>
              <w:t>1.77 %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3.61 %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3.63 %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3.65 %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3.58 %</w:t>
            </w:r>
          </w:p>
        </w:tc>
        <w:tc>
          <w:tcPr>
            <w:tcW w:w="820" w:type="dxa"/>
            <w:vAlign w:val="bottom"/>
          </w:tcPr>
          <w:p>
            <w:pPr>
              <w:jc w:val="right"/>
              <w:spacing w:after="0"/>
              <w:rPr>
                <w:sz w:val="20"/>
                <w:szCs w:val="20"/>
                <w:color w:val="auto"/>
              </w:rPr>
            </w:pPr>
            <w:r>
              <w:rPr>
                <w:rFonts w:ascii="Arial" w:cs="Arial" w:eastAsia="Arial" w:hAnsi="Arial"/>
                <w:sz w:val="16"/>
                <w:szCs w:val="16"/>
                <w:color w:val="auto"/>
              </w:rPr>
              <w:t>3.69 %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2.77 %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2.78 %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2.74 %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2.70 %</w:t>
            </w:r>
          </w:p>
        </w:tc>
        <w:tc>
          <w:tcPr>
            <w:tcW w:w="820" w:type="dxa"/>
            <w:vAlign w:val="bottom"/>
          </w:tcPr>
          <w:p>
            <w:pPr>
              <w:jc w:val="right"/>
              <w:spacing w:after="0"/>
              <w:rPr>
                <w:sz w:val="20"/>
                <w:szCs w:val="20"/>
                <w:color w:val="auto"/>
              </w:rPr>
            </w:pPr>
            <w:r>
              <w:rPr>
                <w:rFonts w:ascii="Arial" w:cs="Arial" w:eastAsia="Arial" w:hAnsi="Arial"/>
                <w:sz w:val="16"/>
                <w:szCs w:val="16"/>
                <w:color w:val="auto"/>
              </w:rPr>
              <w:t>2.61 %</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w w:val="89"/>
              </w:rPr>
              <w:t>(1.44)%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(1.65)%</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(1.40)%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(1.31)%</w:t>
            </w:r>
          </w:p>
        </w:tc>
        <w:tc>
          <w:tcPr>
            <w:tcW w:w="8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1.33 %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1.13 %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1.34 %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1.39 %</w:t>
            </w:r>
          </w:p>
        </w:tc>
        <w:tc>
          <w:tcPr>
            <w:tcW w:w="82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rPr>
              <w:t>3.6 %</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(3.6)%</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17.3 %</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(16.6)%</w:t>
            </w:r>
          </w:p>
        </w:tc>
        <w:tc>
          <w:tcPr>
            <w:tcW w:w="820" w:type="dxa"/>
            <w:vAlign w:val="bottom"/>
          </w:tcPr>
          <w:p>
            <w:pPr>
              <w:jc w:val="right"/>
              <w:spacing w:after="0"/>
              <w:rPr>
                <w:sz w:val="20"/>
                <w:szCs w:val="20"/>
                <w:color w:val="auto"/>
              </w:rPr>
            </w:pPr>
            <w:r>
              <w:rPr>
                <w:rFonts w:ascii="Arial" w:cs="Arial" w:eastAsia="Arial" w:hAnsi="Arial"/>
                <w:sz w:val="16"/>
                <w:szCs w:val="16"/>
                <w:color w:val="auto"/>
              </w:rPr>
              <w:t>26.9 %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rPr>
              <w:t>3.9 %</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18.5 %</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(12.5)%</w:t>
            </w:r>
          </w:p>
        </w:tc>
        <w:tc>
          <w:tcPr>
            <w:tcW w:w="820" w:type="dxa"/>
            <w:vAlign w:val="bottom"/>
          </w:tcPr>
          <w:p>
            <w:pPr>
              <w:jc w:val="right"/>
              <w:spacing w:after="0"/>
              <w:rPr>
                <w:sz w:val="20"/>
                <w:szCs w:val="20"/>
                <w:color w:val="auto"/>
              </w:rPr>
            </w:pPr>
            <w:r>
              <w:rPr>
                <w:rFonts w:ascii="Arial" w:cs="Arial" w:eastAsia="Arial" w:hAnsi="Arial"/>
                <w:sz w:val="16"/>
                <w:szCs w:val="16"/>
                <w:color w:val="auto"/>
              </w:rPr>
              <w:t>32.2 %</w:t>
            </w:r>
          </w:p>
        </w:tc>
      </w:tr>
      <w:tr>
        <w:trPr>
          <w:trHeight w:val="270"/>
        </w:trPr>
        <w:tc>
          <w:tcPr>
            <w:tcW w:w="800" w:type="dxa"/>
            <w:vAlign w:val="bottom"/>
          </w:tcPr>
          <w:p>
            <w:pPr>
              <w:jc w:val="right"/>
              <w:ind w:right="399"/>
              <w:spacing w:after="0"/>
              <w:rPr>
                <w:sz w:val="20"/>
                <w:szCs w:val="20"/>
                <w:color w:val="auto"/>
              </w:rPr>
            </w:pPr>
            <w:r>
              <w:rPr>
                <w:rFonts w:ascii="Arial" w:cs="Arial" w:eastAsia="Arial" w:hAnsi="Arial"/>
                <w:sz w:val="16"/>
                <w:szCs w:val="16"/>
                <w:color w:val="auto"/>
                <w:w w:val="84"/>
              </w:rPr>
              <w:t>7.1:1</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6.4:1</w:t>
            </w: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7.0:1</w:t>
            </w: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8.0:1</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7.6:1</w:t>
            </w:r>
          </w:p>
        </w:tc>
      </w:tr>
      <w:tr>
        <w:trPr>
          <w:trHeight w:val="270"/>
        </w:trPr>
        <w:tc>
          <w:tcPr>
            <w:tcW w:w="800" w:type="dxa"/>
            <w:vAlign w:val="bottom"/>
          </w:tcPr>
          <w:p>
            <w:pPr>
              <w:jc w:val="right"/>
              <w:ind w:right="399"/>
              <w:spacing w:after="0"/>
              <w:rPr>
                <w:sz w:val="20"/>
                <w:szCs w:val="20"/>
                <w:color w:val="auto"/>
              </w:rPr>
            </w:pPr>
            <w:r>
              <w:rPr>
                <w:rFonts w:ascii="Arial" w:cs="Arial" w:eastAsia="Arial" w:hAnsi="Arial"/>
                <w:sz w:val="16"/>
                <w:szCs w:val="16"/>
                <w:color w:val="auto"/>
                <w:w w:val="84"/>
              </w:rPr>
              <w:t>7.5:1</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N/A</w:t>
            </w: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N/A</w:t>
            </w: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N/A</w:t>
            </w:r>
          </w:p>
        </w:tc>
      </w:tr>
      <w:tr>
        <w:trPr>
          <w:trHeight w:val="270"/>
        </w:trPr>
        <w:tc>
          <w:tcPr>
            <w:tcW w:w="800" w:type="dxa"/>
            <w:vAlign w:val="bottom"/>
          </w:tcPr>
          <w:p>
            <w:pPr>
              <w:jc w:val="right"/>
              <w:ind w:right="399"/>
              <w:spacing w:after="0"/>
              <w:rPr>
                <w:sz w:val="20"/>
                <w:szCs w:val="20"/>
                <w:color w:val="auto"/>
              </w:rPr>
            </w:pPr>
            <w:r>
              <w:rPr>
                <w:rFonts w:ascii="Arial" w:cs="Arial" w:eastAsia="Arial" w:hAnsi="Arial"/>
                <w:sz w:val="16"/>
                <w:szCs w:val="16"/>
                <w:color w:val="auto"/>
                <w:w w:val="84"/>
              </w:rPr>
              <w:t>7.1:1</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6.8:1</w:t>
            </w: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6.9:1</w:t>
            </w: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7.5:1</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8.2:1</w:t>
            </w:r>
          </w:p>
        </w:tc>
      </w:tr>
      <w:tr>
        <w:trPr>
          <w:trHeight w:val="270"/>
        </w:trPr>
        <w:tc>
          <w:tcPr>
            <w:tcW w:w="800" w:type="dxa"/>
            <w:vAlign w:val="bottom"/>
          </w:tcPr>
          <w:p>
            <w:pPr>
              <w:jc w:val="right"/>
              <w:ind w:right="399"/>
              <w:spacing w:after="0"/>
              <w:rPr>
                <w:sz w:val="20"/>
                <w:szCs w:val="20"/>
                <w:color w:val="auto"/>
              </w:rPr>
            </w:pPr>
            <w:r>
              <w:rPr>
                <w:rFonts w:ascii="Arial" w:cs="Arial" w:eastAsia="Arial" w:hAnsi="Arial"/>
                <w:sz w:val="16"/>
                <w:szCs w:val="16"/>
                <w:color w:val="auto"/>
                <w:w w:val="84"/>
              </w:rPr>
              <w:t>7.7:1</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N/A</w:t>
            </w: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N/A</w:t>
            </w: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N/A</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0.18 %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0.22 %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0.21 %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0.17 %</w:t>
            </w:r>
          </w:p>
        </w:tc>
        <w:tc>
          <w:tcPr>
            <w:tcW w:w="820" w:type="dxa"/>
            <w:vAlign w:val="bottom"/>
          </w:tcPr>
          <w:p>
            <w:pPr>
              <w:jc w:val="right"/>
              <w:spacing w:after="0"/>
              <w:rPr>
                <w:sz w:val="20"/>
                <w:szCs w:val="20"/>
                <w:color w:val="auto"/>
              </w:rPr>
            </w:pPr>
            <w:r>
              <w:rPr>
                <w:rFonts w:ascii="Arial" w:cs="Arial" w:eastAsia="Arial" w:hAnsi="Arial"/>
                <w:sz w:val="16"/>
                <w:szCs w:val="16"/>
                <w:color w:val="auto"/>
              </w:rPr>
              <w:t>0.17 %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0.16 %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0.20 %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0.18 %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0.15 %</w:t>
            </w:r>
          </w:p>
        </w:tc>
        <w:tc>
          <w:tcPr>
            <w:tcW w:w="820" w:type="dxa"/>
            <w:vAlign w:val="bottom"/>
          </w:tcPr>
          <w:p>
            <w:pPr>
              <w:jc w:val="right"/>
              <w:spacing w:after="0"/>
              <w:rPr>
                <w:sz w:val="20"/>
                <w:szCs w:val="20"/>
                <w:color w:val="auto"/>
              </w:rPr>
            </w:pPr>
            <w:r>
              <w:rPr>
                <w:rFonts w:ascii="Arial" w:cs="Arial" w:eastAsia="Arial" w:hAnsi="Arial"/>
                <w:sz w:val="16"/>
                <w:szCs w:val="16"/>
                <w:color w:val="auto"/>
              </w:rPr>
              <w:t>0.16 %</w:t>
            </w:r>
          </w:p>
        </w:tc>
      </w:tr>
      <w:tr>
        <w:trPr>
          <w:trHeight w:val="270"/>
        </w:trPr>
        <w:tc>
          <w:tcPr>
            <w:tcW w:w="800" w:type="dxa"/>
            <w:vAlign w:val="bottom"/>
          </w:tcPr>
          <w:p>
            <w:pPr>
              <w:jc w:val="right"/>
              <w:ind w:right="219"/>
              <w:spacing w:after="0"/>
              <w:rPr>
                <w:sz w:val="20"/>
                <w:szCs w:val="20"/>
                <w:color w:val="auto"/>
              </w:rPr>
            </w:pPr>
            <w:r>
              <w:rPr>
                <w:rFonts w:ascii="Arial" w:cs="Arial" w:eastAsia="Arial" w:hAnsi="Arial"/>
                <w:sz w:val="16"/>
                <w:szCs w:val="16"/>
                <w:color w:val="auto"/>
                <w:w w:val="96"/>
              </w:rPr>
              <w:t>1.36 %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1.58 %</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1.52 %</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1.61 %</w:t>
            </w:r>
          </w:p>
        </w:tc>
        <w:tc>
          <w:tcPr>
            <w:tcW w:w="820" w:type="dxa"/>
            <w:vAlign w:val="bottom"/>
          </w:tcPr>
          <w:p>
            <w:pPr>
              <w:jc w:val="right"/>
              <w:spacing w:after="0"/>
              <w:rPr>
                <w:sz w:val="20"/>
                <w:szCs w:val="20"/>
                <w:color w:val="auto"/>
              </w:rPr>
            </w:pPr>
            <w:r>
              <w:rPr>
                <w:rFonts w:ascii="Arial" w:cs="Arial" w:eastAsia="Arial" w:hAnsi="Arial"/>
                <w:sz w:val="16"/>
                <w:szCs w:val="16"/>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-2207895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-1864995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-1522095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-1179195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-835660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-492760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-149860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5780" w:space="720"/>
            <w:col w:w="4920"/>
          </w:cols>
          <w:pgMar w:left="240" w:top="764" w:right="239" w:bottom="1440" w:gutter="0" w:footer="0" w:header="0"/>
        </w:sect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right="4580" w:hanging="8"/>
        <w:spacing w:after="0" w:line="255" w:lineRule="auto"/>
        <w:tabs>
          <w:tab w:leader="none" w:pos="448"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Except as noted below, average numbers for each period are weighted based on days on our books and records. N/A - Not applicable</w:t>
      </w:r>
    </w:p>
    <w:p>
      <w:pPr>
        <w:spacing w:after="0" w:line="132" w:lineRule="exact"/>
        <w:rPr>
          <w:sz w:val="20"/>
          <w:szCs w:val="20"/>
          <w:color w:val="auto"/>
        </w:rPr>
      </w:pPr>
    </w:p>
    <w:p>
      <w:pPr>
        <w:ind w:left="980" w:hanging="648"/>
        <w:spacing w:after="0" w:line="250"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Tangible net asset value per common share excludes goodwill and other intangible assets, net.</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We voluntarily discontinued hedge accounting for our interest rate swaps as of September 30, 2011. Please refer to our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in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of Financial Condition and Results of Operations </w:t>
      </w:r>
      <w:r>
        <w:rPr>
          <w:rFonts w:ascii="Arial" w:cs="Arial" w:eastAsia="Arial" w:hAnsi="Arial"/>
          <w:sz w:val="14"/>
          <w:szCs w:val="14"/>
          <w:color w:val="auto"/>
        </w:rPr>
        <w:t>and Notes 2 and 5 of our</w:t>
      </w:r>
      <w:r>
        <w:rPr>
          <w:rFonts w:ascii="Arial" w:cs="Arial" w:eastAsia="Arial" w:hAnsi="Arial"/>
          <w:sz w:val="14"/>
          <w:szCs w:val="14"/>
          <w:i w:val="1"/>
          <w:iCs w:val="1"/>
          <w:color w:val="auto"/>
        </w:rPr>
        <w:t xml:space="preserve"> Consolidated Financial Statements </w:t>
      </w:r>
      <w:r>
        <w:rPr>
          <w:rFonts w:ascii="Arial" w:cs="Arial" w:eastAsia="Arial" w:hAnsi="Arial"/>
          <w:sz w:val="14"/>
          <w:szCs w:val="14"/>
          <w:color w:val="auto"/>
        </w:rPr>
        <w:t>in this Form 10-K for additional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regarding our discontinuance of hedge accounting.</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assets/(liabilities), at fair value on our accompanying consolidated balance sheets.</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mortgage borrowings include repurchase agreements used to fund Agency securities ("Agency repo"), FHLB advances and debt of consolidated VIEs. Amount excludes U.S. Treasury repo agreements and TBA contracts.</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Average coupon for the period was calculated by dividing our total coupon (or cash) interest income on investment securities by our average investment securities held at par.</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TBA dollar roll income/(loss) is net of short TBAs used for hedging purposes and is recognized in gain (loss) on derivative instruments and other securities, net.</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cost of funds as of period end includes mortgage borrowings outstanding and interest rate swap hedges. Amount excludes costs associated with other supplemental hedges such as swaptions, U.S. Treasuries and TBA positions.</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Economic return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"at risk" leverage is calculated by dividing the sum of our daily weighted average mortgage borrowings outstanding and our weighted average net TBA dollar position (at cost) for the period by the sum of our average stockholders' equity less our average investment in REIT equity securities for the period. Leverage excludes U.S. Treasury repurchase agreements.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our mortgage borrowings outstanding, our receivable/payable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AGNC Investment Corp.'s consolidated financial statements with a narrative from the perspective of management. Our MD&amp;A is presented in eight sections:</w:t>
      </w:r>
    </w:p>
    <w:p>
      <w:pPr>
        <w:spacing w:after="0" w:line="11"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4" w:right="239" w:bottom="1440" w:gutter="0" w:footer="0" w:header="0"/>
          <w:type w:val="continuous"/>
        </w:sectPr>
      </w:pPr>
    </w:p>
    <w:bookmarkStart w:id="29" w:name="page30"/>
    <w:bookmarkEnd w:id="29"/>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2016 proved to be a challenging year for many fixed income investments as U.S. interest rates fluctuated significantly during the year in response to changing views on economic growth both domestically and abroad. The yield on the 10 year U.S. Treasury security, for example, hit a low of 1.36% in July following the Brexit vote in the United Kingdom and a high of 2.60% in December following the U.S. Presidential election. Our view at the beginning of the year was that U.S. interest rates would remain "lower for longer," based upon the belief that global economic weakness, secular labor trends and accelerating technological advances would lead to moderate employment growth and persistently low inflation both in the U.S. and globally, thus making it difficult for the the Fed to move away from its ultra-accommodative stance on monetary policy. This view proved to be the emerging scenario for most of the year, and as a result, the Fed refrained from raising rates for most of the year. Following the unanticipated outcome of the U.S. Presidential election in November, however, the direction and level of U.S. interest rates became less certain as expectations for economic growth in the U.S. improved markedly and as the Fed raised the Federal Funds rate by 0.25% in December.</w:t>
      </w:r>
    </w:p>
    <w:p>
      <w:pPr>
        <w:spacing w:after="0" w:line="12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changing interest rate landscape in the U.S. over the course of the year caused Agency RMBS to underperform swap and U.S. Treasury rates. This spread widening negatively impacted AGNC’s net asset value, but also improved the return profile on new investments. In response to more favorable investment opportunities, we increased our tangible net book value "at risk" leverage to 7.7x as of December 31, 2016, from 6.8x as of December 31, 2015. Our tangible net book value excludes $554 million of goodwill as of December 31, 2016, which we recorded in connection with our acquisition of AMM. This increase in leverage improves the earnings profile of our portfolio but also increases the sensitivity of our net asset value to fluctuations in the spread between Agency RMBS and other benchmark rates.</w:t>
      </w:r>
    </w:p>
    <w:p>
      <w:pPr>
        <w:spacing w:after="0" w:line="13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also adjusted the composition of our asset portfolio during the year. Our mix of fixed rate 15 year and 30 year securities (including TBAs) remained relatively stable throughout the year, at 27% and 73%, respectively, as of December 31, 2016, but the weighted average loan age, or "seasoning," of our portfolio increased significantly over the year. As of December 31, 2016, the weighted average loan age of our 15 year and 30 year Agency RMBS positions were approximately 5.0 years and 3.4 years, respectively. In aggregate, 75% of our on-balance sheet Agency RMBS position had a weighted average loan age of at least 3.0 years as of December 31, 2016, compared to 62% as of December 31, 2015 and less than 5% was during the "taper tantrum" in 2013. The increase in the weighted average loan age of our Agency RMBS should reduce prepayment speed variability of our portfolio and, therefore, require less interest rate hedging, all other things equal.</w:t>
      </w:r>
    </w:p>
    <w:p>
      <w:pPr>
        <w:spacing w:after="0" w:line="1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response to higher interest rates and the extension of the duration of our Agency RMBS, particularly in the fourth quarter, we increased the size of our hedge portfolio. As a result, our hedge ratio increased to 91% of our funding liabilities (Agency repo, TBA and other debt) as of December 31, 2016, from an intra-year low of 75% as of September 30, 2016 and from 87% as of December 31, 2015. Ongoing portfolio rebalancing actions during the year, as well as the cumulative increase in our hedge position, enabled us to keep our net asset duration gap relatively stable throughout the year. Our net asset duration gap, which is a measure of our portfolio’s interest rate sensitivity, net of hedges, was 1.1 years as of December 31, 2016, compared to 0.8 years as of December 31, 2015.</w:t>
      </w:r>
    </w:p>
    <w:p>
      <w:pPr>
        <w:spacing w:after="0" w:line="13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funding landscape for Agency RMBS improved in 2016 as a result of the implementation of money market reform requirements, which took effect in October of 2016 and caused a sizable reallocation of assets from prime funds to U.S. Government bond money market funds. This shift of capital to U.S. Government money market funds was supportive of repo backed by Agency RMBS, ultimately reducing our funding costs relative to LIBOR. As we receive a floating LIBOR rate on our pay fixed/receive floating interest rate swaps, the resultant decline in the spread between our repo borrowing costs and LIBOR had the effect of lowering our all-in cost of funds on the portion of our debt that we have hedged with pay fixed swaps.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38" w:right="239" w:bottom="1440" w:gutter="0" w:footer="0" w:header="0"/>
        </w:sectPr>
      </w:pPr>
    </w:p>
    <w:bookmarkStart w:id="30" w:name="page31"/>
    <w:bookmarkEnd w:id="30"/>
    <w:p>
      <w:pPr>
        <w:jc w:val="both"/>
        <w:ind w:firstLine="486"/>
        <w:spacing w:after="0" w:line="259" w:lineRule="auto"/>
        <w:rPr>
          <w:sz w:val="20"/>
          <w:szCs w:val="20"/>
          <w:color w:val="auto"/>
        </w:rPr>
      </w:pPr>
      <w:r>
        <w:rPr>
          <w:rFonts w:ascii="Arial" w:cs="Arial" w:eastAsia="Arial" w:hAnsi="Arial"/>
          <w:sz w:val="18"/>
          <w:szCs w:val="18"/>
          <w:color w:val="auto"/>
        </w:rPr>
        <w:t>In addition, our wholly-owned captive broker-dealer subsidiary, BES, became fully operational in the third quarter of 2016 as a member of the FICC, providing us with access to additional repo funding with favorable rates and haircuts relative to traditional bilateral repo arrangements. As of December 31, 2016, we had placed approximately $4.7 billion of repo financing at BES, providing further diversification of our funding sources and reducing our net interest expense. We anticipate transitioning a greater share of our repo funding to BES during 2017.</w:t>
      </w:r>
    </w:p>
    <w:p>
      <w:pPr>
        <w:spacing w:after="0" w:line="1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the third quarter of 2016, our Board of Directors expanded our investment guidelines to include credit-sensitive assets, including CRT securities issued by the GSEs and other third parties. We believe CRT securities provide a compelling opportunity to invest in conforming credit, which has previously been the exclusive purview of the GSEs, and could provide incremental returns to our existing Agency RMBS investments over the longer term.</w:t>
      </w:r>
    </w:p>
    <w:p>
      <w:pPr>
        <w:spacing w:after="0" w:line="9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net asset value declined to $21.17 per common share as of December 31, 2016, from $22.59 per common share as of December 31, 2015. Our tangible net book value per common share was $19.50 per common share as of December 31, 2016. The loss in our net asset value was predominately a result of wider spreads on agency MBS relative to benchmark interest rates and the large increase in interest rates experienced during the fourth quarter.</w:t>
      </w:r>
    </w:p>
    <w:p>
      <w:pPr>
        <w:spacing w:after="0" w:line="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economic return on common equity was 3.9% for 2016, comprised of dividends declared per common share of $2.30 and a loss in net asset value of $1.42 per common share. Our total return on our common stock, which includes stock price appreciation and dividend reinvestments, was 18.2% for the year.</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widening of Agency RMBS spreads and favorable funding dynamics that occurred over the course of 2016 have improved the risk-adjusted returns on Agency RMBS investments. In addition, with AGNC’s recent expansion into credit-sensitive investments, we believe that opportunistic investments in CRT securities can provide incremental returns that are less correlated with the interest rate exposure inherent in our Agency RMBS portfolio. Portfolio returns could be further supported by either higher leverage or a reduction in aggregate hedge or funding cost.</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Finally, on July 1, 2016, we completed the acquisition of our external Manager, AMM, thereby internalizing our management, which lowers our operating costs and generates management fee income from managing MTGE.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 31,</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 31,</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 31,</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2016</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 31, 2015</w:t>
            </w:r>
          </w:p>
        </w:tc>
        <w:tc>
          <w:tcPr>
            <w:tcW w:w="0" w:type="dxa"/>
            <w:vAlign w:val="bottom"/>
          </w:tcPr>
          <w:p>
            <w:pPr>
              <w:spacing w:after="0"/>
              <w:rPr>
                <w:sz w:val="1"/>
                <w:szCs w:val="1"/>
                <w:color w:val="auto"/>
              </w:rPr>
            </w:pPr>
          </w:p>
        </w:tc>
      </w:tr>
      <w:tr>
        <w:trPr>
          <w:trHeight w:val="270"/>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0.43%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0.47%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0.53%</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0.77%</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+0.34</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0.85%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0.90%</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1.24%</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+0.46</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0.59%</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0.76%</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1.20%</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+0.14</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0.70%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1.15%</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1.92%</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+0.15</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3.01%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2.31%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3.05%</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+0.04</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1.17%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0.85%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0.74%</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1.46%</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+0.29</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1.18%</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1.18%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1.96%</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+0.23</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6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97"/>
              </w:rPr>
              <w:t>bps</w:t>
            </w:r>
          </w:p>
        </w:tc>
        <w:tc>
          <w:tcPr>
            <w:tcW w:w="0" w:type="dxa"/>
            <w:vAlign w:val="bottom"/>
          </w:tcPr>
          <w:p>
            <w:pPr>
              <w:spacing w:after="0"/>
              <w:rPr>
                <w:sz w:val="1"/>
                <w:szCs w:val="1"/>
                <w:color w:val="auto"/>
              </w:rPr>
            </w:pPr>
          </w:p>
        </w:tc>
      </w:tr>
      <w:tr>
        <w:trPr>
          <w:trHeight w:val="264"/>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2.13%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1.84%</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1.78%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2.57%</w:t>
            </w:r>
          </w:p>
        </w:tc>
        <w:tc>
          <w:tcPr>
            <w:tcW w:w="100" w:type="dxa"/>
            <w:vAlign w:val="bottom"/>
          </w:tcPr>
          <w:p>
            <w:pPr>
              <w:spacing w:after="0"/>
              <w:rPr>
                <w:sz w:val="22"/>
                <w:szCs w:val="22"/>
                <w:color w:val="auto"/>
              </w:rPr>
            </w:pPr>
          </w:p>
        </w:tc>
        <w:tc>
          <w:tcPr>
            <w:tcW w:w="1340" w:type="dxa"/>
            <w:vAlign w:val="bottom"/>
            <w:gridSpan w:val="2"/>
          </w:tcPr>
          <w:p>
            <w:pPr>
              <w:jc w:val="right"/>
              <w:ind w:right="348"/>
              <w:spacing w:after="0"/>
              <w:rPr>
                <w:sz w:val="20"/>
                <w:szCs w:val="20"/>
                <w:color w:val="auto"/>
              </w:rPr>
            </w:pPr>
            <w:r>
              <w:rPr>
                <w:rFonts w:ascii="Arial" w:cs="Arial" w:eastAsia="Arial" w:hAnsi="Arial"/>
                <w:sz w:val="14"/>
                <w:szCs w:val="14"/>
                <w:color w:val="auto"/>
              </w:rPr>
              <w:t>-0.05 bps</w:t>
            </w:r>
          </w:p>
        </w:tc>
        <w:tc>
          <w:tcPr>
            <w:tcW w:w="0" w:type="dxa"/>
            <w:vAlign w:val="bottom"/>
          </w:tcPr>
          <w:p>
            <w:pPr>
              <w:spacing w:after="0"/>
              <w:rPr>
                <w:sz w:val="1"/>
                <w:szCs w:val="1"/>
                <w:color w:val="auto"/>
              </w:rPr>
            </w:pPr>
          </w:p>
        </w:tc>
      </w:tr>
      <w:tr>
        <w:trPr>
          <w:trHeight w:val="276"/>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$100.01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$102.59</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$103.75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$103.95</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$99.38</w:t>
            </w:r>
          </w:p>
        </w:tc>
        <w:tc>
          <w:tcPr>
            <w:tcW w:w="10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5"/>
              </w:rPr>
              <w:t>-$0.63</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$102.50</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-$0.68</w:t>
            </w:r>
          </w:p>
        </w:tc>
        <w:tc>
          <w:tcPr>
            <w:tcW w:w="0" w:type="dxa"/>
            <w:vAlign w:val="bottom"/>
          </w:tcPr>
          <w:p>
            <w:pPr>
              <w:spacing w:after="0"/>
              <w:rPr>
                <w:sz w:val="1"/>
                <w:szCs w:val="1"/>
                <w:color w:val="auto"/>
              </w:rPr>
            </w:pPr>
          </w:p>
        </w:tc>
      </w:tr>
      <w:tr>
        <w:trPr>
          <w:trHeight w:val="264"/>
        </w:trPr>
        <w:tc>
          <w:tcPr>
            <w:tcW w:w="346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$105.83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$106.86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$107.23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$107.41</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$105.13</w:t>
            </w:r>
          </w:p>
        </w:tc>
        <w:tc>
          <w:tcPr>
            <w:tcW w:w="10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5"/>
              </w:rPr>
              <w:t>-$0.70</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$108.82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$109.17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$109.52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$107.51</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-$0.49</w:t>
            </w:r>
          </w:p>
        </w:tc>
        <w:tc>
          <w:tcPr>
            <w:tcW w:w="0" w:type="dxa"/>
            <w:vAlign w:val="bottom"/>
          </w:tcPr>
          <w:p>
            <w:pPr>
              <w:spacing w:after="0"/>
              <w:rPr>
                <w:sz w:val="1"/>
                <w:szCs w:val="1"/>
                <w:color w:val="auto"/>
              </w:rPr>
            </w:pPr>
          </w:p>
        </w:tc>
      </w:tr>
      <w:tr>
        <w:trPr>
          <w:trHeight w:val="264"/>
        </w:trPr>
        <w:tc>
          <w:tcPr>
            <w:tcW w:w="358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$103.48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$100.20</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-$0.60</w:t>
            </w:r>
          </w:p>
        </w:tc>
        <w:tc>
          <w:tcPr>
            <w:tcW w:w="0" w:type="dxa"/>
            <w:vAlign w:val="bottom"/>
          </w:tcPr>
          <w:p>
            <w:pPr>
              <w:spacing w:after="0"/>
              <w:rPr>
                <w:sz w:val="1"/>
                <w:szCs w:val="1"/>
                <w:color w:val="auto"/>
              </w:rPr>
            </w:pPr>
          </w:p>
        </w:tc>
      </w:tr>
      <w:tr>
        <w:trPr>
          <w:trHeight w:val="264"/>
        </w:trPr>
        <w:tc>
          <w:tcPr>
            <w:tcW w:w="346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$103.02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$104.47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$104.84</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$104.99</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$102.62</w:t>
            </w:r>
          </w:p>
        </w:tc>
        <w:tc>
          <w:tcPr>
            <w:tcW w:w="10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5"/>
              </w:rPr>
              <w:t>-$0.40</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$104.17</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-$0.55</w:t>
            </w:r>
          </w:p>
        </w:tc>
        <w:tc>
          <w:tcPr>
            <w:tcW w:w="0" w:type="dxa"/>
            <w:vAlign w:val="bottom"/>
          </w:tcPr>
          <w:p>
            <w:pPr>
              <w:spacing w:after="0"/>
              <w:rPr>
                <w:sz w:val="1"/>
                <w:szCs w:val="1"/>
                <w:color w:val="auto"/>
              </w:rPr>
            </w:pPr>
          </w:p>
        </w:tc>
      </w:tr>
      <w:tr>
        <w:trPr>
          <w:trHeight w:val="256"/>
        </w:trPr>
        <w:tc>
          <w:tcPr>
            <w:tcW w:w="346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$104.41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$104.31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$103.81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$103.73</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$102.69</w:t>
            </w:r>
          </w:p>
        </w:tc>
        <w:tc>
          <w:tcPr>
            <w:tcW w:w="10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5"/>
              </w:rPr>
              <w:t>-$1.72</w:t>
            </w:r>
          </w:p>
        </w:tc>
        <w:tc>
          <w:tcPr>
            <w:tcW w:w="0" w:type="dxa"/>
            <w:vAlign w:val="bottom"/>
          </w:tcPr>
          <w:p>
            <w:pPr>
              <w:spacing w:after="0"/>
              <w:rPr>
                <w:sz w:val="1"/>
                <w:szCs w:val="1"/>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monthly weighted average actual one-month annualized constant prepayment rates on our investment portfolio during fiscal year 2016.</w:t>
      </w:r>
    </w:p>
    <w:p>
      <w:pPr>
        <w:spacing w:after="0" w:line="270"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Annualized Monthly Constant Prepayment Rates</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Dec.</w:t>
            </w:r>
          </w:p>
        </w:tc>
      </w:tr>
      <w:tr>
        <w:trPr>
          <w:trHeight w:val="162"/>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r>
      <w:tr>
        <w:trPr>
          <w:trHeight w:val="238"/>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0"/>
                <w:szCs w:val="20"/>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0"/>
                <w:szCs w:val="20"/>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-163195</wp:posOffset>
            </wp:positionV>
            <wp:extent cx="71094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946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and 2015, our investment portfolio consisted of $46.5 billion and $52.5 billion of investment securities, at fair value, respectively, and an $11.2 billion and $7.4 billion net long TBA position, at fair value, respectively. The following table is a summary of our investment portfolio as of December 31, 2016 and 2015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Portfolio (Includes TBAs)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17,158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31,553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31,052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32,790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32,570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8,993</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40,677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39,720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55,901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57,966</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1,343</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57,376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59,804</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58,181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57,664</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59,917</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 is recorded as derivative instruments in our accompanying consolidated financial statements, with the TBA dollar roll transactions representing a form of off-balance sheet financing. As of December 31, 2016 and 2015, our TBA position had a net carrying value of $(147) million and $14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p>
      <w:pPr>
        <w:ind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RMBS fixed rate portfolio, inclusive of our net TBA position, as of December 31, 2016 and 2015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22%</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73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7,357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13,464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14,224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December 31, 2016.</w:t>
      </w:r>
    </w:p>
    <w:p>
      <w:pPr>
        <w:jc w:val="both"/>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113% and 135% for 15-year and 30-year securities, respectively, as of December 31, 2016. Includes $0.8 billion and $5.1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28%</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$98,000 for 15-year and 30-year securities, respectively, as of December 31, 2015.</w:t>
      </w:r>
    </w:p>
    <w:p>
      <w:pPr>
        <w:ind w:left="980" w:hanging="648"/>
        <w:spacing w:after="0" w:line="241" w:lineRule="auto"/>
        <w:tabs>
          <w:tab w:leader="none" w:pos="6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110% and 127% for 15-year and 30-year securities, respectively, as of December 31, 2015. Includes $0.9 billion and $4.0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2015.</w:t>
      </w:r>
    </w:p>
    <w:p>
      <w:pPr>
        <w:spacing w:after="0" w:line="1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2016 and 2015, the combined weighted average yield on our investment securities (excluding TBAs) was 2.77% and 2.78%, respectively.</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pass-through Agency RMBS collateralized by adjustable rate mortgage loans, or ARMs, have coupons linked to various indices. As of December 31, 2016 and 2015, our ARM securities had a weighted average next reset date of 39 months and 46 months,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2015, our investments in non-Agency securities had the following credit ratings:</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December 31, 2015</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Non-Agency Security Credit Ratings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CMBS</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CRT</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CMBS</w:t>
            </w:r>
          </w:p>
        </w:tc>
      </w:tr>
      <w:tr>
        <w:trPr>
          <w:trHeight w:val="25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264"/>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27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244"/>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0</wp:posOffset>
            </wp:positionV>
            <wp:extent cx="4459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-98425</wp:posOffset>
            </wp:positionV>
            <wp:extent cx="4459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68" w:right="239" w:bottom="1440" w:gutter="0" w:footer="0" w:header="0"/>
        </w:sectPr>
      </w:pPr>
    </w:p>
    <w:bookmarkStart w:id="35" w:name="page36"/>
    <w:bookmarkEnd w:id="35"/>
    <w:p>
      <w:pPr>
        <w:jc w:val="both"/>
        <w:ind w:firstLine="432"/>
        <w:spacing w:after="0" w:line="286" w:lineRule="auto"/>
        <w:rPr>
          <w:sz w:val="20"/>
          <w:szCs w:val="20"/>
          <w:color w:val="auto"/>
        </w:rPr>
      </w:pPr>
      <w:r>
        <w:rPr>
          <w:rFonts w:ascii="Arial" w:cs="Arial" w:eastAsia="Arial" w:hAnsi="Arial"/>
          <w:sz w:val="17"/>
          <w:szCs w:val="17"/>
          <w:color w:val="auto"/>
        </w:rPr>
        <w:t>Our CRT securities reference the performance of loans that have been guaranteed by Fannie Mae or Freddie Mac, subject to their underwriting standards. As of December 31, 2016, our CRT securities had floating rate coupons ranging from 4.6% to 7.1%, with weighted average coupons of underlying collateral ranging from 4.0% to 4.2%. The loans underlying our CRT securities were originated between 2015 and 2016.</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critical accounting estimates relate to the recognition of interest income and the fair value of our investments and derivatives. Certain of these items involve estimates that require management to make judgments that are subjective in nature. We rely on our experience and analysis of historical and current market data in order to arrive at what we believe to be reasonable estimates. Under different conditions, we could report materially different amounts based on such estimates. The remainder of our significant accounting policies are described in Note 2 to the Consolidated Financial Statements included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yield on our Agency RMBS and non-Agency securities of high credit quality is highly impacted by our estimate of future prepayments. We accrue interest income based on the outstanding principal amount and their contractual terms and we amortize or accrete premiums and discounts associated with our purchase of these securities into interest income over the projected lives of the securities, including contractual payments and estimated prepayments, using the interest method. The weighted average cost basis of our securities as of December 31, 2016 was 104.7% of par value; therefore, faster actual or projected prepayments can have a meaningful negative impact, while slower actual or projected prepayments can have a meaningful positive impact, on our asset yields.</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Future prepayment rates are difficult to predict and we rely on a third-party service provider and our experience and analysis of historical and current market data in order to arrive at what we believe to be reasonable estimates. We use a third-party service to provide estimates for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judgment, we may make adjustments to their estimates.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previously estimated future prepayments and (ii) actual prepayments to date plus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Consequently, under different conditions, we could report materially different amounts. Item 7A. </w:t>
      </w:r>
      <w:r>
        <w:rPr>
          <w:rFonts w:ascii="Arial" w:cs="Arial" w:eastAsia="Arial" w:hAnsi="Arial"/>
          <w:sz w:val="17"/>
          <w:szCs w:val="17"/>
          <w:i w:val="1"/>
          <w:iCs w:val="1"/>
          <w:color w:val="auto"/>
        </w:rPr>
        <w:t>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in this Form 10-K includes the estimated change in our net interest income should interest rates go up or down by 50 and 100 basis points,</w:t>
      </w:r>
      <w:r>
        <w:rPr>
          <w:rFonts w:ascii="Arial" w:cs="Arial" w:eastAsia="Arial" w:hAnsi="Arial"/>
          <w:sz w:val="17"/>
          <w:szCs w:val="17"/>
          <w:i w:val="1"/>
          <w:iCs w:val="1"/>
          <w:color w:val="auto"/>
        </w:rPr>
        <w:t xml:space="preserve"> </w:t>
      </w:r>
      <w:r>
        <w:rPr>
          <w:rFonts w:ascii="Arial" w:cs="Arial" w:eastAsia="Arial" w:hAnsi="Arial"/>
          <w:sz w:val="17"/>
          <w:szCs w:val="17"/>
          <w:color w:val="auto"/>
        </w:rPr>
        <w:t>assuming the yield curves of the rate shocks will be parallel to each other and the current yield curve.</w:t>
      </w:r>
    </w:p>
    <w:p>
      <w:pPr>
        <w:spacing w:after="0" w:line="11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At the time we purchase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and our judgment about interest rates, prepayment rates, the timing and amount of credit losses, and other factors. Any resulting changes in effective yield are recognized prospectively based on the current amortized cost of the investment as adjusted for credit impairment, if any. Our cash flow estimates for these investments are based on our judgment and observations of current information and events. These estimates include assumptions related to interest rates, prepayment rates and the timing and amount of credit losses. Furthermore, other market participants could use materially different assumptions with respect to default rates, severities, loss timing, or prepayments. Our assumptions are subject to future events that may impact our estimates and interest income, and as a result, actual results may differ significantly from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Investment Securities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estimate the fair value of our investment securities based on a market approach using "Level 2" inputs from third-party pricing services and non-binding dealer quotes derived from common market pricing methods. Such methods incorporate, but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93" w:lineRule="auto"/>
        <w:rPr>
          <w:sz w:val="20"/>
          <w:szCs w:val="20"/>
          <w:color w:val="auto"/>
        </w:rPr>
      </w:pPr>
      <w:r>
        <w:rPr>
          <w:rFonts w:ascii="Arial" w:cs="Arial" w:eastAsia="Arial" w:hAnsi="Arial"/>
          <w:sz w:val="16"/>
          <w:szCs w:val="16"/>
          <w:color w:val="auto"/>
        </w:rPr>
        <w:t>are not limited to, reported trades and executable bid and ask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generally obtain 3 to 6 quotes or prices (referred to as "marks") per security. We attempt to validate marks obtained from pricing services and broker dealers by comparing them to our recent completed transactions involving the same or similar securities on or near the reporting date. Changes in the market environment and other events that may occur over the life of our investments may cause the gains or losses ultimately realized on these investments to be different from the valuations currently estimated.</w:t>
      </w:r>
    </w:p>
    <w:p>
      <w:pPr>
        <w:spacing w:after="0" w:line="11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also evaluate our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allows us to obtain competitive bids and execute on a sale transaction typically within a day of making the decision to sell a security, we generally do not make decisions to sell specific mortgage securities until shortly prior to initiating a sell order. In some instances, we may sell specific Agency securities by delivering the securities into existing short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unrealized gains and losses for securities designated as available-for-sale are recognized in OCI, any impairment loss for non-credit components is already recognized in OCI.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Instruments/Hedging Activity</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use a variety of derivative instruments to reduce our exposure to market risks, including interest rate, prepayment, extension and credit risks. Our risk management objective is to reduce fluctuations in net asset value over a range of interest rate scenarios. The principal instruments that we use are interest rate swaps and swaptions. We also utilize TBA contracts for the forward purchase or sale of Agency RMBS securities on a generic pool basis and we utilize U.S. Treasury securities and U.S. Treasury futures contracts, primarily through short sales. We may also purchase or write put or call options on TBA securities and utilize other types of derivative instruments to hedge a portion of our risk.</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recognize all derivatives as either assets or liabilities on the balance sheet, measured at fair value. Since discontinuing hedge accounting in 2011, we do not designate any of our derivative instruments as hedges for GAAP accounting purposes; therefore, all changes in the fair value of our derivative instruments are reported in earnings in our consolidated statement of comprehensive income in gain (loss) on derivatives and other securities, net during the period in which they occur.</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estimate the fair value of our derivative instruments using "Level 1" inputs from unadjusted quoted prices for identical instruments in active markets or "Level 2" inputs from third-party pricing services, non-binding dealer quotes and/or daily settlement prices from central clearing exchanges, which are derived from common market pricing methods. In considering the effect of nonperformance risk on our estimate of fair value, we consider the impact of netting and credit enhancements, such as collateral postings and guarantees, and have concluded that neither our own nor our counterparty risk is significant to the overall valuation of these agreements.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"Adjusted net interest expense" is measured as interest expense (GAAP measure) adjusted to include other interest rate swap periodic costs. "Net spread and dollar roll income" is measured as (i) net interest income (GAAP measure) adjusted to include other interest rate swap periodic costs, TBA dollar roll income, management fee income and dividends on REIT equity securities (referred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8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statement of operations, are economically equivalent to holding and financing generic Agency RMBS using short-term repurchase agreements. Similarly, we believe that the inclusion of periodic interest rate swap settlements in such measure and in "adjusted net interest expense," which are recognized under GAAP in other gain (loss), is meaningful as interest rate swaps are the primary instrument we use to economically hedge against fluctuations in our borrowing costs and inclusion of all periodic interest rate swap settlement costs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non-recurring transactions costs reported in general, administrative and other expense under GAAP is meaningful as they represent non-recurring transaction costs associated with our acquisition of AMM and are not representative of ongoing operating costs. In the case of estimated taxable income, we believe it is meaningful information because it directly relates to the amount of dividends we are required to distribute in order to maintain our REIT qualification status.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fiscal years 2016 and 2015 (dollars in millions):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1"/>
              </w:rPr>
              <w:t>Fiscal Year 2016</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9"/>
              </w:rPr>
              <w:t>Fiscal Year 2015</w:t>
            </w:r>
          </w:p>
        </w:tc>
        <w:tc>
          <w:tcPr>
            <w:tcW w:w="84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22"/>
                <w:szCs w:val="22"/>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428"/>
              <w:spacing w:after="0"/>
              <w:rPr>
                <w:sz w:val="20"/>
                <w:szCs w:val="20"/>
                <w:color w:val="auto"/>
              </w:rPr>
            </w:pPr>
            <w:r>
              <w:rPr>
                <w:rFonts w:ascii="Arial" w:cs="Arial" w:eastAsia="Arial" w:hAnsi="Arial"/>
                <w:sz w:val="14"/>
                <w:szCs w:val="14"/>
                <w:b w:val="1"/>
                <w:bCs w:val="1"/>
                <w:color w:val="auto"/>
                <w:w w:val="95"/>
              </w:rPr>
              <w:t>Yield</w:t>
            </w:r>
          </w:p>
        </w:tc>
      </w:tr>
      <w:tr>
        <w:trPr>
          <w:trHeight w:val="25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1,721</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3.64 %</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r>
      <w:tr>
        <w:trPr>
          <w:trHeight w:val="26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premium amortization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5"/>
        </w:trPr>
        <w:tc>
          <w:tcPr>
            <w:tcW w:w="5860" w:type="dxa"/>
            <w:vAlign w:val="bottom"/>
          </w:tcPr>
          <w:p>
            <w:pPr>
              <w:ind w:left="20"/>
              <w:spacing w:after="0"/>
              <w:rPr>
                <w:sz w:val="20"/>
                <w:szCs w:val="20"/>
                <w:color w:val="auto"/>
              </w:rPr>
            </w:pPr>
            <w:r>
              <w:rPr>
                <w:rFonts w:ascii="Arial" w:cs="Arial" w:eastAsia="Arial" w:hAnsi="Arial"/>
                <w:sz w:val="14"/>
                <w:szCs w:val="14"/>
                <w:color w:val="auto"/>
              </w:rPr>
              <w:t>Weighted average actual portfolio CPR for securities held during the period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projected CPR for the remaining life of securities held as of period end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586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04"/>
        </w:trPr>
        <w:tc>
          <w:tcPr>
            <w:tcW w:w="5860" w:type="dxa"/>
            <w:vAlign w:val="bottom"/>
          </w:tcPr>
          <w:p>
            <w:pPr>
              <w:ind w:left="20"/>
              <w:spacing w:after="0"/>
              <w:rPr>
                <w:sz w:val="20"/>
                <w:szCs w:val="20"/>
                <w:color w:val="auto"/>
              </w:rPr>
            </w:pPr>
            <w:r>
              <w:rPr>
                <w:rFonts w:ascii="Arial" w:cs="Arial" w:eastAsia="Arial" w:hAnsi="Arial"/>
                <w:sz w:val="14"/>
                <w:szCs w:val="14"/>
                <w:color w:val="auto"/>
              </w:rPr>
              <w:t>_______________________</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5860" w:type="dxa"/>
            <w:vAlign w:val="bottom"/>
          </w:tcPr>
          <w:p>
            <w:pPr>
              <w:ind w:left="300"/>
              <w:spacing w:after="0"/>
              <w:rPr>
                <w:sz w:val="20"/>
                <w:szCs w:val="20"/>
                <w:color w:val="auto"/>
              </w:rPr>
            </w:pPr>
            <w:r>
              <w:rPr>
                <w:rFonts w:ascii="Arial" w:cs="Arial" w:eastAsia="Arial" w:hAnsi="Arial"/>
                <w:sz w:val="14"/>
                <w:szCs w:val="14"/>
                <w:color w:val="auto"/>
              </w:rPr>
              <w:t>1.   Source: Freddie Mac Primary Fixed Mortgage Rate Mortgage Market Survey</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81"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principal elements impacting our interest income are the size of our average investment portfolio and the yield on our investments. The following is a summary of the estimated impact of each of these elements on the decrease in interest income from fiscal year 2015 to 2016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280" w:type="dxa"/>
            <w:vAlign w:val="bottom"/>
            <w:tcBorders>
              <w:top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top w:val="single" w:sz="8" w:color="BFE4FF"/>
            </w:tcBorders>
            <w:shd w:val="clear" w:color="auto" w:fill="BFE4FF"/>
          </w:tcPr>
          <w:p>
            <w:pPr>
              <w:spacing w:after="0"/>
              <w:rPr>
                <w:sz w:val="22"/>
                <w:szCs w:val="22"/>
                <w:color w:val="auto"/>
              </w:rPr>
            </w:pPr>
          </w:p>
        </w:tc>
        <w:tc>
          <w:tcPr>
            <w:tcW w:w="380" w:type="dxa"/>
            <w:vAlign w:val="bottom"/>
            <w:tcBorders>
              <w:top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top w:val="single" w:sz="8" w:color="BFE4FF"/>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(16)</w:t>
            </w:r>
          </w:p>
        </w:tc>
      </w:tr>
    </w:tbl>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size of our average investment portfolio decreased in par value, compared to the prior year period, by 9% for fiscal year 2016. The decline was largely due to a relative shift from investments recognized as securities on our consolidated financial statements to investments in TBA contracts recognized as derivative assets/(liabilities) on our consolidated financial statements and a decline in our stockholders' equity due to share repurchases and price declines on our portfolio, net of hedges.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average asset yield was down slightly at 2.68% for fiscal year 2016, compared to 2.71% for the prior year. Excluding "catch-up" premium amortization cost due to changes in our projected CPR estimates, our average asset yield was 2.70% for fiscal year 2016, compared to 2.72% for the prior year period. The yield decline in our average asset was largely due to changes in our portfolio composition.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measures of leverage are our "at risk" leverage and our tangible net book value "at risk" leverage ratio. "At risk" leverage is measured as the sum of our mortgage borrowings (consisting of repurchase agreements used to fund our investment securities ("Agency repo"), FHLB advances and debt of consolidated VIEs), net TBA position (at cost) and our net receivable/payable for unsettled investment securities divided by the sum of our total stockholders' equity. Tangible net book value "at risk" leverage includes adjustments to exclude goodwill and other intangible assets, net of accumulated amortization, related to our acquisition of AMM from stockholders' equity.</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We include our net TBA position in our measures of leverage because a long TBA position carries similar risks as if we had purchased the underlying Agency RMBS and funded the purchases with on-balance sheet funding liabilities. Similarly, a short TBA position has substantially the same effect as selling the underlying Agency RMBS and reducing our on-balance sheet funding commitments.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for further discussion of TBA dollar roll positions). Repurchase agreements used to fund short-term investments in U.S. Treasury securities ("U.S. Treasury repo") are excluded from our measures of leverage due to the temporary and highly liquid nature of these investments.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432"/>
        <w:spacing w:after="0" w:line="264" w:lineRule="auto"/>
        <w:rPr>
          <w:sz w:val="20"/>
          <w:szCs w:val="20"/>
          <w:color w:val="auto"/>
        </w:rPr>
      </w:pPr>
      <w:r>
        <w:rPr>
          <w:rFonts w:ascii="Arial" w:cs="Arial" w:eastAsia="Arial" w:hAnsi="Arial"/>
          <w:sz w:val="18"/>
          <w:szCs w:val="18"/>
          <w:color w:val="auto"/>
        </w:rPr>
        <w:t>Our total "at risk" leverage was 7.1x and 6.8x our stockholders' equity as of December 31, 2016 and 2015, respectively. Our tangible net book value "at risk" leverage was 7.7x our tangible stockholders' equity as of December 31, 2016. The table below presents our average and quarter-end mortgage borrowings, net TBA position and leverage ratios for each of the three month periods listed below (dollars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Average</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Tangible Net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6"/>
          </w:tcPr>
          <w:p>
            <w:pPr>
              <w:jc w:val="right"/>
              <w:spacing w:after="0" w:line="135" w:lineRule="exact"/>
              <w:rPr>
                <w:sz w:val="20"/>
                <w:szCs w:val="20"/>
                <w:color w:val="auto"/>
              </w:rPr>
            </w:pPr>
            <w:r>
              <w:rPr>
                <w:rFonts w:ascii="Arial" w:cs="Arial" w:eastAsia="Arial" w:hAnsi="Arial"/>
                <w:sz w:val="13"/>
                <w:szCs w:val="13"/>
                <w:b w:val="1"/>
                <w:bCs w:val="1"/>
                <w:color w:val="auto"/>
              </w:rPr>
              <w:t xml:space="preserve">Mortgage Borrowings </w:t>
            </w:r>
            <w:r>
              <w:rPr>
                <w:rFonts w:ascii="Arial" w:cs="Arial" w:eastAsia="Arial" w:hAnsi="Arial"/>
                <w:sz w:val="8"/>
                <w:szCs w:val="8"/>
                <w:b w:val="1"/>
                <w:bCs w:val="1"/>
                <w:color w:val="auto"/>
              </w:rPr>
              <w:t>1</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right"/>
              <w:ind w:right="37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Total</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Book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Tangible Net</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4"/>
              </w:rPr>
              <w:t>"At Risk"</w:t>
            </w:r>
          </w:p>
        </w:tc>
        <w:tc>
          <w:tcPr>
            <w:tcW w:w="11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86"/>
              </w:rPr>
              <w:t>Average Total</w:t>
            </w: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4"/>
              </w:rPr>
              <w:t>"At Risk"</w:t>
            </w:r>
          </w:p>
        </w:tc>
        <w:tc>
          <w:tcPr>
            <w:tcW w:w="9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91"/>
              </w:rPr>
              <w:t>Book Value "At</w:t>
            </w:r>
          </w:p>
        </w:tc>
        <w:tc>
          <w:tcPr>
            <w:tcW w:w="0" w:type="dxa"/>
            <w:vAlign w:val="bottom"/>
          </w:tcPr>
          <w:p>
            <w:pPr>
              <w:spacing w:after="0"/>
              <w:rPr>
                <w:sz w:val="1"/>
                <w:szCs w:val="1"/>
                <w:color w:val="auto"/>
              </w:rPr>
            </w:pPr>
          </w:p>
        </w:tc>
      </w:tr>
      <w:tr>
        <w:trPr>
          <w:trHeight w:val="43"/>
        </w:trPr>
        <w:tc>
          <w:tcPr>
            <w:tcW w:w="2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Maximum</w:t>
            </w:r>
          </w:p>
        </w:tc>
        <w:tc>
          <w:tcPr>
            <w:tcW w:w="1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Ending</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5"/>
              </w:rPr>
              <w:t>Ending</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Leverage during</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the Period </w:t>
            </w:r>
            <w:r>
              <w:rPr>
                <w:rFonts w:ascii="Arial" w:cs="Arial" w:eastAsia="Arial" w:hAnsi="Arial"/>
                <w:sz w:val="8"/>
                <w:szCs w:val="8"/>
                <w:b w:val="1"/>
                <w:bCs w:val="1"/>
                <w:color w:val="auto"/>
                <w:w w:val="86"/>
              </w:rPr>
              <w:t>4</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41,031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42,157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14,141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11,312</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7.3:1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7.8:1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September 30,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44,401</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46,555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41,154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10,748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15,540</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7.1:1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7.7:1</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46,948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6,975</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7.2:1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March 31, 2016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45,926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49,767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48,875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5,983</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7.0:1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46,077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7,430</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6.8:1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6.8:1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September 30, 2015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43,308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46,049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44,683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7,265</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6.2:1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6.8:1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7,104</w:t>
            </w:r>
          </w:p>
        </w:tc>
        <w:tc>
          <w:tcPr>
            <w:tcW w:w="9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6.2:1</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8"/>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53,963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55,056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4,815</w:t>
            </w:r>
          </w:p>
        </w:tc>
        <w:tc>
          <w:tcPr>
            <w:tcW w:w="9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6.5:1</w:t>
            </w:r>
          </w:p>
        </w:tc>
        <w:tc>
          <w:tcPr>
            <w:tcW w:w="120" w:type="dxa"/>
            <w:vAlign w:val="bottom"/>
          </w:tcPr>
          <w:p>
            <w:pPr>
              <w:spacing w:after="0"/>
              <w:rPr>
                <w:sz w:val="22"/>
                <w:szCs w:val="2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6.4:1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60" w:lineRule="auto"/>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Average "at risk" leverage during the period was calculated by dividing the sum of our daily weighted average mortgage borrowings outstanding and our daily weighted average net TBA position (at cost) during the period by the sum of our average month-end stockholders' equity less our average investment in REIT equity securities for the period.</w:t>
      </w:r>
    </w:p>
    <w:p>
      <w:pPr>
        <w:ind w:left="660" w:hanging="328"/>
        <w:spacing w:after="0"/>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93" w:lineRule="auto"/>
        <w:tabs>
          <w:tab w:leader="none" w:pos="6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"At risk" leverage as of period end was calculated by dividing the sum of the amount of mortgage borrowings outstanding, net payables and receivables for unsettled investment securities and the cost basis (or contract price) of our net TBA position by the sum of our total stockholders' equity less the fair value of our investment in REIT equity securities at period end.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18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interest expense is comprised of interest expense on our mortgage borrowings (primarily comprised of Agency repo)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has been reclassified from accumulated OCI into interest expense on a straight-line basis over the remaining term of each interest rate swap through fiscal year 2016.</w:t>
      </w:r>
    </w:p>
    <w:p>
      <w:pPr>
        <w:spacing w:after="0" w:line="10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 of our net TBA dollar roll position, although it includes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average cost of funds declined to 1.45% for fiscal year 2016, compared to 1.49% for the prior year period. The table below presents a reconciliation of our interest expense (the most comparable GAAP financial measure) to our adjusted net interest expense and cost of funds (non-GAAP financial measures) for fiscal years 2016 and 2015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tbl>
      <w:tblPr>
        <w:tblLayout w:type="fixed"/>
        <w:tblInd w:w="11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ind w:left="400"/>
              <w:spacing w:after="0"/>
              <w:rPr>
                <w:sz w:val="20"/>
                <w:szCs w:val="20"/>
                <w:color w:val="auto"/>
              </w:rPr>
            </w:pPr>
            <w:r>
              <w:rPr>
                <w:rFonts w:ascii="Arial" w:cs="Arial" w:eastAsia="Arial" w:hAnsi="Arial"/>
                <w:sz w:val="14"/>
                <w:szCs w:val="14"/>
                <w:b w:val="1"/>
                <w:bCs w:val="1"/>
                <w:color w:val="auto"/>
              </w:rPr>
              <w:t>Fiscal Year 2016</w:t>
            </w:r>
          </w:p>
        </w:tc>
        <w:tc>
          <w:tcPr>
            <w:tcW w:w="180" w:type="dxa"/>
            <w:vAlign w:val="bottom"/>
          </w:tcPr>
          <w:p>
            <w:pPr>
              <w:spacing w:after="0"/>
              <w:rPr>
                <w:sz w:val="16"/>
                <w:szCs w:val="16"/>
                <w:color w:val="auto"/>
              </w:rPr>
            </w:pPr>
          </w:p>
        </w:tc>
        <w:tc>
          <w:tcPr>
            <w:tcW w:w="198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Fiscal Year 2015</w:t>
            </w:r>
          </w:p>
        </w:tc>
      </w:tr>
      <w:tr>
        <w:trPr>
          <w:trHeight w:val="26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r>
      <w:tr>
        <w:trPr>
          <w:trHeight w:val="27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800" w:type="dxa"/>
            <w:vAlign w:val="bottom"/>
            <w:gridSpan w:val="2"/>
          </w:tcPr>
          <w:p>
            <w:pPr>
              <w:ind w:left="340"/>
              <w:spacing w:after="0"/>
              <w:rPr>
                <w:sz w:val="20"/>
                <w:szCs w:val="20"/>
                <w:color w:val="auto"/>
              </w:rPr>
            </w:pPr>
            <w:r>
              <w:rPr>
                <w:rFonts w:ascii="Arial" w:cs="Arial" w:eastAsia="Arial" w:hAnsi="Arial"/>
                <w:sz w:val="14"/>
                <w:szCs w:val="14"/>
                <w:color w:val="auto"/>
              </w:rPr>
              <w:t>Interest expense on mortgage borrowings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0.47%</w:t>
            </w:r>
          </w:p>
        </w:tc>
      </w:tr>
      <w:tr>
        <w:trPr>
          <w:trHeight w:val="163"/>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Periodic interest costs of interest rate swaps previously designated as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4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hedges under GAAP, net</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r>
      <w:tr>
        <w:trPr>
          <w:trHeight w:val="244"/>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0.68%</w:t>
            </w:r>
          </w:p>
        </w:tc>
      </w:tr>
      <w:tr>
        <w:trPr>
          <w:trHeight w:val="270"/>
        </w:trPr>
        <w:tc>
          <w:tcPr>
            <w:tcW w:w="48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periodic interest costs of interest rate swaps, net</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net interest expense and cost of funds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Percent of our average mortgage borrowings outstanding for the period.</w:t>
      </w:r>
    </w:p>
    <w:p>
      <w:pPr>
        <w:spacing w:after="0" w:line="22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principal elements impacting our adjusted net interest expense are the size of our average mortgage borrowings outstanding during the period, the size of our average interest rate swap balance outstanding (excluding forward starting swaps), the average interest rate on our borrowings and the average net pay rate on our pay-fixed receive-floating interest rate swaps. The following is a summary of the estimated impact of each of these elements impacting the decrease in our adjusted net interest expense for fiscal year 2016, compared to the prior year period (in millions):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3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average interest rate on our borrowings increased for fiscal year 2016 by 32 bps, which was largely a function of Fed Funds rate increases in December of 2015 and 2016. The size of our average borrowings outstanding decreased 8% for the year, which was largely due to the combination of a relative shift from Agency RMBS to TBA holdings and portfolio adjustments due to the decline in our average shareholders' equity. As shown in the tables below, the size of our interest rate swap portfolio increased relative to our mortgage borrowings, but decreased overall in both absolute dollar terms and relative to the combined total of our mortgage borrowings and TBA securities outstanding during the year. We generally ran a lower interest rate hedge ratio though-out much of 2016, compared to the prior year, before increasing our hedge ratio during the fourth quarter of 2016. The decline in the average net pay rate on our pay-fixed receive-floating interest rate swaps was a function of both a lower average pay-fixed rate and a higher average receive-floating rate.</w:t>
      </w:r>
    </w:p>
    <w:p>
      <w:pPr>
        <w:spacing w:after="0" w:line="16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and our average interest rates swaps outstanding, excluding forward starting swaps, for fiscal years 2016 and 2015 (dollars in millions):</w:t>
      </w:r>
    </w:p>
    <w:p>
      <w:pPr>
        <w:spacing w:after="0" w:line="338"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w w:val="95"/>
              </w:rPr>
              <w:t>Average Ratio of Interest Rate Swaps Outstanding (Excluding Forward Starting Swaps) to Mortgage Borrowings</w:t>
            </w:r>
          </w:p>
        </w:tc>
        <w:tc>
          <w:tcPr>
            <w:tcW w:w="300" w:type="dxa"/>
            <w:vAlign w:val="bottom"/>
          </w:tcPr>
          <w:p>
            <w:pPr>
              <w:spacing w:after="0"/>
              <w:rPr>
                <w:sz w:val="12"/>
                <w:szCs w:val="12"/>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44,566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48,641</w:t>
            </w:r>
          </w:p>
        </w:tc>
        <w:tc>
          <w:tcPr>
            <w:tcW w:w="0" w:type="dxa"/>
            <w:vAlign w:val="bottom"/>
          </w:tcPr>
          <w:p>
            <w:pPr>
              <w:spacing w:after="0"/>
              <w:rPr>
                <w:sz w:val="1"/>
                <w:szCs w:val="1"/>
                <w:color w:val="auto"/>
              </w:rPr>
            </w:pPr>
          </w:p>
        </w:tc>
      </w:tr>
      <w:tr>
        <w:trPr>
          <w:trHeight w:val="264"/>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33,541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35,220</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interest rate swaps to mortgage borrowings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pay rate on interest rate swaps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264"/>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Weighted average receive rate on interest rate swaps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net pay rate on interest rate swaps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22" w:right="239" w:bottom="1440" w:gutter="0" w:footer="0" w:header="0"/>
        </w:sectPr>
      </w:pPr>
    </w:p>
    <w:bookmarkStart w:id="41" w:name="page42"/>
    <w:bookmarkEnd w:id="41"/>
    <w:p>
      <w:pPr>
        <w:jc w:val="both"/>
        <w:ind w:left="60" w:firstLine="486"/>
        <w:spacing w:after="0" w:line="297" w:lineRule="auto"/>
        <w:rPr>
          <w:sz w:val="20"/>
          <w:szCs w:val="20"/>
          <w:color w:val="auto"/>
        </w:rPr>
      </w:pPr>
      <w:r>
        <w:rPr>
          <w:rFonts w:ascii="Arial" w:cs="Arial" w:eastAsia="Arial" w:hAnsi="Arial"/>
          <w:sz w:val="16"/>
          <w:szCs w:val="16"/>
          <w:color w:val="auto"/>
        </w:rPr>
        <w:t>For the fiscal year ended 2016, we had an average balance of $4.8 billion of forward starting interest rate swaps outstanding, compared to $10.2 billion for the prior year period.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04" w:lineRule="exact"/>
        <w:rPr>
          <w:sz w:val="20"/>
          <w:szCs w:val="20"/>
          <w:color w:val="auto"/>
        </w:rPr>
      </w:pPr>
    </w:p>
    <w:p>
      <w:pPr>
        <w:jc w:val="both"/>
        <w:ind w:left="60" w:firstLine="486"/>
        <w:spacing w:after="0" w:line="277" w:lineRule="auto"/>
        <w:rPr>
          <w:sz w:val="20"/>
          <w:szCs w:val="20"/>
          <w:color w:val="auto"/>
        </w:rPr>
      </w:pPr>
      <w:r>
        <w:rPr>
          <w:rFonts w:ascii="Arial" w:cs="Arial" w:eastAsia="Arial" w:hAnsi="Arial"/>
          <w:sz w:val="18"/>
          <w:szCs w:val="18"/>
          <w:color w:val="auto"/>
        </w:rPr>
        <w:t>Including forward starting swaps and our net TBA position, our average ratio of interest rate swaps outstanding to our average mortgage borrowings and net TBA position (at cost) was 70% for fiscal year 2016, compared to 81% for fiscal year 2015.</w:t>
      </w:r>
    </w:p>
    <w:p>
      <w:pPr>
        <w:spacing w:after="0" w:line="338"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Average Ratio of Interest Rate Swaps Outstanding (Including Forward Starting Swaps) to Mortgage Borrowings</w:t>
            </w:r>
          </w:p>
        </w:tc>
        <w:tc>
          <w:tcPr>
            <w:tcW w:w="28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Net TBA Position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44,566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48,641</w:t>
            </w: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position - at cost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10,329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7,547</w:t>
            </w:r>
          </w:p>
        </w:tc>
        <w:tc>
          <w:tcPr>
            <w:tcW w:w="0" w:type="dxa"/>
            <w:vAlign w:val="bottom"/>
          </w:tcPr>
          <w:p>
            <w:pPr>
              <w:spacing w:after="0"/>
              <w:rPr>
                <w:sz w:val="1"/>
                <w:szCs w:val="1"/>
                <w:color w:val="auto"/>
              </w:rPr>
            </w:pPr>
          </w:p>
        </w:tc>
      </w:tr>
      <w:tr>
        <w:trPr>
          <w:trHeight w:val="25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mortgage borrowings and net TBA position</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54,895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56,188</w:t>
            </w: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(including of forward starting swaps)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38,362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45,446</w:t>
            </w: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fiscal years 2016 and 2015 (dollars in millions):</w:t>
      </w:r>
    </w:p>
    <w:p>
      <w:pPr>
        <w:spacing w:after="0" w:line="348"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Management fee income</w:t>
            </w: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6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Total operating expenses</w:t>
            </w: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Non-recurring transaction costs</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expenses</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10"/>
        </w:trPr>
        <w:tc>
          <w:tcPr>
            <w:tcW w:w="59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-99695</wp:posOffset>
            </wp:positionV>
            <wp:extent cx="1063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fiscal year 2016 was largely unchanged at $2.36 per common share compared to $2.35 per common share for the prior year period, as the decline in our interest and TBA dollar roll income was largely offset by the decline in our funding costs, net of interest rate swap hedges, and lower operating costs as a function of our management internalization at the start of the third quarter.</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average net interest rate spread and dollar roll income (i.e., the difference between the average yield on our assets and our average cost of funds inclusive of TBAs), excluding catch-up premium amortization cost, was 1.41% for fiscal year 2016,</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46" w:right="239" w:bottom="1440" w:gutter="0" w:footer="0" w:header="0"/>
          <w:type w:val="continuous"/>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compared to 1.48% for the prior year period. Including catch-up premium amortization adjustments, our net interest rate spread and dollar roll income was 1.39% for fiscal year 2016, compared to 1.48%,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Investment Securities,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our net gain (loss) on sale of investment securities for fiscal years 2016 and 2015 (in millions):</w:t>
      </w:r>
    </w:p>
    <w:p>
      <w:pPr>
        <w:spacing w:after="0" w:line="392"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5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sold, at cost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sale </w:t>
            </w:r>
            <w:r>
              <w:rPr>
                <w:rFonts w:ascii="Arial" w:cs="Arial" w:eastAsia="Arial" w:hAnsi="Arial"/>
                <w:sz w:val="8"/>
                <w:szCs w:val="8"/>
                <w:color w:val="auto"/>
              </w:rPr>
              <w:t>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27,555</w:t>
            </w: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4"/>
        </w:trPr>
        <w:tc>
          <w:tcPr>
            <w:tcW w:w="4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-98425</wp:posOffset>
            </wp:positionV>
            <wp:extent cx="1697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2016 and 2015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6"/>
                <w:szCs w:val="16"/>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r>
      <w:tr>
        <w:trPr>
          <w:trHeight w:val="264"/>
        </w:trPr>
        <w:tc>
          <w:tcPr>
            <w:tcW w:w="6140" w:type="dxa"/>
            <w:vAlign w:val="bottom"/>
          </w:tcPr>
          <w:p>
            <w:pPr>
              <w:ind w:left="300"/>
              <w:spacing w:after="0"/>
              <w:rPr>
                <w:sz w:val="20"/>
                <w:szCs w:val="20"/>
                <w:color w:val="auto"/>
              </w:rPr>
            </w:pPr>
            <w:r>
              <w:rPr>
                <w:rFonts w:ascii="Arial" w:cs="Arial" w:eastAsia="Arial" w:hAnsi="Arial"/>
                <w:sz w:val="14"/>
                <w:szCs w:val="14"/>
                <w:color w:val="auto"/>
              </w:rPr>
              <w:t>TBA securities - mark-to-market net gain (loss)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246</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78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0"/>
              </w:rPr>
              <w:t>(1,145)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6"/>
        </w:trPr>
        <w:tc>
          <w:tcPr>
            <w:tcW w:w="6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7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264"/>
        </w:trPr>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loss on derivative instruments and other securities, net</w:t>
            </w:r>
          </w:p>
        </w:tc>
        <w:tc>
          <w:tcPr>
            <w:tcW w:w="7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gain (loss)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78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78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8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Debt of consolidated VIEs</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REIT equity securities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614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243"/>
        </w:trPr>
        <w:tc>
          <w:tcPr>
            <w:tcW w:w="6140" w:type="dxa"/>
            <w:vAlign w:val="bottom"/>
          </w:tcPr>
          <w:p>
            <w:pPr>
              <w:ind w:left="20"/>
              <w:spacing w:after="0"/>
              <w:rPr>
                <w:sz w:val="20"/>
                <w:szCs w:val="20"/>
                <w:color w:val="auto"/>
              </w:rPr>
            </w:pPr>
            <w:r>
              <w:rPr>
                <w:rFonts w:ascii="Arial" w:cs="Arial" w:eastAsia="Arial" w:hAnsi="Arial"/>
                <w:sz w:val="14"/>
                <w:szCs w:val="14"/>
                <w:color w:val="auto"/>
              </w:rPr>
              <w:t>Total loss on derivative instruments and other securities, net</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r>
      <w:tr>
        <w:trPr>
          <w:trHeight w:val="20"/>
        </w:trPr>
        <w:tc>
          <w:tcPr>
            <w:tcW w:w="6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746" w:right="239" w:bottom="1440" w:gutter="0" w:footer="0" w:header="0"/>
        </w:sectPr>
      </w:pPr>
    </w:p>
    <w:p>
      <w:pPr>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Prior to our acquisition of AMM and related management internalization on July 1, 2016,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was no incentive compensation payable to our Manager pursuant to the management agreement. We incurred management fees of $52 million and $116 million for fiscal year 2016 and 2015, respectively. Following our management internalization, we no longer incur a management fee, but we incur expenses associated with an internally managed organization, including compensation expense previously borne by our Manager. For fiscal year 2016, we had compensation and benefits expense of $19 million, consisting primarily of base salary, accrued bonuses and benefits expense, including approximately $2 million of accrued retention bonuses made to certain members of AMM's legacy work-force at the time of our Internalization.</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had a negligible amount of equity-based compensation expense during 2016, as our 2016 Equity and Incentive Compensation Plan ("2016 Equity Plan") was not approved by stockholders until December 9, 2016. Our 2016 Equity Plan provides for grants of equity-based compensation to our employees in order to both attract, motivate and retain high quality employees and align our employees' interests with the interests of our stockholders. We expect the equity-based compensation component of our total compensation and benefits expense to increase in future periods as we grant awards to employees under the Plan and expense them over subsequent periods.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other operating expenses of $34 million and $23 million for fiscal year 2016 and 2015, respectively, which primarily consisted of prime broker fees, information technology costs, accounting fees, legal fees, Board of Director fees, insurance expense and general overhead expenses. For fiscal year 2016, our other operating expenses included $9 million of non-recurring transaction costs and approximately $2 million of intangible asset amortization expense associated with our acquisition of AMM.</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total annualized operating expense as a percentage of our average stockholders' equity was 1.36% and 1.58% for fiscal years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fiscal years 2016 and 2015, we had estimated taxable income available to common stockholders of $260 million and $431 million (or $0.78 and $1.24 per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ind w:right="20"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fiscal years 2016 and 2015 (dollars in millions, except per share amounts):</w:t>
      </w:r>
    </w:p>
    <w:p>
      <w:pPr>
        <w:spacing w:after="0" w:line="33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r>
      <w:tr>
        <w:trPr>
          <w:trHeight w:val="264"/>
        </w:trPr>
        <w:tc>
          <w:tcPr>
            <w:tcW w:w="630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630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76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276"/>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630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7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(1,094)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w:t>
            </w: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30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book to tax differences</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r>
      <w:tr>
        <w:trPr>
          <w:trHeight w:val="256"/>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7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r>
      <w:tr>
        <w:trPr>
          <w:trHeight w:val="264"/>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348.6</w:t>
            </w:r>
          </w:p>
        </w:tc>
      </w:tr>
      <w:tr>
        <w:trPr>
          <w:trHeight w:val="21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6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r>
      <w:tr>
        <w:trPr>
          <w:trHeight w:val="264"/>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r>
      <w:tr>
        <w:trPr>
          <w:trHeight w:val="243"/>
        </w:trPr>
        <w:tc>
          <w:tcPr>
            <w:tcW w:w="630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2016, we had $0.5 billion (or $1.37 per common share) of net capital loss carryforwards, which can be carried forward and applied against future net capital gains through fiscal year 2018.</w:t>
      </w:r>
    </w:p>
    <w:p>
      <w:pPr>
        <w:spacing w:after="0" w:line="2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As of December 31, 2016 and 2015, we had distributed all of our estimated taxable income for fiscal years 2016 and 2015, respectively. Accordingly, we do not expect to incur an income tax or excise tax liability on our 2016 taxable income, nor did we incur such liabilities on our 2015 taxable income.</w:t>
      </w:r>
    </w:p>
    <w:p>
      <w:pPr>
        <w:spacing w:after="0" w:line="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fiscal years 2016 and 2015:</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6"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comprehensive income (loss) primarily consists of unrealized gains and losses on our securities designated as "available-for-sale" (see Note 2 to our Consolidated Financial Statements in this Form 10-K). The following table summarizes the components of our other comprehensive income (loss) for fiscal years 2016 and 2015 (in millions):</w:t>
      </w:r>
    </w:p>
    <w:p>
      <w:pPr>
        <w:spacing w:after="0" w:line="375"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2015</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Pr>
          <w:p>
            <w:pPr>
              <w:ind w:left="100"/>
              <w:spacing w:after="0"/>
              <w:rPr>
                <w:sz w:val="20"/>
                <w:szCs w:val="20"/>
                <w:color w:val="auto"/>
              </w:rPr>
            </w:pPr>
            <w:r>
              <w:rPr>
                <w:rFonts w:ascii="Arial" w:cs="Arial" w:eastAsia="Arial" w:hAnsi="Arial"/>
                <w:sz w:val="14"/>
                <w:szCs w:val="14"/>
                <w:color w:val="auto"/>
              </w:rPr>
              <w:t>Unrealized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70"/>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loss on available-for-sale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 fiscal years 2016 and 2015, we had net unrealized gains/(losses) on investment securities measured at fair value through net income of $(6) million and $5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FISCAL YEAR 2015 COMPARED TO FISCAL YEAR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fiscal years 2015 and 2014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9"/>
              </w:rPr>
              <w:t>Fiscal Year 2015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1"/>
              </w:rPr>
              <w:t>Fiscal Year 2014</w:t>
            </w:r>
          </w:p>
        </w:tc>
        <w:tc>
          <w:tcPr>
            <w:tcW w:w="820" w:type="dxa"/>
            <w:vAlign w:val="bottom"/>
            <w:tcBorders>
              <w:bottom w:val="single" w:sz="8" w:color="auto"/>
            </w:tcBorders>
          </w:tcPr>
          <w:p>
            <w:pPr>
              <w:spacing w:after="0"/>
              <w:rPr>
                <w:sz w:val="16"/>
                <w:szCs w:val="16"/>
                <w:color w:val="auto"/>
              </w:rPr>
            </w:pPr>
          </w:p>
        </w:tc>
      </w:tr>
      <w:tr>
        <w:trPr>
          <w:trHeight w:val="264"/>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28"/>
              <w:spacing w:after="0"/>
              <w:rPr>
                <w:sz w:val="20"/>
                <w:szCs w:val="20"/>
                <w:color w:val="auto"/>
              </w:rPr>
            </w:pPr>
            <w:r>
              <w:rPr>
                <w:rFonts w:ascii="Arial" w:cs="Arial" w:eastAsia="Arial" w:hAnsi="Arial"/>
                <w:sz w:val="14"/>
                <w:szCs w:val="14"/>
                <w:b w:val="1"/>
                <w:bCs w:val="1"/>
                <w:color w:val="auto"/>
                <w:w w:val="89"/>
              </w:rPr>
              <w:t>Yield</w:t>
            </w:r>
          </w:p>
        </w:tc>
      </w:tr>
      <w:tr>
        <w:trPr>
          <w:trHeight w:val="256"/>
        </w:trPr>
        <w:tc>
          <w:tcPr>
            <w:tcW w:w="5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Cash/coupon interest income</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1,945</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r>
      <w:tr>
        <w:trPr>
          <w:trHeight w:val="264"/>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premium amortization</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4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5900" w:type="dxa"/>
            <w:vAlign w:val="bottom"/>
          </w:tcPr>
          <w:p>
            <w:pPr>
              <w:ind w:left="40"/>
              <w:spacing w:after="0"/>
              <w:rPr>
                <w:sz w:val="20"/>
                <w:szCs w:val="20"/>
                <w:color w:val="auto"/>
              </w:rPr>
            </w:pPr>
            <w:r>
              <w:rPr>
                <w:rFonts w:ascii="Arial" w:cs="Arial" w:eastAsia="Arial" w:hAnsi="Arial"/>
                <w:sz w:val="14"/>
                <w:szCs w:val="14"/>
                <w:color w:val="auto"/>
              </w:rPr>
              <w:t>Weighted average actual portfolio CPR for securities held during the period</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5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projected CPR for the remaining life of securities held as of period end</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5900" w:type="dxa"/>
            <w:vAlign w:val="bottom"/>
          </w:tcPr>
          <w:p>
            <w:pPr>
              <w:ind w:left="4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5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10-year U.S. Treasury rate as of period end</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04"/>
        </w:trPr>
        <w:tc>
          <w:tcPr>
            <w:tcW w:w="5900" w:type="dxa"/>
            <w:vAlign w:val="bottom"/>
          </w:tcPr>
          <w:p>
            <w:pPr>
              <w:ind w:left="60"/>
              <w:spacing w:after="0"/>
              <w:rPr>
                <w:sz w:val="20"/>
                <w:szCs w:val="20"/>
                <w:color w:val="auto"/>
              </w:rPr>
            </w:pPr>
            <w:r>
              <w:rPr>
                <w:rFonts w:ascii="Arial" w:cs="Arial" w:eastAsia="Arial" w:hAnsi="Arial"/>
                <w:sz w:val="14"/>
                <w:szCs w:val="14"/>
                <w:color w:val="auto"/>
              </w:rPr>
              <w:t>_______________________</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5900" w:type="dxa"/>
            <w:vAlign w:val="bottom"/>
          </w:tcPr>
          <w:p>
            <w:pPr>
              <w:ind w:left="340"/>
              <w:spacing w:after="0"/>
              <w:rPr>
                <w:sz w:val="20"/>
                <w:szCs w:val="20"/>
                <w:color w:val="auto"/>
              </w:rPr>
            </w:pPr>
            <w:r>
              <w:rPr>
                <w:rFonts w:ascii="Arial" w:cs="Arial" w:eastAsia="Arial" w:hAnsi="Arial"/>
                <w:sz w:val="14"/>
                <w:szCs w:val="14"/>
                <w:color w:val="auto"/>
              </w:rPr>
              <w:t>1.   Source: Freddie Mac Primary Fixed Mortgage Rate Mortgage Market Survey</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our interest income on the decrease in interest income from fiscal year 2014 to 2015 (in millions):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bl>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size of our average investment portfolio decreased in par value, compared to the prior year period, by 3% for fiscal year 2015. The decline was largely due to a relative shift from investments recognized as securities on our consolidated financial statements to investments in TBA securities recognized as derivative assets/liabilities on our consolidated financial statements.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asset yield differed from the prior year period largely due to fluctuations in "catch-up" premium amortization cost recognized due to changes in our projected CPR estimates. We recognized "catch-up" premium amortization cost of $1 million for fiscal year 2015, compared to $53 million for the prior year period. Excluding "catch-up" premium amortization cost, our average asset yield was 2.72% for fiscal year 2015, unchanged from fiscal year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23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total "at risk" leverage was 6.8x and 6.9x our stockholders' equity as of December 31, 2015 and 2014, respectively. The table below presents our average and quarter-end mortgage borrowings, net TBA position and "at risk" leverage ratios for each of the three month periods listed below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right"/>
              <w:ind w:right="63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Average Total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88"/>
              </w:rPr>
              <w:t xml:space="preserve">Mortgage Borrowings </w:t>
            </w:r>
            <w:r>
              <w:rPr>
                <w:rFonts w:ascii="Arial" w:cs="Arial" w:eastAsia="Arial" w:hAnsi="Arial"/>
                <w:sz w:val="8"/>
                <w:szCs w:val="8"/>
                <w:b w:val="1"/>
                <w:bCs w:val="1"/>
                <w:color w:val="auto"/>
                <w:w w:val="88"/>
              </w:rPr>
              <w:t>1</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4"/>
          </w:tcPr>
          <w:p>
            <w:pPr>
              <w:jc w:val="right"/>
              <w:ind w:right="690"/>
              <w:spacing w:after="0" w:line="126"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"At Risk" Leverage</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jc w:val="center"/>
              <w:ind w:right="100"/>
              <w:spacing w:after="0" w:line="95" w:lineRule="exact"/>
              <w:rPr>
                <w:sz w:val="20"/>
                <w:szCs w:val="20"/>
                <w:color w:val="auto"/>
              </w:rPr>
            </w:pPr>
            <w:r>
              <w:rPr>
                <w:rFonts w:ascii="Arial" w:cs="Arial" w:eastAsia="Arial" w:hAnsi="Arial"/>
                <w:sz w:val="9"/>
                <w:szCs w:val="9"/>
                <w:b w:val="1"/>
                <w:bCs w:val="1"/>
                <w:color w:val="auto"/>
              </w:rPr>
              <w:t>"At Risk" Leverage</w:t>
            </w: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0"/>
              </w:rPr>
              <w:t>Average Daily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Maximum</w:t>
            </w:r>
          </w:p>
        </w:tc>
        <w:tc>
          <w:tcPr>
            <w:tcW w:w="240" w:type="dxa"/>
            <w:vAlign w:val="bottom"/>
          </w:tcPr>
          <w:p>
            <w:pPr>
              <w:spacing w:after="0"/>
              <w:rPr>
                <w:sz w:val="11"/>
                <w:szCs w:val="11"/>
                <w:color w:val="auto"/>
              </w:rPr>
            </w:pPr>
          </w:p>
        </w:tc>
        <w:tc>
          <w:tcPr>
            <w:tcW w:w="10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Ending</w:t>
            </w:r>
          </w:p>
        </w:tc>
        <w:tc>
          <w:tcPr>
            <w:tcW w:w="14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Average Daily</w:t>
            </w:r>
          </w:p>
        </w:tc>
        <w:tc>
          <w:tcPr>
            <w:tcW w:w="220" w:type="dxa"/>
            <w:vAlign w:val="bottom"/>
          </w:tcPr>
          <w:p>
            <w:pPr>
              <w:spacing w:after="0"/>
              <w:rPr>
                <w:sz w:val="11"/>
                <w:szCs w:val="11"/>
                <w:color w:val="auto"/>
              </w:rPr>
            </w:pPr>
          </w:p>
        </w:tc>
        <w:tc>
          <w:tcPr>
            <w:tcW w:w="90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during the Period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62"/>
        </w:trPr>
        <w:tc>
          <w:tcPr>
            <w:tcW w:w="2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1,3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1,4</w:t>
            </w: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46,077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7,796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7,430</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6.8:1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6.8:1</w:t>
            </w:r>
          </w:p>
        </w:tc>
        <w:tc>
          <w:tcPr>
            <w:tcW w:w="0" w:type="dxa"/>
            <w:vAlign w:val="bottom"/>
          </w:tcPr>
          <w:p>
            <w:pPr>
              <w:spacing w:after="0"/>
              <w:rPr>
                <w:sz w:val="1"/>
                <w:szCs w:val="1"/>
                <w:color w:val="auto"/>
              </w:rPr>
            </w:pPr>
          </w:p>
        </w:tc>
      </w:tr>
      <w:tr>
        <w:trPr>
          <w:trHeight w:val="264"/>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September 30, 2015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43,308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46,049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44,683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9,434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7,265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6.2:1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6.8:1</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45,860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5,973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7,104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6.2:1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6.1:1</w:t>
            </w:r>
          </w:p>
        </w:tc>
        <w:tc>
          <w:tcPr>
            <w:tcW w:w="0" w:type="dxa"/>
            <w:vAlign w:val="bottom"/>
          </w:tcPr>
          <w:p>
            <w:pPr>
              <w:spacing w:after="0"/>
              <w:rPr>
                <w:sz w:val="1"/>
                <w:szCs w:val="1"/>
                <w:color w:val="auto"/>
              </w:rPr>
            </w:pPr>
          </w:p>
        </w:tc>
      </w:tr>
      <w:tr>
        <w:trPr>
          <w:trHeight w:val="264"/>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53,963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55,056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6,957</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4,815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6.5:1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6.4:1</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45,554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14,576</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6.9:1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6.9:1</w:t>
            </w:r>
          </w:p>
        </w:tc>
        <w:tc>
          <w:tcPr>
            <w:tcW w:w="0" w:type="dxa"/>
            <w:vAlign w:val="bottom"/>
          </w:tcPr>
          <w:p>
            <w:pPr>
              <w:spacing w:after="0"/>
              <w:rPr>
                <w:sz w:val="1"/>
                <w:szCs w:val="1"/>
                <w:color w:val="auto"/>
              </w:rPr>
            </w:pPr>
          </w:p>
        </w:tc>
      </w:tr>
      <w:tr>
        <w:trPr>
          <w:trHeight w:val="264"/>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September 30, 2014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46,694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50,989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44,368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15,680</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17,769</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6.7:1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6.7:1</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50,448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52,945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48,362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13,963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18,184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7.1:1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6.9:1</w:t>
            </w:r>
          </w:p>
        </w:tc>
        <w:tc>
          <w:tcPr>
            <w:tcW w:w="0" w:type="dxa"/>
            <w:vAlign w:val="bottom"/>
          </w:tcPr>
          <w:p>
            <w:pPr>
              <w:spacing w:after="0"/>
              <w:rPr>
                <w:sz w:val="1"/>
                <w:szCs w:val="1"/>
                <w:color w:val="auto"/>
              </w:rPr>
            </w:pPr>
          </w:p>
        </w:tc>
      </w:tr>
      <w:tr>
        <w:trPr>
          <w:trHeight w:val="258"/>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March 31, 2014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57,544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63,117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50,454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4,534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14,127</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7.2:1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_______________________</w:t>
      </w:r>
    </w:p>
    <w:p>
      <w:pPr>
        <w:spacing w:after="0" w:line="5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and net TBA position (at cost) outstanding by the sum of our average month-end stockholders' equity less our average investment in REIT equity securities.</w:t>
      </w:r>
    </w:p>
    <w:p>
      <w:pPr>
        <w:ind w:left="660" w:right="20" w:hanging="328"/>
        <w:spacing w:after="0" w:line="255"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"At risk" leverage as of period end was calculated by dividing the sum of the amount of mortgage borrowings outstanding, net payable and receivables for unsettled Agency securities and the cost basis of our net TBA position (at cost) by the sum of our total stockholders' equity less the fair value of our investment in REIT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00" w:lineRule="exact"/>
        <w:rPr>
          <w:sz w:val="20"/>
          <w:szCs w:val="20"/>
          <w:color w:val="auto"/>
        </w:rPr>
      </w:pPr>
    </w:p>
    <w:p>
      <w:pPr>
        <w:spacing w:after="0" w:line="20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average cost of funds increased to 1.49% for fiscal year 2015, compared to 1.40% for the prior year period. The table below presents a reconciliation of our interest expense (the most comparable GAAP financial measure) to our adjusted net interest expense and cost of funds (non-GAAP financial measures) for fiscal years 2015 and 2014 (dollars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182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ind w:left="400"/>
              <w:spacing w:after="0"/>
              <w:rPr>
                <w:sz w:val="20"/>
                <w:szCs w:val="20"/>
                <w:color w:val="auto"/>
              </w:rPr>
            </w:pPr>
            <w:r>
              <w:rPr>
                <w:rFonts w:ascii="Arial" w:cs="Arial" w:eastAsia="Arial" w:hAnsi="Arial"/>
                <w:sz w:val="14"/>
                <w:szCs w:val="14"/>
                <w:b w:val="1"/>
                <w:bCs w:val="1"/>
                <w:color w:val="auto"/>
              </w:rPr>
              <w:t>Fiscal Year 2015</w:t>
            </w:r>
          </w:p>
        </w:tc>
        <w:tc>
          <w:tcPr>
            <w:tcW w:w="180" w:type="dxa"/>
            <w:vAlign w:val="bottom"/>
          </w:tcPr>
          <w:p>
            <w:pPr>
              <w:spacing w:after="0"/>
              <w:rPr>
                <w:sz w:val="16"/>
                <w:szCs w:val="16"/>
                <w:color w:val="auto"/>
              </w:rPr>
            </w:pPr>
          </w:p>
        </w:tc>
        <w:tc>
          <w:tcPr>
            <w:tcW w:w="19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Fiscal Year 2014</w:t>
            </w:r>
          </w:p>
        </w:tc>
      </w:tr>
      <w:tr>
        <w:trPr>
          <w:trHeight w:val="264"/>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r>
      <w:tr>
        <w:trPr>
          <w:trHeight w:val="27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3440" w:type="dxa"/>
            <w:vAlign w:val="bottom"/>
            <w:gridSpan w:val="2"/>
          </w:tcPr>
          <w:p>
            <w:pPr>
              <w:ind w:left="34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0.43%</w:t>
            </w:r>
          </w:p>
        </w:tc>
      </w:tr>
      <w:tr>
        <w:trPr>
          <w:trHeight w:val="163"/>
        </w:trPr>
        <w:tc>
          <w:tcPr>
            <w:tcW w:w="3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Periodic interest costs of interest rate swaps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9"/>
        </w:trPr>
        <w:tc>
          <w:tcPr>
            <w:tcW w:w="34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94"/>
        </w:trPr>
        <w:tc>
          <w:tcPr>
            <w:tcW w:w="3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r>
      <w:tr>
        <w:trPr>
          <w:trHeight w:val="244"/>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0.74%</w:t>
            </w:r>
          </w:p>
        </w:tc>
      </w:tr>
      <w:tr>
        <w:trPr>
          <w:trHeight w:val="163"/>
        </w:trPr>
        <w:tc>
          <w:tcPr>
            <w:tcW w:w="3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w w:val="97"/>
              </w:rPr>
              <w:t>Other periodic interest costs of interest rate swaps,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8"/>
        </w:trPr>
        <w:tc>
          <w:tcPr>
            <w:tcW w:w="34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Total adjusted net interest expense and cost of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Percent of our average mortgage borrowings outstanding for the period annualized.</w:t>
      </w:r>
    </w:p>
    <w:p>
      <w:pPr>
        <w:spacing w:after="0" w:line="22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the increase in our adjusted net interest expense for fiscal year 2015, compared to the prior year period (in millions):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6"/>
                <w:szCs w:val="16"/>
                <w:color w:val="auto"/>
              </w:rPr>
            </w:pP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and our average interest rates swaps outstanding, excluding forward starting swaps, for fiscal years 2015 and 2014 (dollars in millions):</w:t>
      </w:r>
    </w:p>
    <w:p>
      <w:pPr>
        <w:spacing w:after="0" w:line="338"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7"/>
              </w:rPr>
              <w:t>Average Ratio of Interest Rate Swaps Outstanding (Excluding Forward Starting Swaps) to Mortgage Borrowings</w:t>
            </w:r>
          </w:p>
        </w:tc>
        <w:tc>
          <w:tcPr>
            <w:tcW w:w="300" w:type="dxa"/>
            <w:vAlign w:val="bottom"/>
          </w:tcPr>
          <w:p>
            <w:pPr>
              <w:spacing w:after="0"/>
              <w:rPr>
                <w:sz w:val="12"/>
                <w:szCs w:val="12"/>
                <w:color w:val="auto"/>
              </w:rPr>
            </w:pP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50,015</w:t>
            </w: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35,220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33,988</w:t>
            </w: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3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34" w:right="239" w:bottom="1440" w:gutter="0" w:footer="0" w:header="0"/>
          <w:type w:val="continuous"/>
        </w:sectPr>
      </w:pPr>
    </w:p>
    <w:bookmarkStart w:id="48" w:name="page49"/>
    <w:bookmarkEnd w:id="48"/>
    <w:p>
      <w:pPr>
        <w:jc w:val="both"/>
        <w:ind w:left="60" w:firstLine="486"/>
        <w:spacing w:after="0" w:line="286" w:lineRule="auto"/>
        <w:rPr>
          <w:sz w:val="20"/>
          <w:szCs w:val="20"/>
          <w:color w:val="auto"/>
        </w:rPr>
      </w:pPr>
      <w:r>
        <w:rPr>
          <w:rFonts w:ascii="Arial" w:cs="Arial" w:eastAsia="Arial" w:hAnsi="Arial"/>
          <w:sz w:val="17"/>
          <w:szCs w:val="17"/>
          <w:color w:val="auto"/>
        </w:rPr>
        <w:t>For the fiscal year ended 2015, we had an average balance of $10.2 billion of forward starting interest rate swaps outstanding, compared to $2.4 billion for fiscal year 2014. Including forward starting swaps and our net TBA position, our average ratio of interest rate swaps outstanding to our average mortgage borrowings and net TBA position (at cost) was 81% for fiscal year 2015, compared to 58% for fiscal year 2014.</w:t>
      </w:r>
    </w:p>
    <w:p>
      <w:pPr>
        <w:spacing w:after="0" w:line="333"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3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Average Ratio of Interest Rate Swaps Outstanding (Including Forward Starting Swaps) to Mortgage Borrowings and</w:t>
            </w:r>
          </w:p>
        </w:tc>
        <w:tc>
          <w:tcPr>
            <w:tcW w:w="280" w:type="dxa"/>
            <w:vAlign w:val="bottom"/>
          </w:tcPr>
          <w:p>
            <w:pPr>
              <w:spacing w:after="0"/>
              <w:rPr>
                <w:sz w:val="12"/>
                <w:szCs w:val="12"/>
                <w:color w:val="auto"/>
              </w:rPr>
            </w:pP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TBA Position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48,641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50,015</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position - at cost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7,547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13,212</w:t>
            </w:r>
          </w:p>
        </w:tc>
        <w:tc>
          <w:tcPr>
            <w:tcW w:w="0" w:type="dxa"/>
            <w:vAlign w:val="bottom"/>
          </w:tcPr>
          <w:p>
            <w:pPr>
              <w:spacing w:after="0"/>
              <w:rPr>
                <w:sz w:val="1"/>
                <w:szCs w:val="1"/>
                <w:color w:val="auto"/>
              </w:rPr>
            </w:pPr>
          </w:p>
        </w:tc>
      </w:tr>
      <w:tr>
        <w:trPr>
          <w:trHeight w:val="256"/>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mortgage borrowings and net TBA position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56,188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63,227</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(including of forward starting swaps)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45,446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36,408</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fiscal years 2015 and 2014 (dollars in millions):</w:t>
      </w:r>
    </w:p>
    <w:p>
      <w:pPr>
        <w:spacing w:after="0" w:line="34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0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2014</w:t>
            </w:r>
          </w:p>
        </w:tc>
      </w:tr>
      <w:tr>
        <w:trPr>
          <w:trHeight w:val="25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r>
      <w:tr>
        <w:trPr>
          <w:trHeight w:val="264"/>
        </w:trPr>
        <w:tc>
          <w:tcPr>
            <w:tcW w:w="694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6"/>
        </w:trPr>
        <w:tc>
          <w:tcPr>
            <w:tcW w:w="6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264"/>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25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r>
      <w:tr>
        <w:trPr>
          <w:trHeight w:val="264"/>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r>
      <w:tr>
        <w:trPr>
          <w:trHeight w:val="25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w:t>
            </w:r>
          </w:p>
        </w:tc>
      </w:tr>
      <w:tr>
        <w:trPr>
          <w:trHeight w:val="264"/>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r>
      <w:tr>
        <w:trPr>
          <w:trHeight w:val="25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r>
      <w:tr>
        <w:trPr>
          <w:trHeight w:val="264"/>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Net spread and dollar roll income, excluding "catch-up" premium amortization, available to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4"/>
        </w:trPr>
        <w:tc>
          <w:tcPr>
            <w:tcW w:w="6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353.3</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Net spread and dollar roll income, excluding "catch-up" premium amortization, per common share -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-98425</wp:posOffset>
            </wp:positionV>
            <wp:extent cx="1397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spread and dollar roll income, excluding "catch-up" premium amortization adjustments, for fiscal year 2015 decreased to $2.35 from $3.35 per common share for fiscal year 2014, largely due to higher repo costs and a decline in TBA dollar roll income relative to our average TBA position, partially offset by higher "at risk" leverage and lower operating costs.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net interest rate spread and dollar roll income (i.e., the difference between the average yield on our assets and our average cost of funds inclusive of TBAs), excluding catch-up premium amortization cost, was 1.48% for fiscal year 2015, compared to 1.83% for fiscal year 2014. Including catch-up premium amortization adjustments, our net interest rate spread and dollar roll income was 1.48% for fiscal year 2015, compared to 1.75%, for fiscal year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Gain (Loss) on Sale of Investment Securities,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investment securities for fiscal years 2015 and 2014 (in millions):</w:t>
      </w:r>
    </w:p>
    <w:p>
      <w:pPr>
        <w:spacing w:after="0" w:line="392"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880" w:type="dxa"/>
            <w:vAlign w:val="bottom"/>
            <w:tcBorders>
              <w:bottom w:val="single" w:sz="8" w:color="auto"/>
            </w:tcBorders>
          </w:tcPr>
          <w:p>
            <w:pPr>
              <w:spacing w:after="0"/>
              <w:rPr>
                <w:sz w:val="16"/>
                <w:szCs w:val="16"/>
                <w:color w:val="auto"/>
              </w:rPr>
            </w:pPr>
          </w:p>
        </w:tc>
      </w:tr>
      <w:tr>
        <w:trPr>
          <w:trHeight w:val="264"/>
        </w:trPr>
        <w:tc>
          <w:tcPr>
            <w:tcW w:w="4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r>
      <w:tr>
        <w:trPr>
          <w:trHeight w:val="256"/>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sold, at cost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sale </w:t>
            </w:r>
            <w:r>
              <w:rPr>
                <w:rFonts w:ascii="Arial" w:cs="Arial" w:eastAsia="Arial" w:hAnsi="Arial"/>
                <w:sz w:val="8"/>
                <w:szCs w:val="8"/>
                <w:color w:val="auto"/>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27,555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30,174</w:t>
            </w:r>
          </w:p>
        </w:tc>
      </w:tr>
      <w:tr>
        <w:trPr>
          <w:trHeight w:val="243"/>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4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-98425</wp:posOffset>
            </wp:positionV>
            <wp:extent cx="1697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2015 and 2014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Fiscal Year</w:t>
            </w:r>
          </w:p>
        </w:tc>
        <w:tc>
          <w:tcPr>
            <w:tcW w:w="840" w:type="dxa"/>
            <w:vAlign w:val="bottom"/>
            <w:tcBorders>
              <w:bottom w:val="single" w:sz="8" w:color="auto"/>
            </w:tcBorders>
          </w:tcPr>
          <w:p>
            <w:pPr>
              <w:spacing w:after="0"/>
              <w:rPr>
                <w:sz w:val="16"/>
                <w:szCs w:val="16"/>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r>
      <w:tr>
        <w:trPr>
          <w:trHeight w:val="264"/>
        </w:trPr>
        <w:tc>
          <w:tcPr>
            <w:tcW w:w="6140" w:type="dxa"/>
            <w:vAlign w:val="bottom"/>
          </w:tcPr>
          <w:p>
            <w:pPr>
              <w:ind w:left="300"/>
              <w:spacing w:after="0"/>
              <w:rPr>
                <w:sz w:val="20"/>
                <w:szCs w:val="20"/>
                <w:color w:val="auto"/>
              </w:rPr>
            </w:pPr>
            <w:r>
              <w:rPr>
                <w:rFonts w:ascii="Arial" w:cs="Arial" w:eastAsia="Arial" w:hAnsi="Arial"/>
                <w:sz w:val="14"/>
                <w:szCs w:val="14"/>
                <w:color w:val="auto"/>
              </w:rPr>
              <w:t>TBA securities - mark-to-market net gain (loss)</w:t>
            </w:r>
          </w:p>
        </w:tc>
        <w:tc>
          <w:tcPr>
            <w:tcW w:w="82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416</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82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6"/>
        </w:trPr>
        <w:tc>
          <w:tcPr>
            <w:tcW w:w="6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r>
      <w:tr>
        <w:trPr>
          <w:trHeight w:val="264"/>
        </w:trPr>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6"/>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r>
      <w:tr>
        <w:trPr>
          <w:trHeight w:val="258"/>
        </w:trPr>
        <w:tc>
          <w:tcPr>
            <w:tcW w:w="614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gain (loss)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(1,381)</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82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Debt of consolidated VIEs</w:t>
            </w:r>
          </w:p>
        </w:tc>
        <w:tc>
          <w:tcPr>
            <w:tcW w:w="82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61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REIT equity securities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264"/>
        </w:trPr>
        <w:tc>
          <w:tcPr>
            <w:tcW w:w="6140" w:type="dxa"/>
            <w:vAlign w:val="bottom"/>
          </w:tcPr>
          <w:p>
            <w:pPr>
              <w:ind w:left="1100"/>
              <w:spacing w:after="0"/>
              <w:rPr>
                <w:sz w:val="20"/>
                <w:szCs w:val="20"/>
                <w:color w:val="auto"/>
              </w:rPr>
            </w:pPr>
            <w:r>
              <w:rPr>
                <w:rFonts w:ascii="Arial" w:cs="Arial" w:eastAsia="Arial" w:hAnsi="Arial"/>
                <w:sz w:val="14"/>
                <w:szCs w:val="14"/>
                <w:color w:val="auto"/>
              </w:rPr>
              <w:t>Other</w:t>
            </w:r>
          </w:p>
        </w:tc>
        <w:tc>
          <w:tcPr>
            <w:tcW w:w="820" w:type="dxa"/>
            <w:vAlign w:val="bottom"/>
          </w:tcPr>
          <w:p>
            <w:pPr>
              <w:spacing w:after="0"/>
              <w:rPr>
                <w:sz w:val="22"/>
                <w:szCs w:val="2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50"/>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r>
      <w:tr>
        <w:trPr>
          <w:trHeight w:val="243"/>
        </w:trPr>
        <w:tc>
          <w:tcPr>
            <w:tcW w:w="614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w:t>
            </w:r>
          </w:p>
        </w:tc>
      </w:tr>
      <w:tr>
        <w:trPr>
          <w:trHeight w:val="20"/>
        </w:trPr>
        <w:tc>
          <w:tcPr>
            <w:tcW w:w="6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46"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incurred management fees of $116 million and $119 million for fiscal year 2015 and 2014, respectively. The decline in our management fees was a function of our smaller capital base due to the combination of share repurchases and net losses realized on our portfolio. General and administrative expenses were $23 million and $22 million for fiscal year 2015 and 2014, respectively. Our general and administrative expenses primarily consisted of prime broker fees, information technology costs, accounting fees, legal fees, Board of Director fees, insurance expense and general overhead expense. Our total annualized operating expense as a percentage of our average stockholders' equity was 1.58% and 1.52% for fiscal years 2015 and 2014,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years 2015 and 2014, we had estimated taxable income available to common stockholders of $431 million and $439 million (or $1.24 and $1.24 per common share), respectively.</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fiscal years 2015 and 2014 (dollars in millions, except per share amounts):</w:t>
      </w:r>
    </w:p>
    <w:p>
      <w:pPr>
        <w:spacing w:after="0" w:line="338"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r>
      <w:tr>
        <w:trPr>
          <w:trHeight w:val="25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 amortization, net</w:t>
            </w: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6260" w:type="dxa"/>
            <w:vAlign w:val="bottom"/>
          </w:tcPr>
          <w:p>
            <w:pPr>
              <w:ind w:left="140"/>
              <w:spacing w:after="0"/>
              <w:rPr>
                <w:sz w:val="20"/>
                <w:szCs w:val="20"/>
                <w:color w:val="auto"/>
              </w:rPr>
            </w:pPr>
            <w:r>
              <w:rPr>
                <w:rFonts w:ascii="Arial" w:cs="Arial" w:eastAsia="Arial" w:hAnsi="Arial"/>
                <w:sz w:val="14"/>
                <w:szCs w:val="14"/>
                <w:color w:val="auto"/>
              </w:rPr>
              <w:t>Realized gain/loss, net</w:t>
            </w:r>
          </w:p>
        </w:tc>
        <w:tc>
          <w:tcPr>
            <w:tcW w:w="80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495</w:t>
            </w:r>
          </w:p>
        </w:tc>
      </w:tr>
      <w:tr>
        <w:trPr>
          <w:trHeight w:val="276"/>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capital loss/(utilization of net capital loss carryforward)</w:t>
            </w: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r>
      <w:tr>
        <w:trPr>
          <w:trHeight w:val="264"/>
        </w:trPr>
        <w:tc>
          <w:tcPr>
            <w:tcW w:w="6260" w:type="dxa"/>
            <w:vAlign w:val="bottom"/>
          </w:tcPr>
          <w:p>
            <w:pPr>
              <w:ind w:left="140"/>
              <w:spacing w:after="0"/>
              <w:rPr>
                <w:sz w:val="20"/>
                <w:szCs w:val="20"/>
                <w:color w:val="auto"/>
              </w:rPr>
            </w:pPr>
            <w:r>
              <w:rPr>
                <w:rFonts w:ascii="Arial" w:cs="Arial" w:eastAsia="Arial" w:hAnsi="Arial"/>
                <w:sz w:val="14"/>
                <w:szCs w:val="14"/>
                <w:color w:val="auto"/>
              </w:rPr>
              <w:t>Unrealized gain/loss, net</w:t>
            </w:r>
          </w:p>
        </w:tc>
        <w:tc>
          <w:tcPr>
            <w:tcW w:w="80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1,191</w:t>
            </w:r>
          </w:p>
        </w:tc>
      </w:tr>
      <w:tr>
        <w:trPr>
          <w:trHeight w:val="270"/>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26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book to tax differences</w:t>
            </w:r>
          </w:p>
        </w:tc>
        <w:tc>
          <w:tcPr>
            <w:tcW w:w="8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5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r>
      <w:tr>
        <w:trPr>
          <w:trHeight w:val="264"/>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348.6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353.3</w:t>
            </w:r>
          </w:p>
        </w:tc>
      </w:tr>
      <w:tr>
        <w:trPr>
          <w:trHeight w:val="21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6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w:t>
            </w:r>
          </w:p>
        </w:tc>
      </w:tr>
      <w:tr>
        <w:trPr>
          <w:trHeight w:val="264"/>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r>
      <w:tr>
        <w:trPr>
          <w:trHeight w:val="25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r>
      <w:tr>
        <w:trPr>
          <w:trHeight w:val="243"/>
        </w:trPr>
        <w:tc>
          <w:tcPr>
            <w:tcW w:w="626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fiscal years 2015 and 2014, we distributed all of our taxable income within the limits prescribed by the Internal Revenue Code. Accordingly, we did not incur an income tax or excise tax liability on our 2015 and 2014 taxable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1" w:name="page52"/>
    <w:bookmarkEnd w:id="51"/>
    <w:p>
      <w:pPr>
        <w:ind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fiscal years 2015 and 2014:</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our other comprehensive income (loss) for fiscal years 2015 and 2014 (in millions):</w:t>
      </w:r>
    </w:p>
    <w:p>
      <w:pPr>
        <w:spacing w:after="0" w:line="200" w:lineRule="exact"/>
        <w:rPr>
          <w:sz w:val="20"/>
          <w:szCs w:val="20"/>
          <w:color w:val="auto"/>
        </w:rPr>
      </w:pP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2014</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Pr>
          <w:p>
            <w:pPr>
              <w:ind w:left="100"/>
              <w:spacing w:after="0"/>
              <w:rPr>
                <w:sz w:val="20"/>
                <w:szCs w:val="20"/>
                <w:color w:val="auto"/>
              </w:rPr>
            </w:pPr>
            <w:r>
              <w:rPr>
                <w:rFonts w:ascii="Arial" w:cs="Arial" w:eastAsia="Arial" w:hAnsi="Arial"/>
                <w:sz w:val="14"/>
                <w:szCs w:val="14"/>
                <w:color w:val="auto"/>
              </w:rPr>
              <w:t>Unrealized gain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1,708</w:t>
            </w:r>
          </w:p>
        </w:tc>
      </w:tr>
      <w:tr>
        <w:trPr>
          <w:trHeight w:val="270"/>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1,657</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1,813</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 fiscal years 2015 and 2014, we had net unrealized gains on investment securities measured at fair value through net income of $5 million and $32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46"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asset sales, receipts of monthly principal and interest payments on our investment portfolio and equity offerings. We also enter into TBA contracts as a means of acquiring or disposing of Agency securities and utilize TBA dollar roll transactions to finance Agency RMBS purchases. Because the level of our borrowings can be adjusted on a daily basis,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eleven times the amount of our tangible stockholders' equity. However, under certain market conditions, we may operate at leverage levels outside of this range for extended periods of time.</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limits our ability to retain earnings and thereby replenish or increase capital from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2015, our mortgage borrowings and net TBA position consisted of the following ($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60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20" w:type="dxa"/>
            <w:vAlign w:val="bottom"/>
            <w:gridSpan w:val="2"/>
          </w:tcPr>
          <w:p>
            <w:pPr>
              <w:ind w:left="40"/>
              <w:spacing w:after="0"/>
              <w:rPr>
                <w:sz w:val="20"/>
                <w:szCs w:val="20"/>
                <w:color w:val="auto"/>
              </w:rPr>
            </w:pPr>
            <w:r>
              <w:rPr>
                <w:rFonts w:ascii="Arial" w:cs="Arial" w:eastAsia="Arial" w:hAnsi="Arial"/>
                <w:sz w:val="16"/>
                <w:szCs w:val="16"/>
                <w:b w:val="1"/>
                <w:bCs w:val="1"/>
                <w:color w:val="auto"/>
              </w:rPr>
              <w:t>Mortgage Funding</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Repurchase agreements used to fund Agency RMBS </w:t>
            </w:r>
            <w:r>
              <w:rPr>
                <w:rFonts w:ascii="Arial" w:cs="Arial" w:eastAsia="Arial" w:hAnsi="Arial"/>
                <w:sz w:val="21"/>
                <w:szCs w:val="21"/>
                <w:b w:val="1"/>
                <w:bCs w:val="1"/>
                <w:color w:val="auto"/>
                <w:vertAlign w:val="superscript"/>
              </w:rPr>
              <w:t>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37,686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41,729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6020" w:type="dxa"/>
            <w:vAlign w:val="bottom"/>
            <w:gridSpan w:val="2"/>
          </w:tcPr>
          <w:p>
            <w:pPr>
              <w:ind w:left="40"/>
              <w:spacing w:after="0"/>
              <w:rPr>
                <w:sz w:val="20"/>
                <w:szCs w:val="20"/>
                <w:color w:val="auto"/>
              </w:rPr>
            </w:pPr>
            <w:r>
              <w:rPr>
                <w:rFonts w:ascii="Arial" w:cs="Arial" w:eastAsia="Arial" w:hAnsi="Arial"/>
                <w:sz w:val="16"/>
                <w:szCs w:val="16"/>
                <w:color w:val="auto"/>
              </w:rPr>
              <w:t>FHLB advances</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Debt of consolidated variable interest entities, at fair value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020" w:type="dxa"/>
            <w:vAlign w:val="bottom"/>
            <w:gridSpan w:val="2"/>
          </w:tcPr>
          <w:p>
            <w:pPr>
              <w:ind w:left="40"/>
              <w:spacing w:after="0"/>
              <w:rPr>
                <w:sz w:val="20"/>
                <w:szCs w:val="20"/>
                <w:color w:val="auto"/>
              </w:rPr>
            </w:pPr>
            <w:r>
              <w:rPr>
                <w:rFonts w:ascii="Arial" w:cs="Arial" w:eastAsia="Arial" w:hAnsi="Arial"/>
                <w:sz w:val="16"/>
                <w:szCs w:val="16"/>
                <w:color w:val="auto"/>
              </w:rPr>
              <w:t>Total mortgage borrowings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41,183</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46,077</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TBA position, at cost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7,430</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6020" w:type="dxa"/>
            <w:vAlign w:val="bottom"/>
            <w:gridSpan w:val="2"/>
          </w:tcPr>
          <w:p>
            <w:pPr>
              <w:ind w:left="40"/>
              <w:spacing w:after="0"/>
              <w:rPr>
                <w:sz w:val="20"/>
                <w:szCs w:val="20"/>
                <w:color w:val="auto"/>
              </w:rPr>
            </w:pPr>
            <w:r>
              <w:rPr>
                <w:rFonts w:ascii="Arial" w:cs="Arial" w:eastAsia="Arial" w:hAnsi="Arial"/>
                <w:sz w:val="16"/>
                <w:szCs w:val="16"/>
                <w:color w:val="auto"/>
              </w:rPr>
              <w:t>Total mortgage funding</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52,495</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53,507</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60" w:hanging="152"/>
        <w:spacing w:after="0"/>
        <w:tabs>
          <w:tab w:leader="none" w:pos="1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repurchase agreements used to fund U.S. Treasury securities of $172 million and $25 million as of December 31, 2016 and 2015, respectively.</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Excludes a net receivable of $21 million and a net payable of $182 million for unsettled purchases and sales of investment securities as of December 31, 2016 and 2015, respectively.</w:t>
      </w:r>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"at risk" leverage ratio was 7.1x as of December 31, 2016, compared to 6.8x as of December 31, 2015, measured as the sum of our total mortgage borrowings, net TBA position (at cost) and net payable for unsettled investment securities divided by the sum of our total stockholders' equity less our investments in REIT equity securities. Our tangible net book value "at risk" leverage was 7.7x our tangible stockholders' equity as of December 31, 2016.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 we had $37.7 billion of repurchase agreements outstanding used to fund acquisitions of investment securities with a weighted average cost of funds of 0.98% and a weighted average remaining days-to-maturity of 187 days, compared $41.7 billion, 0.61% and 173 days, respectively, as of December 31, 2015.</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exposure to counterparty credit risk, we diversify our funding across multiple counterparties and by counterparty region. As of December 31, 2016, we had master repurchase agreements with 38 financial institutions located throughout North America, Europe and Asia, including counterparties accessed through our wholly-owned captive broker-dealer subsidiary, BES. As of December 31, 2016, less than 6% of our stockholders' equity was at risk with any one repo counterparty, and our top five repo counterparties represented less than 14% of our stockholders' equity. The table below includes a summary of our repurchase agreement funding by number of repo counterparties and counterparty region as of December 31, 2016. For further details regarding our borrowings under repurchase agreements and concentration of credit risk as of December 31, 2016, please refer to Notes 4 and 6 to our Consolidated Financial Statements in this Form 10-K.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2" w:right="239" w:bottom="1440" w:gutter="0" w:footer="0" w:header="0"/>
        </w:sectPr>
      </w:pPr>
    </w:p>
    <w:bookmarkStart w:id="53" w:name="page54"/>
    <w:bookmarkEnd w:id="53"/>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68%</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fiscal year 2016, haircuts on our pledged collateral remained stable and, as of December 31, 2016, our weighted average haircut was approximately 5% of the value of our collateral.</w:t>
      </w:r>
    </w:p>
    <w:p>
      <w:pPr>
        <w:spacing w:after="0" w:line="1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2016, we had met all of our margin requirements and we had unrestricted cash and cash equivalents of $1.2 billion and unpledged securities of approximately $1.8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2015, we formed a wholly-owned captive broker-dealer subsidiary, Bethesda Securities, LLC. BES became operational and received final membership approval to the FICC during the third quarter of 2016. BES has direct access to bilateral and triparty funding as a FINRA member broker-dealer. As an eligible institution, BES also raises funds through the General Collateral Finance Repo service offered by the FICC, with the FICC acting as the central counterparty, and thus provides us greater depth and diversity of repurchase agreement funding while also lowering our funding costs and limiting our counterparty exposure. As of December 31, 2016, we had entered into $4.7 billion of repurchase agreement funding through BES and expect to continue to expand our financing activity through BES during 2017.</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 other instruments. Please refer to Notes 2 and 5 to our Consolidated Financial Statements in this Form 10-K for further details regarding our use of derivative instruments.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68" w:right="239" w:bottom="1440" w:gutter="0" w:footer="0" w:header="0"/>
        </w:sectPr>
      </w:pPr>
    </w:p>
    <w:bookmarkStart w:id="54" w:name="page55"/>
    <w:bookmarkEnd w:id="54"/>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 Excluding centrally cleared interest rate swaps, as of December 31, 2016, our amount at risk with any counterparty related to our interest rate swap and swaption agreements was less than 1% of our stockholders' equity. 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2 and 5 to our Consolidated Financial Statements in this Form 10-K).</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2016, we had a net long TBA position with a total market value and a total cost basis of $11.2 billion and $11.3 billion, respectively, and a net carrying value of $(147) million recognized in derivative assets/(liabilities), at fair value, on our Consolidated Balance Sheets in this Form 10-K.</w:t>
      </w:r>
    </w:p>
    <w:p>
      <w:pPr>
        <w:spacing w:after="0" w:line="11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April 2015, our wholly-owned captive insurance subsidiary, Old Georgetown Insurance Co., LLC ("OGI"), was approved as a member of the FHLB of Des Moines. The FHLBs provide a variety of products and services to their members, including short and long-term secured loans, called "advances." In January 2016, the FHFA released its final rule on changes to regulations concerning FHLB membership criteria. The final rule terminated OGI's FHLB membership and required repayment of all advances at the earlier of their contractual maturity dates or a one year period after the effective date of the final rule that concluded in February 2017. As of December 31, 2016, we had $3.0 billion of FHLB advances outstanding with a weighted average interest rate of 0.73% and a weighted average remaining days to maturity of 28 days up to February 2017. We do not expect the termination of our FHLB membership to negatively impact our liquidity position, since FHLB advances do not represent our primary source of funding.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a portfolio of highly liquid mortgage-backed securities. We may sell our Agency securities through the TBA market by delivering them into TBA contracts, subject to "good delivery" provisions promulgated by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December 31, 2016, approximately 86% of our fixed rate Agency RMBS portfolio was eligible for TBA delivery.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the extent we raise additional equity capital through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asset value per common share, among other conditions, we may repurchase shares of our common stock, subject to the provisions of our stock repurchase program (see Note 9 to our Consolidated Financial Statements in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2016,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Furthermore, as of December 31, 2016, we had not guaranteed any obligations of unconsolidated entities or entered into any commitment or intent to provide funding to any such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FHLB advances and related interest expense (in millions):</w:t>
      </w:r>
    </w:p>
    <w:p>
      <w:pPr>
        <w:spacing w:after="0" w:line="33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5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 and FHLB advances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40,895</w:t>
            </w:r>
          </w:p>
        </w:tc>
      </w:tr>
      <w:tr>
        <w:trPr>
          <w:trHeight w:val="264"/>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41,138</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Interest expense is calculated based on the weighted average interest rates on our repurchase agreements and FHLB advances as of December 31,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All statements contained herein that are not historical facts including, but not limited to, statements regarding anticipated activity are forward looking in nature and involve a number of risks and uncertainties. Actual results may differ materially. Among the factors that could cause actual results to differ materially are the following: (i) changes in the market value of our assets; (ii) changes in net interest rate spreads; (iii) changes in prepayment rates of the mortgage loans underlying our Agency securities; (iv) risks associated with our hedging activities; (v) availability and terms of financing arrangements; (vi) further actions by the U.S. government to stabilize the economy; (vii) changes in our business or investment strategy; (viii) legislative and regulatory changes (including changes to laws governing the taxation of REITs); (ix) our ability to meet the requirements of a REIT (including income and asset requirements); and (x) our ability to remain exempt from registration under the Investment Company Act of 1940. For a discussion of the risks and uncertainties which could cause actual results to differ from those contained in the forward-looking statements, please see the information under the caption "Risk Factors" described in this Annual Report on Form 10-K. We caution readers not to place undue reliance on any such forward-looking statements, which statements are made pursuant to the Private Securities Litigation Reform Act of 1995 and, as such, speak only as of the date made.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utilize a variety of strategies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utilize other types of derivative instruments.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net asset value as of December 31, 2016 and 2015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December 31, 2016 and 2015.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+4.6%</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+4.1%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-14.1%</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 w:lineRule="exact"/>
        <w:rPr>
          <w:sz w:val="20"/>
          <w:szCs w:val="20"/>
          <w:color w:val="auto"/>
        </w:rPr>
      </w:pPr>
    </w:p>
    <w:p>
      <w:pPr>
        <w:ind w:left="660" w:right="20" w:hanging="328"/>
        <w:spacing w:after="0" w:line="241"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8% as of December 31, 2016 and 2015. As of December 31, 2016, rate shock scenarios assume a forecasted CPR of 10%, 9%, 7% and 7% for the -100, -50, +50 and +100 basis points scenarios, respectively. As of December 31, 2015, rate shock scenarios assume a forecasted CPR of 12%, 10%, 8%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0"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net asset value as of December 31, 2016 and 2015 should spreads widen or tighten by 10 and 25 basis points. The estimated impact of changes in spreads is in addition to our interest rate shock sensitivity included in the interest rate shock table above. The table below assumes a spread duration of 5.4 years and 5.2 years as of December 31, 2016 and 2015, respectively, based on interest rates and RMBS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Spread Sensitivity of Agency RMBS Portfolio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+11.0%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-11.0%</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primary liquidity risk for us arises from financing long-term assets with shorter-term borrowings through repurchase agreements and other short-term funding agreements. As of December 31, 2016, we had unrestricted cash and cash equivalents of $1.2 billion and unpledged securities of approximately $1.8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often utilize TBA dollar roll transactions as a means of investing in and financing Agency RMBS.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6"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are exposed to credit risk related to our CRT and non-Agency investments, certain derivative transactions, and our collateral held by funding and derivative counterparties. We accept credit exposure at levels we deem prudent as an integral part of our investment and hedging strategy. We seek to manage this risk through prudent asset selection, pre-acquisition due diligence, post-acquisition performance monitoring, sale of assets where we have identified negative credit trends and the use of various types of credit enhancements. We may also use non-recourse financing, which limits our exposure to credit losses to the specific pool of mortgages subject to the non-recourse financing. Our overall management of credit exposure may also include the use of credit default swaps or other financial derivatives that we believe are appropriate. Additionally, we may vary the percentage mix of our investments or our duration gap, when we believe credit performance is inversely correlated with changes in interest rates, in an effort to actively adjust our credit exposure and to improve the risk/return profile of our investment portfolio.</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credit risk related to certain derivative transactions is largely mitigated through daily adjustments to collateral pledged based on changes in market value and we limit our counterparties to major financial institutions with acceptable credit ratings. There is no guarantee that our efforts to manage credit risk will be successful and we could suffer losses if credit performance is worse than our expectations or if economic conditions worsen.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financial statements as of December 31, 2016 and 2015 and fiscal years 2016, 2015 and 2014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2016,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2016. The effectiveness of our internal control over financial reporting as of December 31, 2016 has been audited by Ernst &amp; Young LLP, our independent registered public accounting firm, as stated in their attestation report included in this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1" w:name="page62"/>
    <w:bookmarkEnd w:id="61"/>
    <w:p>
      <w:pPr>
        <w:spacing w:after="0" w:line="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have audited AGNC Investment Corp.’s internal control over financial reporting as of December 31, 2016, based on criteria established in Internal Control-Integrated Framework issued by the Committee of Sponsoring Organizations of the Treadway Commission (2013 framework) (the COSO criteria). AGNC Investment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AGNC Investment Corp. maintained, in all material respects, effective internal control over financial reporting as of December 31, 2016,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AGNC Investment Corp. as of December 31, 2016 and 2015, and the related consolidated statements of comprehensive income, stockholders’ equity, and cash flows for each of the three years in the period ended December 31, 2016 of AGNC Investment Corp., and our report dated February 27,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40" w:right="239" w:bottom="1440" w:gutter="0" w:footer="0" w:header="0"/>
        </w:sectPr>
      </w:pPr>
    </w:p>
    <w:bookmarkStart w:id="62" w:name="page63"/>
    <w:bookmarkEnd w:id="62"/>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AGNC Investment Corp.</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AGNC Investment Corp. as of December 31, 2016 and 2015, and the related consolidated statements of comprehensive income,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AGNC Investment Corp. at December 31, 2016 and 2015, and the consolidated results of its operations and its cash flows for each of the three years in the period ended December 31, 2016,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AGNC Investment Corp.'s internal control over financial reporting as of December 31, 2016, based on criteria established in Internal Control-Integrated Framework issued by the Committee of Sponsoring Organizations of the Treadway Commission (2013 framework) and our report dated February 27,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Agency securities, at fair value (including pledged securities of $43,943 and $48,380, respectively)</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45,393</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51,331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Non-Agency securities, at fair value (including pledged securities of $90 and $113, respectively)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risk transfer securities,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U.S. Treasury securities, at fair value (including pledged securities of $173 and $25, respectively)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REIT equity securities,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Derivative assets, at fair value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 for securities sold (pledged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Receivable under reverse repurchase agreements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and other 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57,021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agreements</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Federal Home Loan Bank advances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Debt of consolidated variable interest entities,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Payable for securities purchased</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liabilities,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Obligation to return securities borrowed under reverse repurchase agreements, at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fair value</w:t>
            </w:r>
          </w:p>
        </w:tc>
        <w:tc>
          <w:tcPr>
            <w:tcW w:w="10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Accounts payable and other liabilities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49,050</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 $0.01 par value; 10.0 shares authorized: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900" w:type="dxa"/>
            <w:vAlign w:val="bottom"/>
          </w:tcPr>
          <w:p>
            <w:pPr>
              <w:ind w:left="620"/>
              <w:spacing w:after="0"/>
              <w:rPr>
                <w:sz w:val="20"/>
                <w:szCs w:val="20"/>
                <w:color w:val="auto"/>
              </w:rPr>
            </w:pPr>
            <w:r>
              <w:rPr>
                <w:rFonts w:ascii="Arial" w:cs="Arial" w:eastAsia="Arial" w:hAnsi="Arial"/>
                <w:sz w:val="16"/>
                <w:szCs w:val="16"/>
                <w:color w:val="auto"/>
                <w:w w:val="98"/>
              </w:rPr>
              <w:t>Redeemable Preferred Stock; $0.01 par value; 6.9 shares issued and outstanding (aggregate liquidation</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620"/>
              <w:spacing w:after="0"/>
              <w:rPr>
                <w:sz w:val="20"/>
                <w:szCs w:val="20"/>
                <w:color w:val="auto"/>
              </w:rPr>
            </w:pPr>
            <w:r>
              <w:rPr>
                <w:rFonts w:ascii="Arial" w:cs="Arial" w:eastAsia="Arial" w:hAnsi="Arial"/>
                <w:sz w:val="16"/>
                <w:szCs w:val="16"/>
                <w:color w:val="auto"/>
              </w:rPr>
              <w:t>preference of $348)</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 $0.01 par value; 600 shares authorized;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620"/>
              <w:spacing w:after="0"/>
              <w:rPr>
                <w:sz w:val="20"/>
                <w:szCs w:val="20"/>
                <w:color w:val="auto"/>
              </w:rPr>
            </w:pPr>
            <w:r>
              <w:rPr>
                <w:rFonts w:ascii="Arial" w:cs="Arial" w:eastAsia="Arial" w:hAnsi="Arial"/>
                <w:sz w:val="16"/>
                <w:szCs w:val="16"/>
                <w:color w:val="auto"/>
              </w:rPr>
              <w:t>331.0 and 337.5 shares issued and outstanding, respectively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deficit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7,356</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7"/>
          </w:tcPr>
          <w:p>
            <w:pPr>
              <w:jc w:val="right"/>
              <w:ind w:right="330"/>
              <w:spacing w:after="0"/>
              <w:rPr>
                <w:sz w:val="20"/>
                <w:szCs w:val="20"/>
                <w:color w:val="auto"/>
              </w:rPr>
            </w:pPr>
            <w:r>
              <w:rPr>
                <w:rFonts w:ascii="Arial" w:cs="Arial" w:eastAsia="Arial" w:hAnsi="Arial"/>
                <w:sz w:val="16"/>
                <w:szCs w:val="16"/>
                <w:b w:val="1"/>
                <w:bCs w:val="1"/>
                <w:color w:val="auto"/>
                <w:w w:val="99"/>
              </w:rPr>
              <w:t>For the year ended December 31,</w:t>
            </w:r>
          </w:p>
        </w:tc>
      </w:tr>
      <w:tr>
        <w:trPr>
          <w:trHeight w:val="3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2014</w:t>
            </w:r>
          </w:p>
        </w:tc>
      </w:tr>
      <w:tr>
        <w:trPr>
          <w:trHeight w:val="33"/>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1,472</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770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Unrealized gain (loss) on investment securities measured at fair value through net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700"/>
              <w:spacing w:after="0"/>
              <w:rPr>
                <w:sz w:val="20"/>
                <w:szCs w:val="20"/>
                <w:color w:val="auto"/>
              </w:rPr>
            </w:pPr>
            <w:r>
              <w:rPr>
                <w:rFonts w:ascii="Arial" w:cs="Arial" w:eastAsia="Arial" w:hAnsi="Arial"/>
                <w:sz w:val="18"/>
                <w:szCs w:val="18"/>
                <w:color w:val="auto"/>
              </w:rPr>
              <w:t>Total other loss, net: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w:t>
            </w:r>
          </w:p>
        </w:tc>
      </w:tr>
      <w:tr>
        <w:trPr>
          <w:trHeight w:val="27"/>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Management fee expense</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9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311"/>
        </w:trPr>
        <w:tc>
          <w:tcPr>
            <w:tcW w:w="7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1,657</w:t>
            </w:r>
          </w:p>
        </w:tc>
      </w:tr>
      <w:tr>
        <w:trPr>
          <w:trHeight w:val="27"/>
        </w:trPr>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37"/>
        </w:trPr>
        <w:tc>
          <w:tcPr>
            <w:tcW w:w="7700" w:type="dxa"/>
            <w:vAlign w:val="bottom"/>
          </w:tcPr>
          <w:p>
            <w:pPr>
              <w:ind w:left="7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w:t>
            </w:r>
          </w:p>
        </w:tc>
      </w:tr>
      <w:tr>
        <w:trPr>
          <w:trHeight w:val="27"/>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60"/>
          </w:cols>
          <w:pgMar w:left="520" w:top="580" w:right="51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preferred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64"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7"/>
          </w:tcPr>
          <w:p>
            <w:pPr>
              <w:jc w:val="right"/>
              <w:ind w:right="621"/>
              <w:spacing w:after="0"/>
              <w:rPr>
                <w:sz w:val="20"/>
                <w:szCs w:val="20"/>
                <w:color w:val="auto"/>
              </w:rPr>
            </w:pPr>
            <w:r>
              <w:rPr>
                <w:rFonts w:ascii="Arial" w:cs="Arial" w:eastAsia="Arial" w:hAnsi="Arial"/>
                <w:sz w:val="16"/>
                <w:szCs w:val="16"/>
                <w:b w:val="1"/>
                <w:bCs w:val="1"/>
                <w:color w:val="auto"/>
              </w:rPr>
              <w:t>For the year ended December 31,</w:t>
            </w:r>
          </w:p>
        </w:tc>
      </w:tr>
      <w:tr>
        <w:trPr>
          <w:trHeight w:val="22"/>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2"/>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2014</w:t>
            </w:r>
          </w:p>
        </w:tc>
      </w:tr>
      <w:tr>
        <w:trPr>
          <w:trHeight w:val="22"/>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9"/>
        </w:trPr>
        <w:tc>
          <w:tcPr>
            <w:tcW w:w="77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1"/>
                <w:szCs w:val="21"/>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472</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1"/>
              </w:rPr>
              <w:t>Amortization of accumulated other comprehensive loss on interest rate swaps de-designated as qualifying hedges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(Gain) loss on sale of mortgage-backed securities, net</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 on investment securities measured at fair value through net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1,211</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w:t>
            </w:r>
          </w:p>
        </w:tc>
      </w:tr>
      <w:tr>
        <w:trPr>
          <w:trHeight w:val="242"/>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(26,349)</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Purchases of non-Agency securities</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30,587</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Principal collections on mortgage-backed securities</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8,137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7,358</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Purchases of U.S. Treasury securities</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(51,511)</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56,068</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(3,337)</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Purchases of REIT equity securities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Purchase of AGNC Mortgage Management, LLC, net of cash acquired</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restricted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2"/>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12,349</w:t>
            </w:r>
          </w:p>
        </w:tc>
      </w:tr>
      <w:tr>
        <w:trPr>
          <w:trHeight w:val="242"/>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291,736</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(221,434)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(304,973)</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Federal Home Loan Bank advances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Payments on Federal Home Loan Bank advances</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169</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49"/>
        </w:trPr>
        <w:tc>
          <w:tcPr>
            <w:tcW w:w="778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2"/>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(14,394)</w:t>
            </w:r>
          </w:p>
        </w:tc>
      </w:tr>
      <w:tr>
        <w:trPr>
          <w:trHeight w:val="229"/>
        </w:trPr>
        <w:tc>
          <w:tcPr>
            <w:tcW w:w="778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w:t>
            </w: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2,143</w:t>
            </w:r>
          </w:p>
        </w:tc>
      </w:tr>
      <w:tr>
        <w:trPr>
          <w:trHeight w:val="27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1,720</w:t>
            </w:r>
          </w:p>
        </w:tc>
      </w:tr>
      <w:tr>
        <w:trPr>
          <w:trHeight w:val="147"/>
        </w:trPr>
        <w:tc>
          <w:tcPr>
            <w:tcW w:w="7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49"/>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7780" w:type="dxa"/>
            <w:vAlign w:val="bottom"/>
          </w:tcPr>
          <w:p>
            <w:pPr>
              <w:ind w:left="40"/>
              <w:spacing w:after="0"/>
              <w:rPr>
                <w:sz w:val="20"/>
                <w:szCs w:val="20"/>
                <w:color w:val="auto"/>
              </w:rPr>
            </w:pPr>
            <w:r>
              <w:rPr>
                <w:rFonts w:ascii="Arial" w:cs="Arial" w:eastAsia="Arial" w:hAnsi="Arial"/>
                <w:sz w:val="16"/>
                <w:szCs w:val="16"/>
                <w:color w:val="auto"/>
              </w:rPr>
              <w:t>Taxes paid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94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80" w:right="239" w:bottom="946"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our annual taxable net income to our stockholders on a timely basis.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earn income primarily from investing in Agency residential mortgage-backed securities ("Agency RMBS") on a leveraged basis. These investments consist of residential pass-through mortgage securities for which the principal and interest payments are guaranteed by a U.S. Government-sponsored enterprise or a U.S. Government agency. We may also invest in other types of mortgage and mortgage-related securities, such as credit risk transfer ("CRT") securities and non-Agency residential mortgage-backed securities ("non-Agency RMBS") and commercial mortgage-backed securities ("CMBS"), where repayment of principal and interest is not guaranteed by a U.S. Government-sponsored enterprise or U.S. Government agency (see Note 2 for further details).</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net asset value (also referred to as "net book value," "NAV" and "stockholders' equity")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Prior to July 1, 2016, we were externally managed by AGNC Management, LLC, (formerly known as American Capital AGNC Management, LLC) (our "Manager"). On July 1, 2016, we completed the acquisition of all of the outstanding membership interests of AGNC Mortgage Management, LLC ("AMM," formerly known as American Capital Mortgage Management, LLC), the parent company of our Manager, from American Capital Asset Management, LLC ("ACAM"), a wholly owned portfolio company of American Capital, Ltd. ("ACAS"). AMM is also the parent company of MTGE Management, LLC ("MTGE Manager," formerly known as American Capital MTGE Management, LLC), the external manager of MTGE Investment Corp. ("MTGE," formerly known as American Capital Mortgage Investment Corp.). Following the closing of the acquisition of AMM, we became internally managed and are no longer affiliated with ACAS (see Notes 11and 12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("EPS") is computed by dividing net income (loss) available (attributable) to common stockholders by the weighted average number of common shares outstanding during the period. Diluted EPS assumes the conversion, exercise or issuance of all potential common stock equivalents unless the effect is to reduce a loss or increase the income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Accounting Standards Codification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divides comprehensive income into net income and other comprehensive income (loss) ("OCI"), which includes unrealized gains and losses on securities classified as available-for-sale and unrealized gains and losses on derivative financial instruments that are designated and qualify for cash flow hedge accounting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During fiscal year 2011, we discontinued designating our derivative financial instruments, principally interest rate swaps, as cash flow hedges. For further information regarding our discontinuation of cash flow hedge accounting, see </w:t>
      </w:r>
      <w:r>
        <w:rPr>
          <w:rFonts w:ascii="Arial" w:cs="Arial" w:eastAsia="Arial" w:hAnsi="Arial"/>
          <w:sz w:val="17"/>
          <w:szCs w:val="17"/>
          <w:i w:val="1"/>
          <w:iCs w:val="1"/>
          <w:color w:val="auto"/>
        </w:rPr>
        <w:t>Derivatives Instruments</w:t>
      </w:r>
      <w:r>
        <w:rPr>
          <w:rFonts w:ascii="Arial" w:cs="Arial" w:eastAsia="Arial" w:hAnsi="Arial"/>
          <w:sz w:val="17"/>
          <w:szCs w:val="17"/>
          <w:color w:val="auto"/>
        </w:rPr>
        <w:t xml:space="preserve"> below and Note 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consist of unrestricted demand deposits and highly liquid investments with original maturities of three months or less. Cash and cash equivalents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Restricted cash and cash equivalents includes cash and cash equivalents pledged as collateral for clearing and executing trades, repurchase agreements and other borrowings, and interest rate swaps and other derivative instruments. Restricted cash and cash equivalents are carried at cost, which approximates fair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primarily invest in Agency RMBS. Agency RMBS consist of residential mortgage pass-through securities and collateralized mortgage obligations ("CMOs") for which the principal and interest payments are guaranteed by a U.S. Government-sponsored enterprise, such as the Federal National Mortgage Association ("Fannie Mae") and the Federal Home Loan Mortgage Corporation ("Freddie Mac"), or by a U.S. Government agency, such as the Government National Mortgage Association ("Ginnie Mae") (collectively referred to as "GSEs"). Interest-only and inverse interest-only securities (together referred to as "interest-only securities") represent the right to receive a specified proportion of the contractual interest flows of specific Agency CMO securities. Principal-only securities represent the right to receive the contractual principal flows of specific Agency CMO securities.</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 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are able to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REIT equity securities represent investments in the common stock of other publicly traded mortgage REITs that invest primarily in Agency RMBS.</w:t>
      </w:r>
    </w:p>
    <w:p>
      <w:pPr>
        <w:spacing w:after="0" w:line="1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Accounting Standards Codification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requires that at the time of purchase, we designate a security as held-to-maturity, available-for-sale or trading, depending on our ability and intent to hold such security to maturity. Alternatively, we may elect the fair value option for such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We report securities classified as trading or available-for-sale or for which if we elected the fair value option at fair value, while securities classified as held-to-maturity are reported at amortized cost. Unrealized gains and losses on securities classified as available-for-sale are reported in accumulated other comprehensive income (loss) ("OCI"). Unrealized gains and losses on securities classified as trading or for which we elected the fair value option are reflected in net income through other gain (loss) during the period in which they occur. We may sell any of our securities as part of our overall management of our investment portfolio. Accordingly, unless we elect the fair value option, we typically designate our investment securities as available-for-sale. Investments in REIT equity securities are designated as trading securities. Upon the sale of a security designated as available-for-sale, we determine the cost of the security and the amount of unrealized gains or losses to reclassify out of accumulated OCI into earnings based on the specific identification method.</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elected the fair value option to account for CRT securities, interest and principal-only securities and CMBS as this election simplifies the accounting for such securities. Effective January 1, 2017, we elected the fair value option for future purchases of all investment securities, including Agency RMBS and non-Agency MBS. In our view, this election will more appropriately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47"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reflect the result of our operations for a particular reporting period, as the fair value changes for these financial assets will be presented in a manner consistent with the presentation and timing of the fair value changes of our hedging instruments. We are not permitted to change the designation of available-for-sale securities acquired prior to January 1, 2017, accordingly, such securities will continue to be classified as available-for-sale securities until such time as we receive full repayment or we dispose of the security.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Agency RMBS, non-Agency MBS and CRT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REIT equity securities based on a market approach using "Level 1" inputs based on quoted market prices. Refer to Note 7 for further discussion of fair value measurements.</w:t>
      </w:r>
    </w:p>
    <w:p>
      <w:pPr>
        <w:spacing w:after="0" w:line="12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allows us to obtain competitive bids and execute on a sale transaction typically within a day of making the decision to sell a security, we generally do not make decisions to sell specific mortgage securities until shortly prior to initiating a sell order. In some instances, we may sell specific Agency securities by delivering the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unrealized gains and losses for securities designated as available-for-sale are recognized in OCI, any impairment loss for non-credit components is already recognized in OCI.</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OTTI charges on our investment securities for fiscal years 2016, 2015 or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sectPr>
      </w:pPr>
    </w:p>
    <w:bookmarkStart w:id="70" w:name="page71"/>
    <w:bookmarkEnd w:id="70"/>
    <w:p>
      <w:pPr>
        <w:jc w:val="both"/>
        <w:ind w:firstLine="405"/>
        <w:spacing w:after="0" w:line="255" w:lineRule="auto"/>
        <w:rPr>
          <w:sz w:val="20"/>
          <w:szCs w:val="20"/>
          <w:color w:val="auto"/>
        </w:rPr>
      </w:pPr>
      <w:r>
        <w:rPr>
          <w:rFonts w:ascii="Arial" w:cs="Arial" w:eastAsia="Arial" w:hAnsi="Arial"/>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about interest rates, prepayment rates, the timing and amount of credit losses, and other factors. Any resulting changes in effective yield are recognized prospectively based on the current amortized cost of the investment as adjusted for credit impairment, if 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we account for repurchase transactions as collateralized financing transactions, which are carried at their contractual amounts (cost), plus accrued interest, as specified in the respective transactions. Our repurchase agreements typically have maturities of less than one year, but may extend up to five years or more. Interest rates under our repurchase agreements generally correspond to one, three or six month LIBOR plus or minus a fixed spread. The fair value of our repurchase agreements is assumed to equal cost as the interest rates are considered to be at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Federal Home Loan Bank ("FHLB") advances are secured loans from the FHLB of Des Moines used to finance the acquisitions of investment securities. We account for FHLB advances as collateralized financing transactions, which are carried at their contractual amounts (cost), plus accrued interest, as specified in the respective transactions. In April 2015, our wholly-owned captive insurance subsidiary, Old Georgetown Insurance Co., LLC ("OGI"), was approved as a member of the FHLB of Des Moines. The FHLBs provide a variety of products and services to their members, including short and long-term secured loans. In January 2016, the Federal Housing Finance Agency released its final rule on changes to regulations concerning FHLB membership criteria. The final rule terminated OGI's FHLB membership and required repayment of all advances at the earlier of their contractual maturity dates or a one year period after the effective date of the final rule that concluded in February 2017. Interest rates under our FHLB advances generally correspond to the FHLB's Member Option Variable Rate or to one or three month LIBOR plus or minus a fixed spread. The fair value of our FHLB advances is assumed to equal cost as the interest rates are considered to be at market.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from time to time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Derivatives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generally mature daily. The fair value of our reverse repurchase agreements is assumed to equal cost as the interest rates are generally reset daily.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RMBS securities on a generic pool basis in the "to-be-announced" market ("TBA securities") and on a specified pool basis. We may also purchase or write put or call options on TBA securities and utilize other types of derivative instruments to hedge a portion of our risk.</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also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0" w:right="239" w:bottom="1440" w:gutter="0" w:footer="0" w:header="0"/>
        </w:sectPr>
      </w:pPr>
    </w:p>
    <w:bookmarkStart w:id="71" w:name="page72"/>
    <w:bookmarkEnd w:id="71"/>
    <w:p>
      <w:pPr>
        <w:jc w:val="both"/>
        <w:ind w:right="20"/>
        <w:spacing w:after="0" w:line="286" w:lineRule="auto"/>
        <w:rPr>
          <w:sz w:val="20"/>
          <w:szCs w:val="20"/>
          <w:color w:val="auto"/>
        </w:rPr>
      </w:pPr>
      <w:r>
        <w:rPr>
          <w:rFonts w:ascii="Arial" w:cs="Arial" w:eastAsia="Arial" w:hAnsi="Arial"/>
          <w:sz w:val="17"/>
          <w:szCs w:val="17"/>
          <w:color w:val="auto"/>
        </w:rPr>
        <w:t>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1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has been reclassified from accumulated OCI into interest expense on a straight-line basis over the remaining term of each interest rate swap through December 2016.</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Swap agreements entered into subsequent to May 2013 are centrally cleared through a registered commodities exchange ("centrally cleared swaps").</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which we refer as "payer swaptions." We may also enter into swaption agreements that provide us the option to enter into a receive-fixed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6" w:right="2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7"/>
          <w:szCs w:val="17"/>
          <w:color w:val="auto"/>
        </w:rPr>
        <w:t>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1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TBA security is a forward contract for the purchase ("long position") or sale ("short position") of Agency RMBS at a predetermined price, face amount, issuer, coupon and stated maturity on an agreed-upon future date. The specific Agency RMBS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RMBS purchases.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RMBS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requires an enterprise to consolidate a variable interest entity ("VIE") if it is deemed the primary beneficiary of the VIE. Further, ASC 810 requires a qualitative assessment to determine the primary beneficiary of a VIE and ongoing assessments of whether an enterprise is the primary beneficiary of a VIE as well as additional disclosures for entities that have variable interests in VIEs.</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entered into transactions involving CMO trusts, which are VIEs. We will consolidate a CMO trust if we are the CMO trust's primary beneficiary; that is, if we have a variable interest that provides us with a controlling financial interest in the CMO trust. An entity is deemed to have a controlling financial interest if the entity has the power to direct the activities of a VIE that most significantly impact the VIE's economic performance and the obligation to absorb losses of or right to receive benefits from the VIE that could potentially be significant to the VIE. As part of the qualitative assessment in determining if we have a controlling financial interest, we evaluate whether we control the selection of financial assets transferred to the CMO trust. For each of our consolidated CMO trusts we controlled the selection of the Agency RMBS transferred from our investment portfolio to an investment bank in exchange for cash proceeds and at the same time entered into a commitment with the investment bank to purchase to-be-issued securities collateralized by the Agency RMBS transferred, which resulted in our consolidation of the CMO trusts.</w:t>
      </w:r>
    </w:p>
    <w:p>
      <w:pPr>
        <w:spacing w:after="0" w:line="1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Agency RMBS transferred to consolidated VIEs are reported on our consolidated balance sheets in Agency securities transferred to consolidated VIEs, at fair value and can only be used to settle the obligations of each respective VIE. We elected the option to account for the consolidated debt at fair value, with changes in fair value reflected in earnings during the period in which they occur, because we believe this election more appropriately reflects our financial position as both the consolidated assets and consolidated debt are presented in a consistent manner on our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46" w:right="239" w:bottom="1440" w:gutter="0" w:footer="0" w:header="0"/>
        </w:sectPr>
      </w:pPr>
    </w:p>
    <w:bookmarkStart w:id="73" w:name="page74"/>
    <w:bookmarkEnd w:id="73"/>
    <w:p>
      <w:pPr>
        <w:jc w:val="both"/>
        <w:ind w:firstLine="405"/>
        <w:spacing w:after="0" w:line="259" w:lineRule="auto"/>
        <w:rPr>
          <w:sz w:val="20"/>
          <w:szCs w:val="20"/>
          <w:color w:val="auto"/>
        </w:rPr>
      </w:pPr>
      <w:r>
        <w:rPr>
          <w:rFonts w:ascii="Arial" w:cs="Arial" w:eastAsia="Arial" w:hAnsi="Arial"/>
          <w:sz w:val="18"/>
          <w:szCs w:val="18"/>
          <w:color w:val="auto"/>
        </w:rPr>
        <w:t>We estimate the fair value of the consolidated debt based on the fair value of the Agency RMBS transferred to consolidated VIEs, less the fair value of our retained interests, which are measured on a market approach using "Level 2" inputs from third-party pricing services and dealer quotes. The fair value of the Agency RMBS transferred to the consolidated VIEs and the fair value of our retained interests are based on more observable inputs than inputs used to independently determine the value of our consolidated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two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in connection with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December 31, 2016,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We elected to be taxed as a REIT under the provisions of the Internal Revenue Code and the corresponding provisions of state law, commencing with our initial tax year ended December 31, 2008. In order to continue to qualify as a REIT, we must annually distribute, in a timely manner to our stockholders, at least 90% of our taxable ordinary income, amongst other conditions. A REIT is generally not subject to U.S. federal and state corporate income tax on its earnings to the extent that it distributes its annual taxable net income to its stockholders and as long as certain asset, income and stock ownership tests are met. We operate in a manner that will allow us to be taxed as a REIT. As permitted by the Internal Revenue Code, a REIT can designate dividends paid in the subsequent year as dividends of the current year if those dividends are both declared by the extended due date of the REIT's federal income tax return and paid to stockholders by the last day of the subsequent year; however, we may still be subject to a non-deductible 4% excise tax if the actual amount distributed to our stockholders in a calendar year is less than the minimum amount specified under federal tax laws.</w:t>
      </w:r>
    </w:p>
    <w:p>
      <w:pPr>
        <w:spacing w:after="0" w:line="112"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have a wholly-owned subsidiary for which we elected to treat as taxable REIT subsidiary. As such it is subject to federal and state income tax based on its taxable income. All other subsidiaries are disregarded entities for U.S. federal income tax purposes. As such, their assets, liabilities and income are generally treated as our assets, liabilities and income for purposes of U.S. federal and state corporate income taxes.</w:t>
      </w:r>
    </w:p>
    <w:p>
      <w:pPr>
        <w:spacing w:after="0" w:line="11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 xml:space="preserve">We evaluate uncertain income tax positions, if any,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To the extent we incur interest and/or penalties in connection with our tax obligations, such amounts shall be classified as income tax expense on our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 Net</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Goodwill is the cost of an acquisition in excess of the fair value of identified assets acquired and liabilities assumed. Goodwill is recorded as an asset on our balance sheet. Acquired intangible assets that do not meet the criteria for recognition as a separate asset are included in goodwill. Goodwill is not subject to amortization but must be tested for impairment at least annually. Intangible assets meeting the criteria for recognition as separate assets are recorded at their respective fair market values at the date of acquisition. Intangible assets with an estimated useful life are amortized over their expected useful life. As of December 31, 2016, we had $526 million of goodwill and $28 million of other intangible assets, net of accumulated amortization, reported in goodwill and other intangible assets, net in our accompanying consolidated balance sheets related to our acquisition of AMM on July 1, 2016 (see Note 12 for further details).</w:t>
      </w:r>
    </w:p>
    <w:p>
      <w:pPr>
        <w:spacing w:after="0" w:line="13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test goodwill for impairment on an annual basis and at interim periods when events or circumstances may make it more likely than not that an impairment has occurred. If a qualitative analysis indicates that there may be an impairment, a quantitative analysis is performed. The quantitative impairment test for goodwill utilizes a two-step approach whereby we compare the carrying value of the identified reporting unit comprising the goodwill to its fair value. If the carrying value of the reporting unit is greater than its fair value, the second step is performed, where the implied fair value of goodwill is determined and compared to its carrying value. An impairment charge is recognized to the extent the carrying amount of goodwill exceeds its fair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on our consolidated financial statements when adopted, or did not have a significant impact on our consolidated financial statements upon adoption.</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ASU 2014-09, Revenue from Contracts with Customers (Topic 606): </w:t>
      </w:r>
      <w:r>
        <w:rPr>
          <w:rFonts w:ascii="Arial" w:cs="Arial" w:eastAsia="Arial" w:hAnsi="Arial"/>
          <w:sz w:val="18"/>
          <w:szCs w:val="18"/>
          <w:color w:val="auto"/>
        </w:rPr>
        <w:t>ASU 2014-09 is a comprehensive revenue recognition standard that supersedes</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all existing revenue guidance under U.S. GAAP. The standard’s core principle is that an entity will recognize revenue when it transfers promised goods or services to customers in an amount that reflects the consideration to which the entity expects to be entitled in exchange for those goods and services. Revenue recognition with respect to financial instruments is not within the scope of ASU 2014-09 and, therefore, it is not expected to have a significant impact on our consolidated financial statements. ASU 2014-09 is effective on January 1, 2018.</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ASU 2016-09, Compensation — Stock Compensation (Topic 718): Improvements to Employee Share-Based Payment Accounting: </w:t>
      </w:r>
      <w:r>
        <w:rPr>
          <w:rFonts w:ascii="Arial" w:cs="Arial" w:eastAsia="Arial" w:hAnsi="Arial"/>
          <w:sz w:val="18"/>
          <w:szCs w:val="18"/>
          <w:color w:val="auto"/>
        </w:rPr>
        <w:t>ASU 2016-09</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The ASU is effective on January 1, 2017, with early adoption permitted. We early adopted ASU 2016-09 during fiscal year 2016, which did not have a significant impact on our consolidated financial statements.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606):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ASU 2016-18, Statement of Cash Flows (Topic 230) - Restricted Cash: </w:t>
      </w:r>
      <w:r>
        <w:rPr>
          <w:rFonts w:ascii="Arial" w:cs="Arial" w:eastAsia="Arial" w:hAnsi="Arial"/>
          <w:sz w:val="18"/>
          <w:szCs w:val="18"/>
          <w:color w:val="auto"/>
        </w:rPr>
        <w:t>ASU 2016-18 requires that a statement of cash flows explain the change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will be effective on January 1, 2018 and is not expected to have a significant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2016 and 2015, our investment portfolio consisted of $46.5 billion and $52.5 billion of investment securities, at fair value, respectively, summarized in the tables below, and $11.2 billion and $7.4 billion net TBA securities, at fair value, respectively. Our TBA position is reported at its net carrying value of $(147) million and $14 million as of December 31, 2016 and 2015,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5 for further details of our net TBA position as of December 31, 2016 and 2015).</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2016 and 2015, our investment securities had a net unamortized premium balance of $2.1 billion and $2.3 billion, respectively, including interest and principal-only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7" w:right="2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color w:val="auto"/>
        </w:rPr>
        <w:t>The following tables summarize our investment securities as of December 31, 2016 and 2015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45,145</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210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44,736</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46,580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46,211</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46,866</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259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46,499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50,576</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339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50,522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52,350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52,360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52,464</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52,473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4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34,244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44,397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46,414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(442)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35,453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46,017</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 xml:space="preserve">Par value </w:t>
            </w:r>
            <w:r>
              <w:rPr>
                <w:rFonts w:ascii="Arial" w:cs="Arial" w:eastAsia="Arial" w:hAnsi="Arial"/>
                <w:sz w:val="8"/>
                <w:szCs w:val="8"/>
                <w:color w:val="auto"/>
              </w:rPr>
              <w:t>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35,732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10,434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46,499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December 31, 2016</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December 31, 2016 </w:t>
            </w:r>
            <w:r>
              <w:rPr>
                <w:rFonts w:ascii="Arial" w:cs="Arial" w:eastAsia="Arial" w:hAnsi="Arial"/>
                <w:sz w:val="8"/>
                <w:szCs w:val="8"/>
                <w:color w:val="auto"/>
              </w:rPr>
              <w:t>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25"/>
        </w:trPr>
        <w:tc>
          <w:tcPr>
            <w:tcW w:w="418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Par value amount excludes the underlying unamortized principal balance ("UPB") of interest-only securities of $0.9 billion as of December 31,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Non-Agency</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Fannie Mae</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Freddie Mac</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Ginnie Mae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RMBS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62"/>
        </w:trPr>
        <w:tc>
          <w:tcPr>
            <w:tcW w:w="464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464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39,205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49,955</w:t>
            </w:r>
          </w:p>
        </w:tc>
      </w:tr>
      <w:tr>
        <w:trPr>
          <w:trHeight w:val="262"/>
        </w:trPr>
        <w:tc>
          <w:tcPr>
            <w:tcW w:w="464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(36)</w:t>
            </w:r>
          </w:p>
        </w:tc>
      </w:tr>
      <w:tr>
        <w:trPr>
          <w:trHeight w:val="272"/>
        </w:trPr>
        <w:tc>
          <w:tcPr>
            <w:tcW w:w="464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2,228</w:t>
            </w:r>
          </w:p>
        </w:tc>
      </w:tr>
      <w:tr>
        <w:trPr>
          <w:trHeight w:val="249"/>
        </w:trPr>
        <w:tc>
          <w:tcPr>
            <w:tcW w:w="4640" w:type="dxa"/>
            <w:vAlign w:val="bottom"/>
            <w:gridSpan w:val="2"/>
          </w:tcPr>
          <w:p>
            <w:pPr>
              <w:ind w:left="260"/>
              <w:spacing w:after="0"/>
              <w:rPr>
                <w:sz w:val="20"/>
                <w:szCs w:val="20"/>
                <w:color w:val="auto"/>
              </w:rPr>
            </w:pPr>
            <w:r>
              <w:rPr>
                <w:rFonts w:ascii="Arial" w:cs="Arial" w:eastAsia="Arial" w:hAnsi="Arial"/>
                <w:sz w:val="13"/>
                <w:szCs w:val="13"/>
                <w:color w:val="auto"/>
              </w:rPr>
              <w:t>Amortized cost</w:t>
            </w: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40,880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11,090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52,147</w:t>
            </w:r>
          </w:p>
        </w:tc>
      </w:tr>
      <w:tr>
        <w:trPr>
          <w:trHeight w:val="278"/>
        </w:trPr>
        <w:tc>
          <w:tcPr>
            <w:tcW w:w="464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368</w:t>
            </w:r>
          </w:p>
        </w:tc>
      </w:tr>
      <w:tr>
        <w:trPr>
          <w:trHeight w:val="264"/>
        </w:trPr>
        <w:tc>
          <w:tcPr>
            <w:tcW w:w="464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8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(395)</w:t>
            </w:r>
          </w:p>
        </w:tc>
      </w:tr>
      <w:tr>
        <w:trPr>
          <w:trHeight w:val="257"/>
        </w:trPr>
        <w:tc>
          <w:tcPr>
            <w:tcW w:w="4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40,883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11,059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52,120</w:t>
            </w:r>
          </w:p>
        </w:tc>
      </w:tr>
      <w:tr>
        <w:trPr>
          <w:trHeight w:val="256"/>
        </w:trPr>
        <w:tc>
          <w:tcPr>
            <w:tcW w:w="464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 xml:space="preserve">Par value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208</w:t>
            </w:r>
          </w:p>
        </w:tc>
      </w:tr>
      <w:tr>
        <w:trPr>
          <w:trHeight w:val="262"/>
        </w:trPr>
        <w:tc>
          <w:tcPr>
            <w:tcW w:w="4640" w:type="dxa"/>
            <w:vAlign w:val="bottom"/>
            <w:gridSpan w:val="2"/>
          </w:tcPr>
          <w:p>
            <w:pPr>
              <w:ind w:left="260"/>
              <w:spacing w:after="0"/>
              <w:rPr>
                <w:sz w:val="20"/>
                <w:szCs w:val="20"/>
                <w:color w:val="auto"/>
              </w:rPr>
            </w:pPr>
            <w:r>
              <w:rPr>
                <w:rFonts w:ascii="Arial" w:cs="Arial" w:eastAsia="Arial" w:hAnsi="Arial"/>
                <w:sz w:val="13"/>
                <w:szCs w:val="13"/>
                <w:color w:val="auto"/>
              </w:rPr>
              <w:t>Unamortized discount</w:t>
            </w:r>
          </w:p>
        </w:tc>
        <w:tc>
          <w:tcPr>
            <w:tcW w:w="18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(42)</w:t>
            </w:r>
          </w:p>
        </w:tc>
      </w:tr>
      <w:tr>
        <w:trPr>
          <w:trHeight w:val="272"/>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Unamortized premium</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151</w:t>
            </w:r>
          </w:p>
        </w:tc>
      </w:tr>
      <w:tr>
        <w:trPr>
          <w:trHeight w:val="249"/>
        </w:trPr>
        <w:tc>
          <w:tcPr>
            <w:tcW w:w="4640" w:type="dxa"/>
            <w:vAlign w:val="bottom"/>
            <w:gridSpan w:val="2"/>
          </w:tcPr>
          <w:p>
            <w:pPr>
              <w:ind w:left="260"/>
              <w:spacing w:after="0"/>
              <w:rPr>
                <w:sz w:val="20"/>
                <w:szCs w:val="20"/>
                <w:color w:val="auto"/>
              </w:rPr>
            </w:pPr>
            <w:r>
              <w:rPr>
                <w:rFonts w:ascii="Arial" w:cs="Arial" w:eastAsia="Arial" w:hAnsi="Arial"/>
                <w:sz w:val="13"/>
                <w:szCs w:val="13"/>
                <w:color w:val="auto"/>
              </w:rPr>
              <w:t>Amortized cost</w:t>
            </w:r>
          </w:p>
        </w:tc>
        <w:tc>
          <w:tcPr>
            <w:tcW w:w="18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317</w:t>
            </w:r>
          </w:p>
        </w:tc>
      </w:tr>
      <w:tr>
        <w:trPr>
          <w:trHeight w:val="278"/>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Gross unrealized gains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w:t>
            </w:r>
          </w:p>
        </w:tc>
      </w:tr>
      <w:tr>
        <w:trPr>
          <w:trHeight w:val="264"/>
        </w:trPr>
        <w:tc>
          <w:tcPr>
            <w:tcW w:w="464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Gross unrealized losses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w:t>
            </w:r>
          </w:p>
        </w:tc>
      </w:tr>
      <w:tr>
        <w:trPr>
          <w:trHeight w:val="25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353</w:t>
            </w:r>
          </w:p>
        </w:tc>
      </w:tr>
      <w:tr>
        <w:trPr>
          <w:trHeight w:val="282"/>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41,214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11,081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52,473</w:t>
            </w:r>
          </w:p>
        </w:tc>
      </w:tr>
      <w:tr>
        <w:trPr>
          <w:trHeight w:val="225"/>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December 31, 2015</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r>
      <w:tr>
        <w:trPr>
          <w:trHeight w:val="251"/>
        </w:trPr>
        <w:tc>
          <w:tcPr>
            <w:tcW w:w="464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December 31, 2015 </w:t>
            </w:r>
            <w:r>
              <w:rPr>
                <w:rFonts w:ascii="Arial" w:cs="Arial" w:eastAsia="Arial" w:hAnsi="Arial"/>
                <w:sz w:val="8"/>
                <w:szCs w:val="8"/>
                <w:color w:val="auto"/>
              </w:rPr>
              <w:t>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2.78%</w:t>
            </w:r>
          </w:p>
        </w:tc>
      </w:tr>
      <w:tr>
        <w:trPr>
          <w:trHeight w:val="174"/>
        </w:trPr>
        <w:tc>
          <w:tcPr>
            <w:tcW w:w="454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Par value amount excludes the UPB of interest-only securities of $1.0 billion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86" w:right="23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t>As of December 31, 2016 and 2015, our investments in non-Agency securities had the following credit ratings:</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December 31, 2015</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Non-Agency Security Credit Ratings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CMBS</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CRT</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CMBS</w:t>
            </w:r>
          </w:p>
        </w:tc>
      </w:tr>
      <w:tr>
        <w:trPr>
          <w:trHeight w:val="25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264"/>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BBB</w:t>
            </w:r>
          </w:p>
        </w:tc>
        <w:tc>
          <w:tcPr>
            <w:tcW w:w="2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27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244"/>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ind w:left="6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0</wp:posOffset>
            </wp:positionV>
            <wp:extent cx="4459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-98425</wp:posOffset>
            </wp:positionV>
            <wp:extent cx="4459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ind w:left="660" w:hanging="328"/>
        <w:spacing w:after="0"/>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CRT securities reference the performance of loans that have been guaranteed by Fannie Mae or Freddie Mac, subject to their underwriting standards. As of December 31, 2016, our CRT securities had floating rate coupons ranging from 4.6% to 7.1%, with weighted average coupons of underlying collateral ranging from 4.0% to 4.2%. The loans underlying our CRT securities were originated between 2015 and 2016.</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December 31, 2016 and 2015, the weighted average expected constant prepayment rate ("CPR") over the remaining life of our aggregate investment portfolio was 8%. Our estimates differ materially for different types of securities and thus individual holdings have a wide range of projected CPRs.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investments classified as available-for-sale as of December 31, 2016 and 2015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2016</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Securities Classified as Available-for-Sale</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13,449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3.26%</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3.08%</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securities by length of time that such securities have been in a continuous unrealized loss position as of December 31, 2016 and 2015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24,035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30,828</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did not recognize any OTTI charges on our investment securities for fiscal years 2016 and 2015.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4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securities classified as available-for-sale for fiscal years 2016, 2015 and 2014 (in millions). Please refer to Note 8 for a summary of changes in accumulated OCI for the same periods</w:t>
      </w:r>
      <w:r>
        <w:rPr>
          <w:rFonts w:ascii="Arial" w:cs="Arial" w:eastAsia="Arial" w:hAnsi="Arial"/>
          <w:sz w:val="16"/>
          <w:szCs w:val="16"/>
          <w:color w:val="auto"/>
        </w:rPr>
        <w:t>.</w:t>
      </w:r>
    </w:p>
    <w:p>
      <w:pPr>
        <w:spacing w:after="0" w:line="176"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r>
      <w:tr>
        <w:trPr>
          <w:trHeight w:val="25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RMBS sold, at cost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r>
      <w:tr>
        <w:trPr>
          <w:trHeight w:val="264"/>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RMBS sold </w:t>
            </w:r>
            <w:r>
              <w:rPr>
                <w:rFonts w:ascii="Arial" w:cs="Arial" w:eastAsia="Arial" w:hAnsi="Arial"/>
                <w:sz w:val="8"/>
                <w:szCs w:val="8"/>
                <w:color w:val="auto"/>
              </w:rPr>
              <w:t>1</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30,174</w:t>
            </w:r>
          </w:p>
        </w:tc>
      </w:tr>
      <w:tr>
        <w:trPr>
          <w:trHeight w:val="24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RMBS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RMBS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r>
      <w:tr>
        <w:trPr>
          <w:trHeight w:val="264"/>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RMBS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RMBS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RMBS sold during the period as of period end.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December 31, 2016 and 2015,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connection with our consolidated CMO trusts, we recognized Agency securities with a total fair value of $0.8 billion and $1.0 billion as of December 31, 2016 and 2015, respectively, and debt with a total fair value of $460 million and $595 million, respectively, in our accompanying consolidated balance sheets. As of December 31, 2016 and 2015, the Agency securities had an aggregate unpaid principal balance of $0.8 billion and $1.0 billion, respectively, and the debt had an aggregate unpaid principal balance of $452 million and $587 million, respectively. We re-measure our consolidated debt at fair value through earnings in gain (loss) on derivative instruments and other securities, net in our consolidated statements of comprehensive income. For fiscal years 2016, 2015 and 2014, we recorded a loss of $3 million, a gain of $16 million and a loss of $10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2016 and 2015, the fair value of our CMO securities and interest and principal-only securities was $1.1 billion and $1.3 billion, respectively, excluding the consolidated CMO trusts discussed above, or $1.5 billion and $1.8 billion, respectively, including the net asset value of our consolidated CMO trusts. Our maximum exposure to loss related to our CMO securities and interest and principal-only securities, including our consolidated CMO trusts, was $182 million and $238 million as of December 31,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Other Secured Borrowings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pledge certain of our securities as collateral under our repurchase agreements with financial institutions and under our secured borrowing facility with the Federal Home Loan Bank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2016, we had met all margin call requirements. For additional information regarding our pledged assets, please refer to Note 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2016 and 2015, we had $37.9 billion and $41.8 billion, respectively, of repurchase agreements outstanding. The terms and conditions of our repurchase agreements are typically negotiated on a transaction-by-transaction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27" w:right="23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18"/>
          <w:szCs w:val="18"/>
          <w:color w:val="auto"/>
        </w:rPr>
        <w:t>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agreements by their remaining maturities as of December 31, 2016 and 2015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17,481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0.90 %</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865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1,506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41,729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Arial" w:cs="Arial" w:eastAsia="Arial" w:hAnsi="Arial"/>
                <w:sz w:val="16"/>
                <w:szCs w:val="16"/>
                <w:color w:val="auto"/>
              </w:rPr>
              <w:t>&gt; 1 day to ≤ 1 month</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37,858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41,754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12, 2016, the Federal Housing Finance Agency ("FHFA") released its final rule on FHLB membership, which terminated of our wholly-owned captive insurance subsidiary's FHLB membership and required repayment of all FHLB advances at the earlier of their contractual maturity or a one year period that concluded in February 2017. As of December 31, 2016 and 2015, we had $3.0 billion and $3.8 billion, respectively, of outstanding secured FHLB advances, with a weighted average borrowing rate of 0.73% and 0.53%, respectively, and a weighted average remaining term to maturity of 28 and 141 days, respectively, consisting of 30 day and longer-term floating rate advances: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4"/>
              </w:rPr>
              <w:t>FHLB Advances</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20" w:type="dxa"/>
            <w:vAlign w:val="bottom"/>
          </w:tcPr>
          <w:p>
            <w:pPr>
              <w:spacing w:after="0"/>
              <w:rPr>
                <w:sz w:val="12"/>
                <w:szCs w:val="12"/>
                <w:color w:val="auto"/>
              </w:rPr>
            </w:pPr>
          </w:p>
        </w:tc>
        <w:tc>
          <w:tcPr>
            <w:tcW w:w="11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FHLB Advances</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1 to ≤ 3 months</w:t>
            </w:r>
          </w:p>
        </w:tc>
        <w:tc>
          <w:tcPr>
            <w:tcW w:w="1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13 months</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44"/>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Total FHLB advances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3,037</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3,753</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2016 and 2015, debt of consolidated VIEs, at fair value, was $460 million and $595 million, respectively, and had a weighted average interest rate of LIBOR plus 36 and 34 basis points, respectively, and a principal balance of $452 million and $587 million, respectively. The actual maturities of our debt of consolidated VIEs are generally shorter than the stated contractual maturities. The actual maturities are affected by the contractual lives of the underlying Agency RMBS securitizing the debt of our consolidated VIEs and periodic principal prepayments of such underlying securities. The estimated weighted average life of the debt of our consolidated VIEs as of December 31, 2016 and 2015 was 5.8 and 4.9 years,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function of our risk management strategy, we hedge a portion of our interest rate risk by entering into derivative and other hedging instrument contracts. The principal instruments that we use are interest rate swaps and interest rate swaptions and U.S. Treasury securities and U.S. Treasury futures contracts, primarily through short sales. We may also utilize TBA securities, purchase or write put or call options on TBA securities and other types of derivative instruments to hedge a portion of our risk. We also enter into TBA contracts as a means of investing in and financing Agency securities (thereby increasing our "at risk" leverage) or as a means of disposing of or reducing our exposure to Agency securities (thereby reducing our "at risk" leverage).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2.</w:t>
      </w:r>
    </w:p>
    <w:p>
      <w:pPr>
        <w:spacing w:after="0" w:line="1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fiscal years 2016, 2015 and 2014, we reclassified $39 million, $101 million and $156 million, respectively, of net deferred losses from accumulated OCI into interest expense related to our de-designated interest rate swaps and recognized an equal, but offsetting, amount in other comprehensive income. Our total net periodic interest costs on our swap portfolio were $294 million, $494 million and 486 million for fiscal years 2016, 2015 and 2014, respectively. The difference between our total net periodic interest costs on our swap portfolio and the amount recorded in interest expense related to our de-designated hedges is reported in gain (loss) on derivative instruments and other securities, net in our accompanying consolidated statements of comprehensive income (totaling $255 million, $393 million and 330 million for fiscal years 2016, 2015 and 2014, respectively). As of December 31, 2016, all of the net deferred losses related to de-designated interest rate swaps had been reclassified from accumulated OCI into interest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and other hedging instrument assets/(liabilities) as of December 31, 2016 and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Borders>
              <w:bottom w:val="single" w:sz="8" w:color="CCEEFF"/>
            </w:tcBorders>
          </w:tcPr>
          <w:p>
            <w:pPr>
              <w:spacing w:after="0"/>
              <w:rPr>
                <w:sz w:val="22"/>
                <w:szCs w:val="22"/>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20"/>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(7,636)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(1,696)</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46"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t>The following table summarizes our interest rate swap agreements outstanding as of December 31, 2016 and 2015 (dollars in millions):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4"/>
                <w:szCs w:val="14"/>
                <w:b w:val="1"/>
                <w:bCs w:val="1"/>
                <w:color w:val="auto"/>
                <w:w w:val="91"/>
              </w:rPr>
              <w:t>December 31, 2015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Payer Interest Rate</w:t>
            </w:r>
          </w:p>
        </w:tc>
        <w:tc>
          <w:tcPr>
            <w:tcW w:w="14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760" w:type="dxa"/>
            <w:vAlign w:val="bottom"/>
          </w:tcPr>
          <w:p>
            <w:pPr>
              <w:jc w:val="center"/>
              <w:ind w:left="62"/>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760" w:type="dxa"/>
            <w:vAlign w:val="bottom"/>
          </w:tcPr>
          <w:p>
            <w:pPr>
              <w:jc w:val="center"/>
              <w:ind w:left="62"/>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Fixed Pay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Receive</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Fixed Pay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Swaps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19,775</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1.16%</w:t>
            </w:r>
          </w:p>
        </w:tc>
        <w:tc>
          <w:tcPr>
            <w:tcW w:w="1060" w:type="dxa"/>
            <w:vAlign w:val="bottom"/>
            <w:tcBorders>
              <w:bottom w:val="single" w:sz="8" w:color="CCEEFF"/>
            </w:tcBorders>
            <w:gridSpan w:val="3"/>
            <w:shd w:val="clear" w:color="auto" w:fill="CCEEFF"/>
          </w:tcPr>
          <w:p>
            <w:pPr>
              <w:jc w:val="center"/>
              <w:ind w:left="200"/>
              <w:spacing w:after="0"/>
              <w:rPr>
                <w:sz w:val="20"/>
                <w:szCs w:val="20"/>
                <w:color w:val="auto"/>
              </w:rPr>
            </w:pPr>
            <w:r>
              <w:rPr>
                <w:rFonts w:ascii="Arial" w:cs="Arial" w:eastAsia="Arial" w:hAnsi="Arial"/>
                <w:sz w:val="16"/>
                <w:szCs w:val="16"/>
                <w:color w:val="auto"/>
                <w:w w:val="92"/>
              </w:rPr>
              <w:t>0.92%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14,775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1.06%</w:t>
            </w:r>
          </w:p>
        </w:tc>
        <w:tc>
          <w:tcPr>
            <w:tcW w:w="1040" w:type="dxa"/>
            <w:vAlign w:val="bottom"/>
            <w:tcBorders>
              <w:bottom w:val="single" w:sz="8" w:color="CCEEFF"/>
            </w:tcBorders>
            <w:gridSpan w:val="3"/>
            <w:shd w:val="clear" w:color="auto" w:fill="CCEEFF"/>
          </w:tcPr>
          <w:p>
            <w:pPr>
              <w:jc w:val="center"/>
              <w:ind w:left="180"/>
              <w:spacing w:after="0"/>
              <w:rPr>
                <w:sz w:val="20"/>
                <w:szCs w:val="20"/>
                <w:color w:val="auto"/>
              </w:rPr>
            </w:pPr>
            <w:r>
              <w:rPr>
                <w:rFonts w:ascii="Arial" w:cs="Arial" w:eastAsia="Arial" w:hAnsi="Arial"/>
                <w:sz w:val="16"/>
                <w:szCs w:val="16"/>
                <w:color w:val="auto"/>
                <w:w w:val="92"/>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40" w:type="dxa"/>
            <w:vAlign w:val="bottom"/>
          </w:tcPr>
          <w:p>
            <w:pPr>
              <w:spacing w:after="0"/>
              <w:rPr>
                <w:sz w:val="20"/>
                <w:szCs w:val="20"/>
                <w:color w:val="auto"/>
              </w:rPr>
            </w:pPr>
          </w:p>
        </w:tc>
        <w:tc>
          <w:tcPr>
            <w:tcW w:w="760" w:type="dxa"/>
            <w:vAlign w:val="bottom"/>
          </w:tcPr>
          <w:p>
            <w:pPr>
              <w:jc w:val="center"/>
              <w:ind w:left="62"/>
              <w:spacing w:after="0"/>
              <w:rPr>
                <w:sz w:val="20"/>
                <w:szCs w:val="20"/>
                <w:color w:val="auto"/>
              </w:rPr>
            </w:pPr>
            <w:r>
              <w:rPr>
                <w:rFonts w:ascii="Arial" w:cs="Arial" w:eastAsia="Arial" w:hAnsi="Arial"/>
                <w:sz w:val="16"/>
                <w:szCs w:val="16"/>
                <w:color w:val="auto"/>
                <w:w w:val="92"/>
              </w:rPr>
              <w:t>1.62%</w:t>
            </w:r>
          </w:p>
        </w:tc>
        <w:tc>
          <w:tcPr>
            <w:tcW w:w="1060" w:type="dxa"/>
            <w:vAlign w:val="bottom"/>
            <w:gridSpan w:val="3"/>
          </w:tcPr>
          <w:p>
            <w:pPr>
              <w:jc w:val="center"/>
              <w:ind w:left="200"/>
              <w:spacing w:after="0"/>
              <w:rPr>
                <w:sz w:val="20"/>
                <w:szCs w:val="20"/>
                <w:color w:val="auto"/>
              </w:rPr>
            </w:pPr>
            <w:r>
              <w:rPr>
                <w:rFonts w:ascii="Arial" w:cs="Arial" w:eastAsia="Arial" w:hAnsi="Arial"/>
                <w:sz w:val="16"/>
                <w:szCs w:val="16"/>
                <w:color w:val="auto"/>
                <w:w w:val="92"/>
              </w:rPr>
              <w:t>0.91%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0"/>
                <w:szCs w:val="20"/>
                <w:color w:val="auto"/>
              </w:rPr>
            </w:pPr>
          </w:p>
        </w:tc>
        <w:tc>
          <w:tcPr>
            <w:tcW w:w="760" w:type="dxa"/>
            <w:vAlign w:val="bottom"/>
          </w:tcPr>
          <w:p>
            <w:pPr>
              <w:jc w:val="center"/>
              <w:ind w:left="62"/>
              <w:spacing w:after="0"/>
              <w:rPr>
                <w:sz w:val="20"/>
                <w:szCs w:val="20"/>
                <w:color w:val="auto"/>
              </w:rPr>
            </w:pPr>
            <w:r>
              <w:rPr>
                <w:rFonts w:ascii="Arial" w:cs="Arial" w:eastAsia="Arial" w:hAnsi="Arial"/>
                <w:sz w:val="16"/>
                <w:szCs w:val="16"/>
                <w:color w:val="auto"/>
                <w:w w:val="92"/>
              </w:rPr>
              <w:t>2.03%</w:t>
            </w:r>
          </w:p>
        </w:tc>
        <w:tc>
          <w:tcPr>
            <w:tcW w:w="1040" w:type="dxa"/>
            <w:vAlign w:val="bottom"/>
            <w:gridSpan w:val="3"/>
          </w:tcPr>
          <w:p>
            <w:pPr>
              <w:jc w:val="center"/>
              <w:ind w:left="180"/>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1.89%</w:t>
            </w:r>
          </w:p>
        </w:tc>
        <w:tc>
          <w:tcPr>
            <w:tcW w:w="1060" w:type="dxa"/>
            <w:vAlign w:val="bottom"/>
            <w:tcBorders>
              <w:bottom w:val="single" w:sz="8" w:color="CCEEFF"/>
            </w:tcBorders>
            <w:gridSpan w:val="3"/>
            <w:shd w:val="clear" w:color="auto" w:fill="CCEEFF"/>
          </w:tcPr>
          <w:p>
            <w:pPr>
              <w:jc w:val="center"/>
              <w:ind w:left="200"/>
              <w:spacing w:after="0"/>
              <w:rPr>
                <w:sz w:val="20"/>
                <w:szCs w:val="20"/>
                <w:color w:val="auto"/>
              </w:rPr>
            </w:pPr>
            <w:r>
              <w:rPr>
                <w:rFonts w:ascii="Arial" w:cs="Arial" w:eastAsia="Arial" w:hAnsi="Arial"/>
                <w:sz w:val="16"/>
                <w:szCs w:val="16"/>
                <w:color w:val="auto"/>
                <w:w w:val="92"/>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7,175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2.47%</w:t>
            </w:r>
          </w:p>
        </w:tc>
        <w:tc>
          <w:tcPr>
            <w:tcW w:w="1040" w:type="dxa"/>
            <w:vAlign w:val="bottom"/>
            <w:tcBorders>
              <w:bottom w:val="single" w:sz="8" w:color="CCEEFF"/>
            </w:tcBorders>
            <w:gridSpan w:val="3"/>
            <w:shd w:val="clear" w:color="auto" w:fill="CCEEFF"/>
          </w:tcPr>
          <w:p>
            <w:pPr>
              <w:jc w:val="center"/>
              <w:ind w:left="180"/>
              <w:spacing w:after="0"/>
              <w:rPr>
                <w:sz w:val="20"/>
                <w:szCs w:val="20"/>
                <w:color w:val="auto"/>
              </w:rPr>
            </w:pPr>
            <w:r>
              <w:rPr>
                <w:rFonts w:ascii="Arial" w:cs="Arial" w:eastAsia="Arial" w:hAnsi="Arial"/>
                <w:sz w:val="16"/>
                <w:szCs w:val="16"/>
                <w:color w:val="auto"/>
                <w:w w:val="92"/>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3,325</w:t>
            </w:r>
          </w:p>
        </w:tc>
        <w:tc>
          <w:tcPr>
            <w:tcW w:w="140" w:type="dxa"/>
            <w:vAlign w:val="bottom"/>
          </w:tcPr>
          <w:p>
            <w:pPr>
              <w:spacing w:after="0"/>
              <w:rPr>
                <w:sz w:val="20"/>
                <w:szCs w:val="20"/>
                <w:color w:val="auto"/>
              </w:rPr>
            </w:pPr>
          </w:p>
        </w:tc>
        <w:tc>
          <w:tcPr>
            <w:tcW w:w="760" w:type="dxa"/>
            <w:vAlign w:val="bottom"/>
          </w:tcPr>
          <w:p>
            <w:pPr>
              <w:jc w:val="center"/>
              <w:ind w:left="62"/>
              <w:spacing w:after="0"/>
              <w:rPr>
                <w:sz w:val="20"/>
                <w:szCs w:val="20"/>
                <w:color w:val="auto"/>
              </w:rPr>
            </w:pPr>
            <w:r>
              <w:rPr>
                <w:rFonts w:ascii="Arial" w:cs="Arial" w:eastAsia="Arial" w:hAnsi="Arial"/>
                <w:sz w:val="16"/>
                <w:szCs w:val="16"/>
                <w:color w:val="auto"/>
                <w:w w:val="92"/>
              </w:rPr>
              <w:t>1.90%</w:t>
            </w:r>
          </w:p>
        </w:tc>
        <w:tc>
          <w:tcPr>
            <w:tcW w:w="1060" w:type="dxa"/>
            <w:vAlign w:val="bottom"/>
            <w:gridSpan w:val="3"/>
          </w:tcPr>
          <w:p>
            <w:pPr>
              <w:jc w:val="center"/>
              <w:ind w:left="200"/>
              <w:spacing w:after="0"/>
              <w:rPr>
                <w:sz w:val="20"/>
                <w:szCs w:val="20"/>
                <w:color w:val="auto"/>
              </w:rPr>
            </w:pPr>
            <w:r>
              <w:rPr>
                <w:rFonts w:ascii="Arial" w:cs="Arial" w:eastAsia="Arial" w:hAnsi="Arial"/>
                <w:sz w:val="16"/>
                <w:szCs w:val="16"/>
                <w:color w:val="auto"/>
                <w:w w:val="92"/>
              </w:rPr>
              <w:t>0.91%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760" w:type="dxa"/>
            <w:vAlign w:val="bottom"/>
          </w:tcPr>
          <w:p>
            <w:pPr>
              <w:jc w:val="center"/>
              <w:ind w:left="62"/>
              <w:spacing w:after="0"/>
              <w:rPr>
                <w:sz w:val="20"/>
                <w:szCs w:val="20"/>
                <w:color w:val="auto"/>
              </w:rPr>
            </w:pPr>
            <w:r>
              <w:rPr>
                <w:rFonts w:ascii="Arial" w:cs="Arial" w:eastAsia="Arial" w:hAnsi="Arial"/>
                <w:sz w:val="16"/>
                <w:szCs w:val="16"/>
                <w:color w:val="auto"/>
                <w:w w:val="92"/>
              </w:rPr>
              <w:t>2.57%</w:t>
            </w:r>
          </w:p>
        </w:tc>
        <w:tc>
          <w:tcPr>
            <w:tcW w:w="1040" w:type="dxa"/>
            <w:vAlign w:val="bottom"/>
            <w:gridSpan w:val="3"/>
          </w:tcPr>
          <w:p>
            <w:pPr>
              <w:jc w:val="center"/>
              <w:ind w:left="180"/>
              <w:spacing w:after="0"/>
              <w:rPr>
                <w:sz w:val="20"/>
                <w:szCs w:val="20"/>
                <w:color w:val="auto"/>
              </w:rPr>
            </w:pPr>
            <w:r>
              <w:rPr>
                <w:rFonts w:ascii="Arial" w:cs="Arial" w:eastAsia="Arial" w:hAnsi="Arial"/>
                <w:sz w:val="16"/>
                <w:szCs w:val="16"/>
                <w:color w:val="auto"/>
                <w:w w:val="92"/>
              </w:rPr>
              <w:t>0.39%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1,900</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2.64%</w:t>
            </w:r>
          </w:p>
        </w:tc>
        <w:tc>
          <w:tcPr>
            <w:tcW w:w="1060" w:type="dxa"/>
            <w:vAlign w:val="bottom"/>
            <w:tcBorders>
              <w:bottom w:val="single" w:sz="8" w:color="CCEEFF"/>
            </w:tcBorders>
            <w:gridSpan w:val="3"/>
            <w:shd w:val="clear" w:color="auto" w:fill="CCEEFF"/>
          </w:tcPr>
          <w:p>
            <w:pPr>
              <w:jc w:val="center"/>
              <w:ind w:left="200"/>
              <w:spacing w:after="0"/>
              <w:rPr>
                <w:sz w:val="20"/>
                <w:szCs w:val="20"/>
                <w:color w:val="auto"/>
              </w:rPr>
            </w:pPr>
            <w:r>
              <w:rPr>
                <w:rFonts w:ascii="Arial" w:cs="Arial" w:eastAsia="Arial" w:hAnsi="Arial"/>
                <w:sz w:val="16"/>
                <w:szCs w:val="16"/>
                <w:color w:val="auto"/>
                <w:w w:val="92"/>
              </w:rPr>
              <w:t>0.91%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6"/>
                <w:szCs w:val="16"/>
                <w:color w:val="auto"/>
                <w:w w:val="92"/>
              </w:rPr>
              <w:t>3.20%</w:t>
            </w:r>
          </w:p>
        </w:tc>
        <w:tc>
          <w:tcPr>
            <w:tcW w:w="1040" w:type="dxa"/>
            <w:vAlign w:val="bottom"/>
            <w:tcBorders>
              <w:bottom w:val="single" w:sz="8" w:color="CCEEFF"/>
            </w:tcBorders>
            <w:gridSpan w:val="3"/>
            <w:shd w:val="clear" w:color="auto" w:fill="CCEEFF"/>
          </w:tcPr>
          <w:p>
            <w:pPr>
              <w:jc w:val="center"/>
              <w:ind w:left="180"/>
              <w:spacing w:after="0"/>
              <w:rPr>
                <w:sz w:val="20"/>
                <w:szCs w:val="20"/>
                <w:color w:val="auto"/>
              </w:rPr>
            </w:pPr>
            <w:r>
              <w:rPr>
                <w:rFonts w:ascii="Arial" w:cs="Arial" w:eastAsia="Arial" w:hAnsi="Arial"/>
                <w:sz w:val="16"/>
                <w:szCs w:val="16"/>
                <w:color w:val="auto"/>
                <w:w w:val="92"/>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31"/>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37,175</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center"/>
              <w:ind w:left="62"/>
              <w:spacing w:after="0"/>
              <w:rPr>
                <w:sz w:val="20"/>
                <w:szCs w:val="20"/>
                <w:color w:val="auto"/>
              </w:rPr>
            </w:pPr>
            <w:r>
              <w:rPr>
                <w:rFonts w:ascii="Arial" w:cs="Arial" w:eastAsia="Arial" w:hAnsi="Arial"/>
                <w:sz w:val="16"/>
                <w:szCs w:val="16"/>
                <w:color w:val="auto"/>
                <w:w w:val="92"/>
              </w:rPr>
              <w:t>1.48%</w:t>
            </w:r>
          </w:p>
        </w:tc>
        <w:tc>
          <w:tcPr>
            <w:tcW w:w="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40,525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center"/>
              <w:ind w:left="62"/>
              <w:spacing w:after="0"/>
              <w:rPr>
                <w:sz w:val="20"/>
                <w:szCs w:val="20"/>
                <w:color w:val="auto"/>
              </w:rPr>
            </w:pPr>
            <w:r>
              <w:rPr>
                <w:rFonts w:ascii="Arial" w:cs="Arial" w:eastAsia="Arial" w:hAnsi="Arial"/>
                <w:sz w:val="16"/>
                <w:szCs w:val="16"/>
                <w:color w:val="auto"/>
                <w:w w:val="92"/>
              </w:rPr>
              <w:t>1.89%</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12700</wp:posOffset>
            </wp:positionV>
            <wp:extent cx="61233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-130175</wp:posOffset>
            </wp:positionV>
            <wp:extent cx="61233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ind w:left="660" w:hanging="328"/>
        <w:spacing w:after="0" w:line="241"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of December 31, 2016 and 2015, notional amount includes forward starting swaps of $0.6 billion and $4.5 billion, respectively, with an average forward start date of 1.2 and 0.7 years, respectively, and an average maturity of 10.7 and 5.5 years, respectively.</w:t>
      </w:r>
    </w:p>
    <w:p>
      <w:pPr>
        <w:ind w:left="660" w:hanging="328"/>
        <w:spacing w:after="0" w:line="241"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1.46% and 1.75% as of December 31, 2016 and 2015, respectively.</w:t>
      </w:r>
    </w:p>
    <w:p>
      <w:pPr>
        <w:ind w:left="660" w:hanging="328"/>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our interest rate payer swaption agreements, U.S. Treasury securities and U.S. Treasury futures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 1 year</w:t>
            </w:r>
          </w:p>
        </w:tc>
        <w:tc>
          <w:tcPr>
            <w:tcW w:w="120" w:type="dxa"/>
            <w:vAlign w:val="bottom"/>
          </w:tcPr>
          <w:p>
            <w:pPr>
              <w:spacing w:after="0"/>
              <w:rPr>
                <w:sz w:val="23"/>
                <w:szCs w:val="23"/>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48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6"/>
                <w:szCs w:val="16"/>
                <w:color w:val="auto"/>
                <w:w w:val="88"/>
              </w:rPr>
              <w:t>3.06%</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jc w:val="right"/>
              <w:ind w:right="86"/>
              <w:spacing w:after="0"/>
              <w:rPr>
                <w:sz w:val="20"/>
                <w:szCs w:val="20"/>
                <w:color w:val="auto"/>
              </w:rPr>
            </w:pPr>
            <w:r>
              <w:rPr>
                <w:rFonts w:ascii="Arial" w:cs="Arial" w:eastAsia="Arial" w:hAnsi="Arial"/>
                <w:sz w:val="16"/>
                <w:szCs w:val="16"/>
                <w:color w:val="auto"/>
                <w:w w:val="98"/>
              </w:rPr>
              <w:t>3M</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44"/>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2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 1 year</w:t>
            </w:r>
          </w:p>
        </w:tc>
        <w:tc>
          <w:tcPr>
            <w:tcW w:w="120" w:type="dxa"/>
            <w:vAlign w:val="bottom"/>
          </w:tcPr>
          <w:p>
            <w:pPr>
              <w:spacing w:after="0"/>
              <w:rPr>
                <w:sz w:val="21"/>
                <w:szCs w:val="21"/>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48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4</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6"/>
                <w:szCs w:val="16"/>
                <w:color w:val="auto"/>
                <w:w w:val="88"/>
              </w:rPr>
              <w:t>3.51%</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ind w:right="86"/>
              <w:spacing w:after="0"/>
              <w:rPr>
                <w:sz w:val="20"/>
                <w:szCs w:val="20"/>
                <w:color w:val="auto"/>
              </w:rPr>
            </w:pPr>
            <w:r>
              <w:rPr>
                <w:rFonts w:ascii="Arial" w:cs="Arial" w:eastAsia="Arial" w:hAnsi="Arial"/>
                <w:sz w:val="16"/>
                <w:szCs w:val="16"/>
                <w:color w:val="auto"/>
                <w:w w:val="98"/>
              </w:rPr>
              <w:t>3M</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44"/>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3"/>
              </w:rPr>
              <w:t>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Face Amount Net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5"/>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7"/>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1180" w:type="dxa"/>
            <w:vAlign w:val="bottom"/>
            <w:gridSpan w:val="6"/>
            <w:vMerge w:val="restart"/>
          </w:tcPr>
          <w:p>
            <w:pPr>
              <w:jc w:val="right"/>
              <w:ind w:right="206"/>
              <w:spacing w:after="0"/>
              <w:rPr>
                <w:sz w:val="20"/>
                <w:szCs w:val="20"/>
                <w:color w:val="auto"/>
              </w:rPr>
            </w:pPr>
            <w:r>
              <w:rPr>
                <w:rFonts w:ascii="Arial" w:cs="Arial" w:eastAsia="Arial" w:hAnsi="Arial"/>
                <w:sz w:val="14"/>
                <w:szCs w:val="14"/>
                <w:b w:val="1"/>
                <w:bCs w:val="1"/>
                <w:color w:val="auto"/>
              </w:rPr>
              <w:t>Cost Basis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44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Long / (Short)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(249)</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4"/>
              </w:rPr>
              <w:t>(3,056)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(3,041)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(2,930)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(4,416)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(1,085)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(1,078)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(7,872)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103"/>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(7,681)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color w:val="auto"/>
              </w:rPr>
              <w:t>(7,454)</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(1,680)</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8"/>
          </w:tcPr>
          <w:p>
            <w:pPr>
              <w:ind w:left="80"/>
              <w:spacing w:after="0"/>
              <w:rPr>
                <w:sz w:val="20"/>
                <w:szCs w:val="20"/>
                <w:color w:val="auto"/>
              </w:rPr>
            </w:pPr>
            <w:r>
              <w:rPr>
                <w:rFonts w:ascii="Arial" w:cs="Arial" w:eastAsia="Arial" w:hAnsi="Arial"/>
                <w:sz w:val="14"/>
                <w:szCs w:val="14"/>
                <w:b w:val="1"/>
                <w:bCs w:val="1"/>
                <w:color w:val="auto"/>
                <w:w w:val="96"/>
              </w:rPr>
              <w:t>December 31, 2015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380"/>
              <w:spacing w:after="0" w:line="144" w:lineRule="exact"/>
              <w:rPr>
                <w:sz w:val="20"/>
                <w:szCs w:val="20"/>
                <w:color w:val="auto"/>
              </w:rPr>
            </w:pPr>
            <w:r>
              <w:rPr>
                <w:rFonts w:ascii="Arial" w:cs="Arial" w:eastAsia="Arial" w:hAnsi="Arial"/>
                <w:sz w:val="13"/>
                <w:szCs w:val="13"/>
                <w:b w:val="1"/>
                <w:bCs w:val="1"/>
                <w:color w:val="auto"/>
              </w:rPr>
              <w:t>Notional</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30"/>
              <w:spacing w:after="0" w:line="144" w:lineRule="exact"/>
              <w:rPr>
                <w:sz w:val="20"/>
                <w:szCs w:val="20"/>
                <w:color w:val="auto"/>
              </w:rPr>
            </w:pPr>
            <w:r>
              <w:rPr>
                <w:rFonts w:ascii="Arial" w:cs="Arial" w:eastAsia="Arial" w:hAnsi="Arial"/>
                <w:sz w:val="13"/>
                <w:szCs w:val="13"/>
                <w:b w:val="1"/>
                <w:bCs w:val="1"/>
                <w:color w:val="auto"/>
                <w:w w:val="88"/>
              </w:rPr>
              <w:t>Notional</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2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2"/>
              </w:rPr>
              <w:t>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6"/>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39"/>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1"/>
                <w:szCs w:val="11"/>
                <w:color w:val="auto"/>
              </w:rPr>
            </w:pPr>
          </w:p>
        </w:tc>
        <w:tc>
          <w:tcPr>
            <w:tcW w:w="76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rPr>
              <w:t>Market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4"/>
              </w:rPr>
              <w:t xml:space="preserve">Basis </w:t>
            </w:r>
            <w:r>
              <w:rPr>
                <w:rFonts w:ascii="Arial" w:cs="Arial" w:eastAsia="Arial" w:hAnsi="Arial"/>
                <w:sz w:val="8"/>
                <w:szCs w:val="8"/>
                <w:b w:val="1"/>
                <w:bCs w:val="1"/>
                <w:color w:val="auto"/>
                <w:w w:val="84"/>
              </w:rPr>
              <w:t>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(730)</w:t>
            </w:r>
          </w:p>
        </w:tc>
        <w:tc>
          <w:tcPr>
            <w:tcW w:w="52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(859)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1"/>
              </w:rPr>
              <w:t>(864)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(1,080)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(1,347)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(1,342)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(1,422)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(1,810)</w:t>
            </w:r>
          </w:p>
        </w:tc>
        <w:tc>
          <w:tcPr>
            <w:tcW w:w="52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4"/>
              </w:rPr>
              <w:t>(2,209)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(2,201)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(2,286)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U.S. Treasury futures notional amount represents the par value (or principal balance) of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U.S. Treasury futures cost basis represents the forward price to be paid/(received) for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U.S. Treasury futures market value represents the current market value of U.S. Treasury futures as of period-end.</w:t>
      </w:r>
    </w:p>
    <w:p>
      <w:pPr>
        <w:spacing w:after="0" w:line="1" w:lineRule="exact"/>
        <w:rPr>
          <w:rFonts w:ascii="Arial" w:cs="Arial" w:eastAsia="Arial" w:hAnsi="Arial"/>
          <w:sz w:val="14"/>
          <w:szCs w:val="14"/>
          <w:color w:val="auto"/>
        </w:rPr>
      </w:pPr>
    </w:p>
    <w:p>
      <w:pPr>
        <w:ind w:left="660" w:right="20" w:hanging="328"/>
        <w:spacing w:after="0" w:line="255"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value and the cost basis of U.S. Treasury futures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4" w:right="23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t>The following tables summarize our TBA securities as of December 31, 2016 and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1,870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2,160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2,188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8,756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9,124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8,993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7,014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10,916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11,312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11,165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7,295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7,430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7,444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1"/>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9,881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10,251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10,118</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6,159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10,916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fiscal years 2016, 2015 and 2014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9"/>
              </w:rPr>
              <w:t>Fiscal Year 2016</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Notional Amount</w:t>
            </w: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116,439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15,650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37,175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(9,884)</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3,537</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(7,840)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7,890</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a net loss of $3 million from debt of consolidated VIEs and other miscellaneous net gains of $16 million recognized in gain (loss) on derivative instruments and other securities, net in our consolidated statements of comprehensive income.</w:t>
      </w:r>
    </w:p>
    <w:p>
      <w:pPr>
        <w:sectPr>
          <w:pgSz w:w="11900" w:h="16838" w:orient="portrait"/>
          <w:cols w:equalWidth="0" w:num="1">
            <w:col w:w="11420"/>
          </w:cols>
          <w:pgMar w:left="240" w:top="74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746"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7"/>
              </w:rPr>
              <w:t>Fiscal Year 2015</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Notional Amount</w:t>
            </w: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119,922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4,950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(8,125)</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40,525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33,525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(35,911)</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Excludes a net gain of $16 million from debt of consolidated VIEs and other miscellaneous net losses of $4 million recognized in gain (loss) on derivative instruments and other securities, net in our consolidated statements of comprehensive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7"/>
              </w:rPr>
              <w:t>Fiscal Year 2014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6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213,627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14,412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20,550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43,700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18,549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2,411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a net gain of $75 million from investments in REIT equity securities, a net loss of $10 million from debt of consolidate VIEs and other miscellaneous net losses of $7 million recognized in gain (loss) on derivative instruments and other securities, net in our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under our interest rate swap agreements and TBA contracts. Our prime brokerage agreements, pursuant to which we receive custody and settlement services, also require that we post minimum clearing deposits. If we breach our collateral requirements, we will be required to fully settle our obligations under the agreements, which could include a forced liquidation of our pledged collateral.</w:t>
      </w:r>
    </w:p>
    <w:p>
      <w:pPr>
        <w:spacing w:after="0" w:line="1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05" w:right="2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color w:val="auto"/>
        </w:rPr>
        <w:t>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December 31, 2016,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2016, our maximum amount at risk with any counterparty related to our repurchase agreements was less than 6% of our stockholders' equity and our maximum amount at risk with any counterparty related to our interest rate swap and swaption agreements, excluding centrally cleared swaps, was less than 1% of our stockholders' equity. The following table summarizes certain characteristics of our repurchase agreements outstanding with counterparties representing amounts at risk greater than or equal to 5% of our stockholders' equity as of December 31, 2016 (dollars in millions). As of December 31, 2015 the maximum amount of risk with any counterparty related to our repurchase agreements was less than 5% of our stockholders equity.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4"/>
          </w:tcPr>
          <w:p>
            <w:pPr>
              <w:ind w:left="980"/>
              <w:spacing w:after="0"/>
              <w:rPr>
                <w:sz w:val="20"/>
                <w:szCs w:val="20"/>
                <w:color w:val="auto"/>
              </w:rPr>
            </w:pPr>
            <w:r>
              <w:rPr>
                <w:rFonts w:ascii="Arial" w:cs="Arial" w:eastAsia="Arial" w:hAnsi="Arial"/>
                <w:sz w:val="16"/>
                <w:szCs w:val="16"/>
                <w:b w:val="1"/>
                <w:bCs w:val="1"/>
                <w:color w:val="auto"/>
              </w:rPr>
              <w:t>December 31, 2016</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Net Counterparty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Amount Outstanding</w:t>
            </w:r>
          </w:p>
        </w:tc>
        <w:tc>
          <w:tcPr>
            <w:tcW w:w="1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 xml:space="preserve">Exposure </w:t>
            </w:r>
            <w:r>
              <w:rPr>
                <w:rFonts w:ascii="Arial" w:cs="Arial" w:eastAsia="Arial" w:hAnsi="Arial"/>
                <w:sz w:val="21"/>
                <w:szCs w:val="21"/>
                <w:b w:val="1"/>
                <w:bCs w:val="1"/>
                <w:color w:val="auto"/>
                <w:w w:val="86"/>
                <w:vertAlign w:val="superscript"/>
              </w:rPr>
              <w:t>1</w:t>
            </w:r>
          </w:p>
        </w:tc>
        <w:tc>
          <w:tcPr>
            <w:tcW w:w="18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 of Equity</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6"/>
              </w:rPr>
              <w:t>Months to Maturity</w:t>
            </w:r>
          </w:p>
        </w:tc>
        <w:tc>
          <w:tcPr>
            <w:tcW w:w="0" w:type="dxa"/>
            <w:vAlign w:val="bottom"/>
          </w:tcPr>
          <w:p>
            <w:pPr>
              <w:spacing w:after="0"/>
              <w:rPr>
                <w:sz w:val="1"/>
                <w:szCs w:val="1"/>
                <w:color w:val="auto"/>
              </w:rPr>
            </w:pPr>
          </w:p>
        </w:tc>
      </w:tr>
      <w:tr>
        <w:trPr>
          <w:trHeight w:val="244"/>
        </w:trPr>
        <w:tc>
          <w:tcPr>
            <w:tcW w:w="4240" w:type="dxa"/>
            <w:vAlign w:val="bottom"/>
            <w:tcBorders>
              <w:top w:val="single" w:sz="8" w:color="CCEEFF"/>
              <w:bottom w:val="single" w:sz="8" w:color="CCEEFF"/>
            </w:tcBorders>
            <w:shd w:val="clear" w:color="auto" w:fill="CCEEFF"/>
          </w:tcPr>
          <w:p>
            <w:pPr>
              <w:jc w:val="right"/>
              <w:ind w:right="2308"/>
              <w:spacing w:after="0"/>
              <w:rPr>
                <w:sz w:val="20"/>
                <w:szCs w:val="20"/>
                <w:color w:val="auto"/>
              </w:rPr>
            </w:pPr>
            <w:r>
              <w:rPr>
                <w:rFonts w:ascii="Arial" w:cs="Arial" w:eastAsia="Arial" w:hAnsi="Arial"/>
                <w:sz w:val="16"/>
                <w:szCs w:val="16"/>
                <w:color w:val="auto"/>
                <w:w w:val="92"/>
              </w:rPr>
              <w:t>J.P. Morgan Securities, LLC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240" w:type="dxa"/>
            <w:vAlign w:val="bottom"/>
            <w:vMerge w:val="restart"/>
          </w:tcPr>
          <w:p>
            <w:pPr>
              <w:jc w:val="right"/>
              <w:ind w:right="2768"/>
              <w:spacing w:after="0"/>
              <w:rPr>
                <w:sz w:val="20"/>
                <w:szCs w:val="20"/>
                <w:color w:val="auto"/>
              </w:rPr>
            </w:pPr>
            <w:r>
              <w:rPr>
                <w:rFonts w:ascii="Arial" w:cs="Arial" w:eastAsia="Arial" w:hAnsi="Arial"/>
                <w:sz w:val="13"/>
                <w:szCs w:val="13"/>
                <w:color w:val="auto"/>
                <w:w w:val="86"/>
              </w:rPr>
              <w:t>______________________</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firstLine="332"/>
        <w:spacing w:after="0" w:line="255" w:lineRule="auto"/>
        <w:tabs>
          <w:tab w:leader="none" w:pos="468"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net carrying value of the securities pledged under repurchase agreements, including accrued interest plus any cash or assets on deposit to secure the repurchase obligation, less the amount of the repurchase liability, including accrued interest.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December 31, 2016 and 2015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44,963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Non-Agency RMBS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43,450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Includes $181 million of retained interests in our consolidated VIEs pledged as collateral under repurchase agreements.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Non-Agency RMBS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48,288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51,213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1. Includes $245 million of retained interests in our consolidated VIEs pledged as collateral under repurchase agreements.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and 2015, we held $126 million and $150 million, respectively,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and FHLB advances by the remaining maturity of our borrowings, including securities pledged related to sold but not yet settled securities, as of December 31, 2016 and 2015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1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9"/>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RMBS: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19,681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19,863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20,053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20,075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43,096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43,471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48,105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48,127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 day ≤ 30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20" w:type="dxa"/>
            <w:vAlign w:val="bottom"/>
            <w:gridSpan w:val="2"/>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43,269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43,644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48,130</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48,152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______________________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$181 million and $245 million of retained interests in our consolidated VIEs pledged as collateral under repurchase agreements as of December 31, 2016 and 2015, respectively.</w:t>
      </w: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and 2015, none of our borrowings backed by RMBS were due on demand or mature overnight.</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3 and 4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2016 and 2015, we had assets pledged to us from counterparties as collateral under our reverse repurchase,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26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7,636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7,757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2016 and 2015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968"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40,895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46,442</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20" w:hanging="328"/>
        <w:spacing w:after="0" w:line="241"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Reported under derivative assets/liabilities, at fair value in the accompanying consolidated balance sheets. Refer to Note 5 for a reconciliation of derivative assets/liabilities, at fair value to their sub-components.</w:t>
      </w:r>
    </w:p>
    <w:p>
      <w:pPr>
        <w:ind w:left="660" w:right="320" w:hanging="328"/>
        <w:spacing w:after="0" w:line="255"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cash and securities pledged/received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968" w:right="239" w:bottom="1440" w:gutter="0" w:footer="0" w:header="0"/>
        </w:sectPr>
      </w:pPr>
    </w:p>
    <w:bookmarkStart w:id="88" w:name="page89"/>
    <w:bookmarkEnd w:id="88"/>
    <w:p>
      <w:pPr>
        <w:jc w:val="both"/>
        <w:ind w:right="20"/>
        <w:spacing w:after="0" w:line="277" w:lineRule="auto"/>
        <w:rPr>
          <w:sz w:val="20"/>
          <w:szCs w:val="20"/>
          <w:color w:val="auto"/>
        </w:rPr>
      </w:pPr>
      <w:r>
        <w:rPr>
          <w:rFonts w:ascii="Arial" w:cs="Arial" w:eastAsia="Arial" w:hAnsi="Arial"/>
          <w:sz w:val="18"/>
          <w:szCs w:val="18"/>
          <w:color w:val="auto"/>
        </w:rPr>
        <w:t>sources to understand the significant inputs and assumptions they used to determine their prices. For further information regarding valuation of our derivative instruments, please refer to the discussion of derivative and other hedging instruments in Note 2.</w:t>
      </w:r>
    </w:p>
    <w:p>
      <w:pPr>
        <w:spacing w:after="0" w:line="2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fiscal years December 31, 2016.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December 31, 2016 and 2015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45,393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51,331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46,846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52,550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7,636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89" w:name="page90"/>
    <w:bookmarkEnd w:id="89"/>
    <w:p>
      <w:pPr>
        <w:jc w:val="both"/>
        <w:spacing w:after="0" w:line="257" w:lineRule="auto"/>
        <w:rPr>
          <w:sz w:val="20"/>
          <w:szCs w:val="20"/>
          <w:color w:val="auto"/>
        </w:rPr>
      </w:pPr>
      <w:r>
        <w:rPr>
          <w:rFonts w:ascii="Arial" w:cs="Arial" w:eastAsia="Arial" w:hAnsi="Arial"/>
          <w:sz w:val="18"/>
          <w:szCs w:val="18"/>
          <w:color w:val="auto"/>
        </w:rPr>
        <w:t>the consolidated Agency securities and consolidated debt are presented in a consistent manner, at fair value, on our consolidated balance sheets. We estimate the fair value of the consolidated debt based on difference between the fair value of the RMBS transferred to consolidated VIEs and the fair value of our retained interests, each of which is based on valuations obtained from third-party pricing services and non-binding dealer quotes derived from common market pricing methods using "Level 2" inputs, and are more observable than using inputs to estimate the fair value of the consolidated debt on a stand-alone basis.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December 31,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13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December 31, 2016, we had declared all required quarterly dividends on our Series A and Series B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October 2012, our Board of Directors adopted a program that provided for stock repurchases, which, as amended, authorized repurchases of our common stock up to $2 billion through December 31, 2016. In October 2016, our Board of Directors terminated the existing stock repurchase program, which had a total of $0.6 billion remaining for authorized repurchases of our common stock, and replaced it with a new stock repurchase authorization. Under the new stock repurchase program, we are authorized to repurchase up to $1 billion of our outstanding shares of common stock through December 31, 2017.</w:t>
      </w:r>
    </w:p>
    <w:p>
      <w:pPr>
        <w:spacing w:after="0" w:line="1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tangible net asset value per common share. Generally, when we repurchase our common stock at a discount to our tangible net asset value, the tangible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6" w:right="239" w:bottom="1440" w:gutter="0" w:footer="0" w:header="0"/>
        </w:sectPr>
      </w:pPr>
    </w:p>
    <w:bookmarkStart w:id="90" w:name="page91"/>
    <w:bookmarkEnd w:id="90"/>
    <w:p>
      <w:pPr>
        <w:jc w:val="both"/>
        <w:ind w:firstLine="405"/>
        <w:spacing w:after="0" w:line="264" w:lineRule="auto"/>
        <w:rPr>
          <w:sz w:val="20"/>
          <w:szCs w:val="20"/>
          <w:color w:val="auto"/>
        </w:rPr>
      </w:pPr>
      <w:r>
        <w:rPr>
          <w:rFonts w:ascii="Arial" w:cs="Arial" w:eastAsia="Arial" w:hAnsi="Arial"/>
          <w:sz w:val="18"/>
          <w:szCs w:val="18"/>
          <w:color w:val="auto"/>
        </w:rPr>
        <w:t>During the fiscal years 2016, 2015 and 2014, we repurchased 6.5 million, 15.3 million, and 3.4 million shares of our common stock at an average repurchase price of $17.89, $18.58 and $22.10 per share, including expenses, totaling $116 million, $285 million and $74 million. As of December 31, 2016, the total remaining amount authorized for repurchases of our common stock was $1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cash dividends declared for fiscal years 2016, 2015 and 2014 (in millions,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Dividends Declared</w:t>
            </w:r>
          </w:p>
        </w:tc>
      </w:tr>
      <w:tr>
        <w:trPr>
          <w:trHeight w:val="210"/>
        </w:trPr>
        <w:tc>
          <w:tcPr>
            <w:tcW w:w="6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Dividends Declared</w:t>
            </w:r>
          </w:p>
        </w:tc>
        <w:tc>
          <w:tcPr>
            <w:tcW w:w="220" w:type="dxa"/>
            <w:vAlign w:val="bottom"/>
          </w:tcPr>
          <w:p>
            <w:pPr>
              <w:spacing w:after="0"/>
              <w:rPr>
                <w:sz w:val="18"/>
                <w:szCs w:val="18"/>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6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6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8.000 % Series A Cumulative Redeemable Preferred Stock</w:t>
            </w: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6800" w:type="dxa"/>
            <w:vAlign w:val="bottom"/>
          </w:tcPr>
          <w:p>
            <w:pPr>
              <w:ind w:left="200"/>
              <w:spacing w:after="0"/>
              <w:rPr>
                <w:sz w:val="20"/>
                <w:szCs w:val="20"/>
                <w:color w:val="auto"/>
              </w:rPr>
            </w:pPr>
            <w:r>
              <w:rPr>
                <w:rFonts w:ascii="Arial" w:cs="Arial" w:eastAsia="Arial" w:hAnsi="Arial"/>
                <w:sz w:val="16"/>
                <w:szCs w:val="16"/>
                <w:color w:val="auto"/>
              </w:rPr>
              <w:t>Fiscal year 2015</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2.000000</w:t>
            </w: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6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7.750% Series B Cumulative Redeemable Preferred Stock (Per Depositary Share)</w:t>
            </w: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r>
      <w:tr>
        <w:trPr>
          <w:trHeight w:val="237"/>
        </w:trPr>
        <w:tc>
          <w:tcPr>
            <w:tcW w:w="6800" w:type="dxa"/>
            <w:vAlign w:val="bottom"/>
          </w:tcPr>
          <w:p>
            <w:pPr>
              <w:ind w:left="200"/>
              <w:spacing w:after="0"/>
              <w:rPr>
                <w:sz w:val="20"/>
                <w:szCs w:val="20"/>
                <w:color w:val="auto"/>
              </w:rPr>
            </w:pPr>
            <w:r>
              <w:rPr>
                <w:rFonts w:ascii="Arial" w:cs="Arial" w:eastAsia="Arial" w:hAnsi="Arial"/>
                <w:sz w:val="16"/>
                <w:szCs w:val="16"/>
                <w:color w:val="auto"/>
              </w:rPr>
              <w:t>Fiscal year 2015</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1.937500</w:t>
            </w: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0.844965</w:t>
            </w:r>
          </w:p>
        </w:tc>
      </w:tr>
      <w:tr>
        <w:trPr>
          <w:trHeight w:val="237"/>
        </w:trPr>
        <w:tc>
          <w:tcPr>
            <w:tcW w:w="6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Common Stock</w:t>
            </w: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2.300000</w:t>
            </w:r>
          </w:p>
        </w:tc>
      </w:tr>
      <w:tr>
        <w:trPr>
          <w:trHeight w:val="237"/>
        </w:trPr>
        <w:tc>
          <w:tcPr>
            <w:tcW w:w="6800" w:type="dxa"/>
            <w:vAlign w:val="bottom"/>
          </w:tcPr>
          <w:p>
            <w:pPr>
              <w:ind w:left="200"/>
              <w:spacing w:after="0"/>
              <w:rPr>
                <w:sz w:val="20"/>
                <w:szCs w:val="20"/>
                <w:color w:val="auto"/>
              </w:rPr>
            </w:pPr>
            <w:r>
              <w:rPr>
                <w:rFonts w:ascii="Arial" w:cs="Arial" w:eastAsia="Arial" w:hAnsi="Arial"/>
                <w:sz w:val="16"/>
                <w:szCs w:val="16"/>
                <w:color w:val="auto"/>
              </w:rPr>
              <w:t>Fiscal year 2015</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2.480000</w:t>
            </w:r>
          </w:p>
        </w:tc>
      </w:tr>
      <w:tr>
        <w:trPr>
          <w:trHeight w:val="33"/>
        </w:trPr>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Fiscal year 2014</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2.610000</w:t>
            </w:r>
          </w:p>
        </w:tc>
      </w:tr>
      <w:tr>
        <w:trPr>
          <w:trHeight w:val="33"/>
        </w:trPr>
        <w:tc>
          <w:tcPr>
            <w:tcW w:w="68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fiscal years 2016, 2015 and 2014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1,708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December 31, 2014</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44"/>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reclassifications out of accumulated OCI for fiscal years 2016 and 2015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(Gain) loss amounts reclassified from accumulated OCI for available-for-</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sale MBS upon realization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Gain (loss) on sale of mortgage-backed securities, net</w:t>
            </w:r>
          </w:p>
        </w:tc>
        <w:tc>
          <w:tcPr>
            <w:tcW w:w="0" w:type="dxa"/>
            <w:vAlign w:val="bottom"/>
          </w:tcPr>
          <w:p>
            <w:pPr>
              <w:spacing w:after="0"/>
              <w:rPr>
                <w:sz w:val="1"/>
                <w:szCs w:val="1"/>
                <w:color w:val="auto"/>
              </w:rPr>
            </w:pPr>
          </w:p>
        </w:tc>
      </w:tr>
      <w:tr>
        <w:trPr>
          <w:trHeight w:val="22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 designated as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20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4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sponsor an equity incentive plan to provide for the issuance of equity-based awards, including stock options, restricted stock, restricted stock units and unrestricted stock awards to our independent directors (the "Director Plan"). During fiscal years 2016, 2015 and 2014, we granted restricted stock unit ("RSU") awards under the plan totaling $625,000, $625,000 and $375,000, respectively. The awards represent the right to receive an equivalent number of shares of common stock as measured by the closing price of our common stock on the grant date, plus any equivalent shares for dividends declared on our common stock, and vest over a 13 month period, subject to the terms and conditions of the plan. Prior to fiscal year 2013, we granted restricted stock awards under the Plan. The restricted stock awards had a grant date fair value equal to the closing price of our common stock on such date and vested annually over three years. The Director Plan was terminated and succeeded in its entirety by the 2016 Equity and Incentive Compensation Plan (the "2016 Equity Plan"), which was approved by our stockholders on December 9, 2016. Outstanding awards under the Director Plan, however, will continue in effect in accordance with their terms. The following table summarizes restricted stock and RSU transactions under the Director Plan for fiscal years 2016, 2015 and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of Restricted</w:t>
            </w: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 Plan</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162"/>
        </w:trPr>
        <w:tc>
          <w:tcPr>
            <w:tcW w:w="5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16,770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18,239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28,880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(19,007)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31,431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33,015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18.93</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(46,538)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Unvested balance as of December 31, 2016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Accrued RSU dividend equivalents have a weighted average grant date fair value of $0.</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Weighted average vest date fair value is based on the closing price of our common stock on the vest date.</w:t>
      </w:r>
    </w:p>
    <w:p>
      <w:pPr>
        <w:spacing w:after="0" w:line="1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2016 Equity Plan provides for grants of equity-based compensation in the form of stock options, appreciation rights ("SARs"), restricted shares, RSUs, performance shares, performance units, dividend equivalents and certain other awards denominated or payable in, or otherwise based on, shares of our common stock, plus cash incentive awards, for the purpose of providing our non-employee directors, officers and other employees, and those of our subsidiaries, incentives and rewards for service or performance. The 2016 Equity Plan authorizes a total of 10 million shares our common stock that may be used to satisfy awards under the plan, subject to the share counting rules set forth within the plan. The Compensation Committee of our Board of Directors determines awards to be granted under the 2016 Equity Plan and the terms of such awards, including vesting schedules. During fiscal year 2016, we granted RSU awards under the plan totaling $2 million. The awards represent the right to receive an equivalent number of shares of common stock as measured by the closing price of our common stock on the grant date, or 101,407 shares, plus any equivalent shares for dividends declared on our common stock, and vest over a three year period, subject to the terms and conditions of the plan. As of December 31, 2016, 9.9 million shares remained available for awards under the 2016 Equity Plan, excluding securities to be issued for prior awards granted under the plan.</w:t>
      </w:r>
    </w:p>
    <w:p>
      <w:pPr>
        <w:spacing w:after="0" w:line="1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recognize the cost of equity-based compensation awards based on the grant-date fair value of those awards, or the fair value of liabilities incurred, over the requisite service period. We recognize the impact of forfeitures as they occur. During fiscal years 2016, 2015 and 2014, we recognized other operating expense of $731,000, $704,000 and $540,000, respectively, under the Director Plan and during fiscal year 2016 we recognized compensation expense of $28,000 under the 2016 Equity Plan. As of December 31, 2016, we had unrecognized expense related to awards granted under the plans of approximately $2 million, which is expected to be recognized over a weighted average period of 2.8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2016, we have distributed all of our estimated taxable income for fiscal year 2016. Accordingly, we do not expect to incur an income tax liability on our 2016 taxable income. For fiscal years 2015 and 2014, we distributed all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42" w:right="239" w:bottom="1440" w:gutter="0" w:footer="0" w:header="0"/>
        </w:sectPr>
      </w:pPr>
    </w:p>
    <w:bookmarkStart w:id="92" w:name="page93"/>
    <w:bookmarkEnd w:id="92"/>
    <w:p>
      <w:pPr>
        <w:jc w:val="both"/>
        <w:ind w:right="20"/>
        <w:spacing w:after="0" w:line="277" w:lineRule="auto"/>
        <w:rPr>
          <w:sz w:val="20"/>
          <w:szCs w:val="20"/>
          <w:color w:val="auto"/>
        </w:rPr>
      </w:pPr>
      <w:r>
        <w:rPr>
          <w:rFonts w:ascii="Arial" w:cs="Arial" w:eastAsia="Arial" w:hAnsi="Arial"/>
          <w:sz w:val="18"/>
          <w:szCs w:val="18"/>
          <w:color w:val="auto"/>
        </w:rPr>
        <w:t>our taxable income within the limits prescribed by the Internal Revenue Code. Accordingly, we did not incur an income tax liability on our taxable income for such periods.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analysis of any potential uncertain income tax positions, we concluded that we do not have any uncertain tax positions that meet the recognition or measurement criteria of ASC 740 as of December 31, 2016, 2015 and 2014. Our tax returns for tax years 2013 and forward are open to examination by the IRS. In the event that we incur income tax related interest and penalties, our policy is to classify them as a component of provision for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Management Agreement and Related Party Transactions</w:t>
      </w:r>
    </w:p>
    <w:p>
      <w:pPr>
        <w:spacing w:after="0" w:line="18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Prior to our acquisition of AMM on July 1, 2016, we were externally managed by AGNC Management, LLC (our "Manager").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was no incentive compensation payable to our Manager pursuant to the management agreement. We incurred management fees of $52 million, $116 million and $119 million for the first half of fiscal year 2016 and for fiscal years 2015 and 2014, respectively. Following our management internalization, we no longer incur a management fee, but we incur expenses associated with an internally managed organization, including compensation expense previously borne by our Manager. For fiscal year 2016, we had compensation and benefits expense of $19 million, consisting of base salary, bonus accruals and benefits expense.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management agreement provided for automatic annual one-year renewal terms and could only be terminated by us or our Manager without cause, as defined in the management agreement, after the completion of the then current renewal term, provided that either party provided 180-days prior written notice of non-renewal of the management agreement. If we were to not renew the management agreement without cause, we would have been required to pay a termination fee on the last day of the applicable term, equal to three times the average annual management fee earned by our Manager during the prior 24-month period immediately preceding the most recently completed month prior to the effective date of termination. We could only not renew the management agreement with or without cause with the consent of the majority of our independent directors.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our management agreement, we were also obligated to reimburse our Manager for its expenses incurred directly related to our operations, excluding employment-related expenses of our Manager's officers and employees and any American Capital employees who provided services to us pursuant to the management agreement. For fiscal years 2016, 2015 and 2014, we recorded expense reimbursements to our Manager of $3 million, $8 million and $8 million, respectively, primarily consisting of costs related to information technology systems.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year 2016, following our acquisition of AMM, we earned management fees of $8 million from our management of MTGE.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Combination - Acquisition of AGNC Mortgage Management, LLC</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July 1, 2016, we completed our acquisition of all of the outstanding membership interests of AMM from ACAM, a wholly owned portfolio company of ACAS, for a purchase price of $562 million in cash. Following the closing of the acquisition, we became internally managed and are no longer affiliated with ACAS. The results of AMM's operations have been included in our consolidated financial statements since that date. We believe internalizing our management function will result in lower operating costs as well as provide management fee income from MTGE.</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acquisition of AMM is accounted for as a business combination using the acquisition method of accounting, whereby the total purchase price has been allocated to identifiable assets acquired and liabilities assumed based on their respective fair values as of the acquisition date. Goodwill is calculated as the excess of the consideration transferred over the net assets acquired that meet the criteria for separate recognition and represents the estimated future economic benefits arising from these and other assets acquired that could not be individually identified or do not qualify for recognition as a separate asset. A large majority of the acquisition price has been recognized as goodwill, which is attributable to our pre-existing management agreement with AMM that does not qualify for separate recognition. Goodwill is expected to be deductible for income tax purposes over a 15 year amortization period. We did not recognize a gain or loss associated with the effective settlement of our management agreement with AMM on the acquisition date based on comparable agreements available in the market.</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values of intangible assets acquired were determined using a market-based measurement under the income approach based on primarily unobservable market data that cannot be corroborated and, thus, represent a level 3 measurement (see Note 7). The primary market-based inputs include forecasted revenues and expenses, discount rate and corporate income tax rate.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fair values of assets acquired and liabilities assumed at the acquisition date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46" w:right="239" w:bottom="1440" w:gutter="0" w:footer="0" w:header="0"/>
        </w:sectPr>
      </w:pPr>
    </w:p>
    <w:bookmarkStart w:id="93" w:name="page94"/>
    <w:bookmarkEnd w:id="93"/>
    <w:tbl>
      <w:tblPr>
        <w:tblLayout w:type="fixed"/>
        <w:tblInd w:w="220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80"/>
              <w:spacing w:after="0"/>
              <w:rPr>
                <w:sz w:val="20"/>
                <w:szCs w:val="20"/>
                <w:color w:val="auto"/>
              </w:rPr>
            </w:pPr>
            <w:r>
              <w:rPr>
                <w:rFonts w:ascii="Arial" w:cs="Arial" w:eastAsia="Arial" w:hAnsi="Arial"/>
                <w:sz w:val="16"/>
                <w:szCs w:val="16"/>
                <w:b w:val="1"/>
                <w:bCs w:val="1"/>
                <w:color w:val="auto"/>
                <w:w w:val="92"/>
              </w:rPr>
              <w:t>July 1, 2016</w:t>
            </w:r>
            <w:r>
              <w:rPr>
                <w:rFonts w:ascii="Arial" w:cs="Arial" w:eastAsia="Arial" w:hAnsi="Arial"/>
                <w:sz w:val="14"/>
                <w:szCs w:val="14"/>
                <w:b w:val="1"/>
                <w:bCs w:val="1"/>
                <w:color w:val="auto"/>
                <w:w w:val="92"/>
              </w:rPr>
              <w:t>(Acquisition</w:t>
            </w:r>
          </w:p>
        </w:tc>
      </w:tr>
      <w:tr>
        <w:trPr>
          <w:trHeight w:val="186"/>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700"/>
              <w:spacing w:after="0"/>
              <w:rPr>
                <w:sz w:val="20"/>
                <w:szCs w:val="20"/>
                <w:color w:val="auto"/>
              </w:rPr>
            </w:pPr>
            <w:r>
              <w:rPr>
                <w:rFonts w:ascii="Arial" w:cs="Arial" w:eastAsia="Arial" w:hAnsi="Arial"/>
                <w:sz w:val="14"/>
                <w:szCs w:val="14"/>
                <w:b w:val="1"/>
                <w:bCs w:val="1"/>
                <w:color w:val="auto"/>
              </w:rPr>
              <w:t>Date)</w:t>
            </w:r>
          </w:p>
        </w:tc>
      </w:tr>
      <w:tr>
        <w:trPr>
          <w:trHeight w:val="161"/>
        </w:trPr>
        <w:tc>
          <w:tcPr>
            <w:tcW w:w="5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160" w:type="dxa"/>
            <w:vAlign w:val="bottom"/>
          </w:tcPr>
          <w:p>
            <w:pPr>
              <w:ind w:left="20"/>
              <w:spacing w:after="0"/>
              <w:rPr>
                <w:sz w:val="20"/>
                <w:szCs w:val="20"/>
                <w:color w:val="auto"/>
              </w:rPr>
            </w:pPr>
            <w:r>
              <w:rPr>
                <w:rFonts w:ascii="Arial" w:cs="Arial" w:eastAsia="Arial" w:hAnsi="Arial"/>
                <w:sz w:val="16"/>
                <w:szCs w:val="16"/>
                <w:color w:val="auto"/>
              </w:rPr>
              <w:t>MTGE management agreement</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Total identifiable assets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Identifiable net assets acquired</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44"/>
        </w:trPr>
        <w:tc>
          <w:tcPr>
            <w:tcW w:w="516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MTGE management agreement is being amortized over a 10 year amortization period. We recognized $9 million of transaction related costs that were expensed during fiscal year 2016. These costs are included in other operating expenses in our consolidated statements of comprehensive income.</w:t>
      </w:r>
    </w:p>
    <w:p>
      <w:pPr>
        <w:spacing w:after="0" w:line="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AMM's revenue and net loss included in our consolidated statements of comprehensive income from the acquisition date to December 31, 2016 are $8 million and $(11) million, respectively, after elimination of AGNC's management fee and other intercompany transactions. The following table represents our pro forma consolidated revenue and net income as if AMM had been included in our consolidated results for fiscal year 2015 and for all of fiscal year 2016 (in millions). Revenue includes interest income from our investment portfolio and management fee income from managing MTGE. Amounts have been calculated after applying our accounting policies and adjusting AMM's results to reflect amortization expense that would have been charged assuming the fair value adjustments to intangible assets had been applied on January 1, 2015. All AGNC management fees and all other actual and pro forma intercompany transactions have been eliminated. These pro forma results have been prepared for comparative purposes only and do not purport to be indicative of what operating results would have been had the AMM acquisition occurred on January 1, 2015 and may not be indicative of future operating results.</w:t>
      </w:r>
    </w:p>
    <w:p>
      <w:pPr>
        <w:spacing w:after="0" w:line="275"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Pro Forma</w:t>
      </w:r>
    </w:p>
    <w:p>
      <w:pPr>
        <w:spacing w:after="0" w:line="26"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Consolidated Revenue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33020</wp:posOffset>
            </wp:positionV>
            <wp:extent cx="2667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8"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37465</wp:posOffset>
            </wp:positionV>
            <wp:extent cx="2667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80"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r>
      <w:tr>
        <w:trPr>
          <w:trHeight w:val="33"/>
        </w:trPr>
        <w:tc>
          <w:tcPr>
            <w:tcW w:w="2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661</w:t>
            </w:r>
          </w:p>
        </w:tc>
        <w:tc>
          <w:tcPr>
            <w:tcW w:w="2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Results (Unaudited)</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presentation of the quarterly results of operations and comprehensive income for fiscal years 2016 and 2015 (in millions, except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909"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sale of investment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 securities measured at fair value through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fee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other gain (loss),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Management fee expense</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Comprehensive income (loss) available (attributable) to common shareholders </w:t>
            </w:r>
            <w:r>
              <w:rPr>
                <w:rFonts w:ascii="Arial" w:cs="Arial" w:eastAsia="Arial" w:hAnsi="Arial"/>
                <w:sz w:val="18"/>
                <w:szCs w:val="18"/>
                <w:color w:val="auto"/>
                <w:w w:val="90"/>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8"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 securities measured at fair value through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Comprehensive income (loss) available (attributable) to common shareholders </w:t>
            </w:r>
            <w:r>
              <w:rPr>
                <w:rFonts w:ascii="Arial" w:cs="Arial" w:eastAsia="Arial" w:hAnsi="Arial"/>
                <w:sz w:val="18"/>
                <w:szCs w:val="18"/>
                <w:color w:val="auto"/>
                <w:w w:val="90"/>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Weighted average number of common shares outstanding-basic and diluted</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each of January 12, 2017 and February 14, 2017, our Board of Directors declared a monthly dividend of $0.18 per common share, payable on February 8, 2017 and March 8, 2017, respectively, to common stockholders of record as of January 31, 2017 and February 28, 2017, respectively.</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 2017, we entered into sales agreements with underwriters to publicly offer and sell shares of our common stock, from time-to-time, through publicly negotiated and/or at-the-market transactions, up to an aggregate offering amount of $750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967"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2016.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Report on Internal Control over Financial Reporting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Registered Public Accounting Firm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attestation report of our registered public accounting firm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 As previously disclosed, we completed the acquisition of AMM on July 1, 2016. Where appropriate, we are reviewing related internal controls and making changes to align and integrate AMM into our financial control environment. This initiative is being done as a part of our integration plan and is not in response to any identified deficiency or weakness in the Company’s or AMM’s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2017 Annual Meeting of Stockholders (the "2017 Proxy Statement") under the headings "PROPOSAL 1: ELECTION OF DIRECTORS", "EXECUTIVE OFFICERS", "BOARD AND GOVERNANCE MATTERS", and "SECTION 16(a) BENEFICIAL OWNERSHIP REPORTING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2017 Proxy Statement under the headings "PROPOSAL 1: ELECTION OF DIRECTORS", "EXECUTIVE COMPENSATION", "COMPENSATION DISCUSSION AND ANALYSIS", "REPORT OF THE COMPENSATION AND CORPORATE GOVERNANCE COMMITTEE", and "COMPENSATION AND CORPORATE GOVERNANCE COMMITTEE INTERLOCKS AND INSIDER PARTICIPATION."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2017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2017 Proxy Statement under the headings "CERTAIN TRANSACTIONS WITH RELATED PERSONS" and "PROPOSAL 1: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2017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4: RATIFICATION OF APPOINTMENT OF INDEPENDENT PUBLIC ACCOUNTANT."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0" w:right="239" w:bottom="1440" w:gutter="0" w:footer="0" w:header="0"/>
        </w:sectPr>
      </w:pPr>
    </w:p>
    <w:bookmarkStart w:id="98" w:name="page99"/>
    <w:bookmarkEnd w:id="98"/>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List of documents filed as part of this report:</w:t>
      </w:r>
    </w:p>
    <w:p>
      <w:pPr>
        <w:spacing w:after="0" w:line="158" w:lineRule="exact"/>
        <w:rPr>
          <w:sz w:val="20"/>
          <w:szCs w:val="20"/>
          <w:color w:val="auto"/>
        </w:rPr>
      </w:pPr>
    </w:p>
    <w:p>
      <w:pPr>
        <w:ind w:left="1420" w:hanging="440"/>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Statements of Comprehensive Income for fiscal years 2016, 2015 and 2014</w:t>
      </w:r>
    </w:p>
    <w:p>
      <w:pPr>
        <w:spacing w:after="0" w:line="23" w:lineRule="exact"/>
        <w:rPr>
          <w:sz w:val="20"/>
          <w:szCs w:val="20"/>
          <w:color w:val="auto"/>
        </w:rPr>
      </w:pPr>
    </w:p>
    <w:p>
      <w:pPr>
        <w:ind w:left="1760" w:right="2780" w:firstLine="648"/>
        <w:spacing w:after="0" w:line="290" w:lineRule="auto"/>
        <w:rPr>
          <w:sz w:val="20"/>
          <w:szCs w:val="20"/>
          <w:color w:val="auto"/>
        </w:rPr>
      </w:pPr>
      <w:r>
        <w:rPr>
          <w:rFonts w:ascii="Arial" w:cs="Arial" w:eastAsia="Arial" w:hAnsi="Arial"/>
          <w:sz w:val="17"/>
          <w:szCs w:val="17"/>
          <w:color w:val="auto"/>
        </w:rPr>
        <w:t>Consolidated Statements of Stockholders' Equity for fiscal years 2016, 2015 and 2014 Consolidated Statements of Cash Flows for fiscal years 2016, 2015 and 2014</w:t>
      </w:r>
    </w:p>
    <w:p>
      <w:pPr>
        <w:spacing w:after="0" w:line="1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following exhibits are filed herewith or incorporated herein by reference</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right="360" w:hanging="449"/>
        <w:spacing w:after="0" w:line="264" w:lineRule="auto"/>
        <w:tabs>
          <w:tab w:leader="none" w:pos="1280" w:val="left"/>
        </w:tabs>
        <w:rPr>
          <w:sz w:val="20"/>
          <w:szCs w:val="20"/>
          <w:color w:val="auto"/>
        </w:rPr>
      </w:pPr>
      <w:r>
        <w:rPr>
          <w:rFonts w:ascii="Arial" w:cs="Arial" w:eastAsia="Arial" w:hAnsi="Arial"/>
          <w:sz w:val="18"/>
          <w:szCs w:val="18"/>
          <w:color w:val="auto"/>
        </w:rPr>
        <w:t>*2.1</w:t>
        <w:tab/>
        <w:t>Purchase and Sale Agreement, dated as of May 23, 2016, by and among American Capital Asset Management, LLC, American Capital Mortgage Management, LLC, American Capital, Ltd. and American Capital Agency Corp., incorporated by reference to Exhibit 2.1 of Form 8-K (File No. 001-34057), filed May 25, 2016.</w:t>
      </w:r>
    </w:p>
    <w:p>
      <w:pPr>
        <w:spacing w:after="0" w:line="141" w:lineRule="exact"/>
        <w:rPr>
          <w:sz w:val="20"/>
          <w:szCs w:val="20"/>
          <w:color w:val="auto"/>
        </w:rPr>
      </w:pPr>
    </w:p>
    <w:p>
      <w:pPr>
        <w:ind w:left="1300" w:right="140" w:hanging="449"/>
        <w:spacing w:after="0" w:line="277" w:lineRule="auto"/>
        <w:tabs>
          <w:tab w:leader="none" w:pos="1280" w:val="left"/>
        </w:tabs>
        <w:rPr>
          <w:sz w:val="20"/>
          <w:szCs w:val="20"/>
          <w:color w:val="auto"/>
        </w:rPr>
      </w:pPr>
      <w:r>
        <w:rPr>
          <w:rFonts w:ascii="Arial" w:cs="Arial" w:eastAsia="Arial" w:hAnsi="Arial"/>
          <w:sz w:val="18"/>
          <w:szCs w:val="18"/>
          <w:color w:val="auto"/>
        </w:rPr>
        <w:t>*3.1</w:t>
        <w:tab/>
        <w:t>AGNC Investment Corp. Amended and Restated Certificate of Incorporation, as amended, incorporated herein by reference to Exhibit 3.1 of Form 10-Q for the quarter ended September 30, 2016 (File No. 001-34057), filed November 7, 2016.</w:t>
      </w:r>
    </w:p>
    <w:p>
      <w:pPr>
        <w:spacing w:after="0" w:line="130" w:lineRule="exact"/>
        <w:rPr>
          <w:sz w:val="20"/>
          <w:szCs w:val="20"/>
          <w:color w:val="auto"/>
        </w:rPr>
      </w:pPr>
    </w:p>
    <w:p>
      <w:pPr>
        <w:ind w:left="1300" w:right="100" w:hanging="449"/>
        <w:spacing w:after="0" w:line="277" w:lineRule="auto"/>
        <w:tabs>
          <w:tab w:leader="none" w:pos="1280" w:val="left"/>
        </w:tabs>
        <w:rPr>
          <w:sz w:val="20"/>
          <w:szCs w:val="20"/>
          <w:color w:val="auto"/>
        </w:rPr>
      </w:pPr>
      <w:r>
        <w:rPr>
          <w:rFonts w:ascii="Arial" w:cs="Arial" w:eastAsia="Arial" w:hAnsi="Arial"/>
          <w:sz w:val="18"/>
          <w:szCs w:val="18"/>
          <w:color w:val="auto"/>
        </w:rPr>
        <w:t>*3.2</w:t>
        <w:tab/>
        <w:t>AGNC Investment Corp. Third Amended and Restated Bylaws, as amended, incorporated herein by reference to Exhibit 3.2 of Form 10-Q for the quarter ended September 30, 2016 (File No. 001-34057), filed November 7, 2016.</w:t>
      </w:r>
    </w:p>
    <w:p>
      <w:pPr>
        <w:spacing w:after="0" w:line="130" w:lineRule="exact"/>
        <w:rPr>
          <w:sz w:val="20"/>
          <w:szCs w:val="20"/>
          <w:color w:val="auto"/>
        </w:rPr>
      </w:pPr>
    </w:p>
    <w:p>
      <w:pPr>
        <w:ind w:left="1300" w:right="40" w:hanging="449"/>
        <w:spacing w:after="0" w:line="277" w:lineRule="auto"/>
        <w:tabs>
          <w:tab w:leader="none" w:pos="1280" w:val="left"/>
        </w:tabs>
        <w:rPr>
          <w:sz w:val="20"/>
          <w:szCs w:val="20"/>
          <w:color w:val="auto"/>
        </w:rPr>
      </w:pPr>
      <w:r>
        <w:rPr>
          <w:rFonts w:ascii="Arial" w:cs="Arial" w:eastAsia="Arial" w:hAnsi="Arial"/>
          <w:sz w:val="18"/>
          <w:szCs w:val="18"/>
          <w:color w:val="auto"/>
        </w:rPr>
        <w:t>*3.3</w:t>
        <w:tab/>
        <w:t>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60" w:hanging="449"/>
        <w:spacing w:after="0" w:line="277" w:lineRule="auto"/>
        <w:tabs>
          <w:tab w:leader="none" w:pos="1280" w:val="left"/>
        </w:tabs>
        <w:rPr>
          <w:sz w:val="20"/>
          <w:szCs w:val="20"/>
          <w:color w:val="auto"/>
        </w:rPr>
      </w:pPr>
      <w:r>
        <w:rPr>
          <w:rFonts w:ascii="Arial" w:cs="Arial" w:eastAsia="Arial" w:hAnsi="Arial"/>
          <w:sz w:val="18"/>
          <w:szCs w:val="18"/>
          <w:color w:val="auto"/>
        </w:rPr>
        <w:t>*3.4</w:t>
        <w:tab/>
        <w:t>Certificate of Designations of 7.750% Series B Cumulative Redeemable Preferred Stock, incorporated herein by reference to Exhibit 3.3 of Form 8-A (File No. 001-34057), filed May 7, 2014.</w:t>
      </w:r>
    </w:p>
    <w:p>
      <w:pPr>
        <w:spacing w:after="0" w:line="130" w:lineRule="exact"/>
        <w:rPr>
          <w:sz w:val="20"/>
          <w:szCs w:val="20"/>
          <w:color w:val="auto"/>
        </w:rPr>
      </w:pPr>
    </w:p>
    <w:p>
      <w:pPr>
        <w:ind w:left="1300" w:right="320" w:hanging="449"/>
        <w:spacing w:after="0" w:line="264" w:lineRule="auto"/>
        <w:tabs>
          <w:tab w:leader="none" w:pos="1280" w:val="left"/>
        </w:tabs>
        <w:rPr>
          <w:sz w:val="20"/>
          <w:szCs w:val="20"/>
          <w:color w:val="auto"/>
        </w:rPr>
      </w:pPr>
      <w:r>
        <w:rPr>
          <w:rFonts w:ascii="Arial" w:cs="Arial" w:eastAsia="Arial" w:hAnsi="Arial"/>
          <w:sz w:val="18"/>
          <w:szCs w:val="18"/>
          <w:color w:val="auto"/>
        </w:rPr>
        <w:t>*4.1</w:t>
        <w:tab/>
        <w:t>Instruments defining the rights of holders of securities: See Article IV of our Amended and Restated Certificate of Incorporation, as amended, incorporated herein by reference to Exhibit 3.1 of Form 10-Q for the quarter ended September 30, 2016 (File No. 001-34057) filed November 7, 2016.</w:t>
      </w:r>
    </w:p>
    <w:p>
      <w:pPr>
        <w:spacing w:after="0" w:line="141" w:lineRule="exact"/>
        <w:rPr>
          <w:sz w:val="20"/>
          <w:szCs w:val="20"/>
          <w:color w:val="auto"/>
        </w:rPr>
      </w:pPr>
    </w:p>
    <w:p>
      <w:pPr>
        <w:ind w:left="1300" w:right="680" w:hanging="449"/>
        <w:spacing w:after="0" w:line="264" w:lineRule="auto"/>
        <w:tabs>
          <w:tab w:leader="none" w:pos="1280" w:val="left"/>
        </w:tabs>
        <w:rPr>
          <w:sz w:val="20"/>
          <w:szCs w:val="20"/>
          <w:color w:val="auto"/>
        </w:rPr>
      </w:pPr>
      <w:r>
        <w:rPr>
          <w:rFonts w:ascii="Arial" w:cs="Arial" w:eastAsia="Arial" w:hAnsi="Arial"/>
          <w:sz w:val="18"/>
          <w:szCs w:val="18"/>
          <w:color w:val="auto"/>
        </w:rPr>
        <w:t>*4.2</w:t>
        <w:tab/>
        <w:t>Instruments defining the rights of holders of securities: See Article VI of our Third Amended and Restated Bylaws, as amended, incorporated herein by reference to Exhibit 3.2 of Form 10-Q for the quarter ended September 30, 2016 (File No. 001-34057) filed November 7, 2016.</w:t>
      </w:r>
    </w:p>
    <w:p>
      <w:pPr>
        <w:spacing w:after="0" w:line="141"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Certificate for Common Stock, incorporated herein by reference to Exhibit 4.3 of Form 10-Q for the quarter ended September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2016 (File No. 001-34057), filed November 7, 2016.</w:t>
      </w:r>
    </w:p>
    <w:p>
      <w:pPr>
        <w:spacing w:after="0" w:line="170" w:lineRule="exact"/>
        <w:rPr>
          <w:sz w:val="20"/>
          <w:szCs w:val="20"/>
          <w:color w:val="auto"/>
        </w:rPr>
      </w:pPr>
    </w:p>
    <w:p>
      <w:pPr>
        <w:ind w:left="1300" w:right="40" w:hanging="449"/>
        <w:spacing w:after="0" w:line="277" w:lineRule="auto"/>
        <w:tabs>
          <w:tab w:leader="none" w:pos="1280" w:val="left"/>
        </w:tabs>
        <w:rPr>
          <w:sz w:val="20"/>
          <w:szCs w:val="20"/>
          <w:color w:val="auto"/>
        </w:rPr>
      </w:pPr>
      <w:r>
        <w:rPr>
          <w:rFonts w:ascii="Arial" w:cs="Arial" w:eastAsia="Arial" w:hAnsi="Arial"/>
          <w:sz w:val="18"/>
          <w:szCs w:val="18"/>
          <w:color w:val="auto"/>
        </w:rPr>
        <w:t>*4.4</w:t>
        <w:tab/>
        <w:t>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40" w:hanging="449"/>
        <w:spacing w:after="0" w:line="277" w:lineRule="auto"/>
        <w:tabs>
          <w:tab w:leader="none" w:pos="1280" w:val="left"/>
        </w:tabs>
        <w:rPr>
          <w:sz w:val="20"/>
          <w:szCs w:val="20"/>
          <w:color w:val="auto"/>
        </w:rPr>
      </w:pPr>
      <w:r>
        <w:rPr>
          <w:rFonts w:ascii="Arial" w:cs="Arial" w:eastAsia="Arial" w:hAnsi="Arial"/>
          <w:sz w:val="18"/>
          <w:szCs w:val="18"/>
          <w:color w:val="auto"/>
        </w:rPr>
        <w:t>*4.5</w:t>
        <w:tab/>
        <w:t>Specimen 7.750% Series B Cumulative Redeemable Preferred Stock Certificate, incorporated herein by reference to Exhibit 4.1 of Form 8-A (File No. 001-34057), filed May 7, 2014.</w:t>
      </w:r>
    </w:p>
    <w:p>
      <w:pPr>
        <w:spacing w:after="0" w:line="130" w:lineRule="exact"/>
        <w:rPr>
          <w:sz w:val="20"/>
          <w:szCs w:val="20"/>
          <w:color w:val="auto"/>
        </w:rPr>
      </w:pPr>
    </w:p>
    <w:p>
      <w:pPr>
        <w:ind w:left="1300" w:right="140" w:hanging="449"/>
        <w:spacing w:after="0" w:line="342" w:lineRule="auto"/>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Deposit Agreement, dated May 8, 2014, among American Capital Agency Corp., Computershare Inc. and Computershare Trust Company, N.A., jointly as depositary, incorporated herein by reference to Exhibit 4.2 of Form 8-K (File No. 001-34067), filed May 8, 2014.</w:t>
      </w:r>
    </w:p>
    <w:p>
      <w:pPr>
        <w:spacing w:after="0" w:line="83" w:lineRule="exact"/>
        <w:rPr>
          <w:sz w:val="20"/>
          <w:szCs w:val="20"/>
          <w:color w:val="auto"/>
        </w:rPr>
      </w:pPr>
    </w:p>
    <w:p>
      <w:pPr>
        <w:ind w:left="840"/>
        <w:spacing w:after="0"/>
        <w:tabs>
          <w:tab w:leader="none" w:pos="12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Depositary Receipt, incorporated herein by reference to Exhibit 4.3 of Form 8-K (File No. 001-34067), filed May 8, 2014.</w:t>
      </w:r>
    </w:p>
    <w:p>
      <w:pPr>
        <w:spacing w:after="0" w:line="185" w:lineRule="exact"/>
        <w:rPr>
          <w:sz w:val="20"/>
          <w:szCs w:val="20"/>
          <w:color w:val="auto"/>
        </w:rPr>
      </w:pPr>
    </w:p>
    <w:p>
      <w:pPr>
        <w:ind w:left="1300" w:right="180" w:hanging="639"/>
        <w:spacing w:after="0" w:line="264" w:lineRule="auto"/>
        <w:tabs>
          <w:tab w:leader="none" w:pos="1280" w:val="left"/>
        </w:tabs>
        <w:rPr>
          <w:sz w:val="20"/>
          <w:szCs w:val="20"/>
          <w:color w:val="auto"/>
        </w:rPr>
      </w:pPr>
      <w:r>
        <w:rPr>
          <w:rFonts w:ascii="Arial" w:cs="Arial" w:eastAsia="Arial" w:hAnsi="Arial"/>
          <w:sz w:val="18"/>
          <w:szCs w:val="18"/>
          <w:color w:val="auto"/>
        </w:rPr>
        <w:t>†*10.1</w:t>
        <w:tab/>
        <w:t>Third Amended and Restated Employment Agreement, dated September 22, 2014, as amended on November 1, 2016, by and between AGNC Mortgage Management, LLC and Gary Kain, incorporated herein by reference to Exhibit 10.1 of Form 8-K (File No. 001-34057), filed November 4, 2016.</w:t>
      </w:r>
    </w:p>
    <w:p>
      <w:pPr>
        <w:spacing w:after="0" w:line="141" w:lineRule="exact"/>
        <w:rPr>
          <w:sz w:val="20"/>
          <w:szCs w:val="20"/>
          <w:color w:val="auto"/>
        </w:rPr>
      </w:pPr>
    </w:p>
    <w:p>
      <w:pPr>
        <w:ind w:left="1300" w:right="280" w:hanging="639"/>
        <w:spacing w:after="0" w:line="264" w:lineRule="auto"/>
        <w:tabs>
          <w:tab w:leader="none" w:pos="1280" w:val="left"/>
        </w:tabs>
        <w:rPr>
          <w:sz w:val="20"/>
          <w:szCs w:val="20"/>
          <w:color w:val="auto"/>
        </w:rPr>
      </w:pPr>
      <w:r>
        <w:rPr>
          <w:rFonts w:ascii="Arial" w:cs="Arial" w:eastAsia="Arial" w:hAnsi="Arial"/>
          <w:sz w:val="18"/>
          <w:szCs w:val="18"/>
          <w:color w:val="auto"/>
        </w:rPr>
        <w:t>†*10.2</w:t>
        <w:tab/>
        <w:t>Amended and Restated Employment Agreement, dated March 30, 2012, as amended on November 1, 2016, by and between AGNC Mortgage Management, LLC and Peter J. Federico, incorporated herein by reference to Exhibit 10.2 of Form 8-K (File No. 001-34057), filed November 4, 2016.</w:t>
      </w:r>
    </w:p>
    <w:p>
      <w:pPr>
        <w:spacing w:after="0" w:line="141" w:lineRule="exact"/>
        <w:rPr>
          <w:sz w:val="20"/>
          <w:szCs w:val="20"/>
          <w:color w:val="auto"/>
        </w:rPr>
      </w:pPr>
    </w:p>
    <w:p>
      <w:pPr>
        <w:ind w:left="1300" w:hanging="639"/>
        <w:spacing w:after="0" w:line="264" w:lineRule="auto"/>
        <w:tabs>
          <w:tab w:leader="none" w:pos="1280" w:val="left"/>
        </w:tabs>
        <w:rPr>
          <w:sz w:val="20"/>
          <w:szCs w:val="20"/>
          <w:color w:val="auto"/>
        </w:rPr>
      </w:pPr>
      <w:r>
        <w:rPr>
          <w:rFonts w:ascii="Arial" w:cs="Arial" w:eastAsia="Arial" w:hAnsi="Arial"/>
          <w:sz w:val="18"/>
          <w:szCs w:val="18"/>
          <w:color w:val="auto"/>
        </w:rPr>
        <w:t>†*10.3</w:t>
        <w:tab/>
        <w:t>Amended and Restated Employment Agreement, dated March 30, 2012, as amended on November 1, 2016, by and between AGNC Mortgage Management, LLC and Christopher J. Kuehl, incorporated herein by reference to Exhibit 10.3 of Form 8-K (File No. 001-34057), filed November 4, 2016.</w:t>
      </w:r>
    </w:p>
    <w:p>
      <w:pPr>
        <w:sectPr>
          <w:pgSz w:w="11900" w:h="16838" w:orient="portrait"/>
          <w:cols w:equalWidth="0" w:num="1">
            <w:col w:w="11380"/>
          </w:cols>
          <w:pgMar w:left="240" w:top="580" w:right="279" w:bottom="1440" w:gutter="0" w:footer="0" w:header="0"/>
        </w:sect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80"/>
          </w:cols>
          <w:pgMar w:left="240" w:top="580" w:right="279" w:bottom="1440" w:gutter="0" w:footer="0" w:header="0"/>
          <w:type w:val="continuous"/>
        </w:sectPr>
      </w:pPr>
    </w:p>
    <w:bookmarkStart w:id="99" w:name="page100"/>
    <w:bookmarkEnd w:id="99"/>
    <w:p>
      <w:pPr>
        <w:ind w:left="1000" w:right="80" w:hanging="639"/>
        <w:spacing w:after="0" w:line="342" w:lineRule="auto"/>
        <w:tabs>
          <w:tab w:leader="none" w:pos="980" w:val="left"/>
        </w:tabs>
        <w:rPr>
          <w:sz w:val="20"/>
          <w:szCs w:val="20"/>
          <w:color w:val="auto"/>
        </w:rPr>
      </w:pPr>
      <w:r>
        <w:rPr>
          <w:rFonts w:ascii="Arial" w:cs="Arial" w:eastAsia="Arial" w:hAnsi="Arial"/>
          <w:sz w:val="16"/>
          <w:szCs w:val="16"/>
          <w:color w:val="auto"/>
        </w:rPr>
        <w:t>†*10.4</w:t>
        <w:tab/>
        <w:t>Letter Agreement, dated December 1, 2015, as amended on July 1, 2016, by and between American Capital Mortgage Management, LLC and Bernice E. Bell, incorporated herein by reference to Exhibit 10.4 of Form 8-K (File No. 001-34057), filed July 8, 2016.</w:t>
      </w:r>
    </w:p>
    <w:p>
      <w:pPr>
        <w:spacing w:after="0" w:line="83" w:lineRule="exact"/>
        <w:rPr>
          <w:sz w:val="20"/>
          <w:szCs w:val="20"/>
          <w:color w:val="auto"/>
        </w:rPr>
      </w:pPr>
    </w:p>
    <w:p>
      <w:pPr>
        <w:ind w:left="1000" w:right="260" w:hanging="639"/>
        <w:spacing w:after="0" w:line="277" w:lineRule="auto"/>
        <w:tabs>
          <w:tab w:leader="none" w:pos="980" w:val="left"/>
        </w:tabs>
        <w:rPr>
          <w:sz w:val="20"/>
          <w:szCs w:val="20"/>
          <w:color w:val="auto"/>
        </w:rPr>
      </w:pPr>
      <w:r>
        <w:rPr>
          <w:rFonts w:ascii="Arial" w:cs="Arial" w:eastAsia="Arial" w:hAnsi="Arial"/>
          <w:sz w:val="18"/>
          <w:szCs w:val="18"/>
          <w:color w:val="auto"/>
        </w:rPr>
        <w:t>†*10.5</w:t>
        <w:tab/>
        <w:t>Retention Bonus Grant Letter, dated July 1, 2016, by and between American Capital Mortgage Management, LLC and Bernice E. Bell, incorporated herein by reference to Exhibit 10.5 of Form 8-K (File No. 001-34057), filed July 8, 2016.</w:t>
      </w:r>
    </w:p>
    <w:p>
      <w:pPr>
        <w:spacing w:after="0" w:line="130" w:lineRule="exact"/>
        <w:rPr>
          <w:sz w:val="20"/>
          <w:szCs w:val="20"/>
          <w:color w:val="auto"/>
        </w:rPr>
      </w:pPr>
    </w:p>
    <w:p>
      <w:pPr>
        <w:ind w:left="1000" w:right="160" w:hanging="639"/>
        <w:spacing w:after="0" w:line="264" w:lineRule="auto"/>
        <w:tabs>
          <w:tab w:leader="none" w:pos="980" w:val="left"/>
        </w:tabs>
        <w:rPr>
          <w:sz w:val="20"/>
          <w:szCs w:val="20"/>
          <w:color w:val="auto"/>
        </w:rPr>
      </w:pPr>
      <w:r>
        <w:rPr>
          <w:rFonts w:ascii="Arial" w:cs="Arial" w:eastAsia="Arial" w:hAnsi="Arial"/>
          <w:sz w:val="18"/>
          <w:szCs w:val="18"/>
          <w:color w:val="auto"/>
        </w:rPr>
        <w:t>†*10.6</w:t>
        <w:tab/>
        <w:t>Transition Services Agreement, dated July 1, 2016, by and among American Capital Agency Corp., American Capital, Ltd., American Capital Asset Management, LLC and American Capital Mortgage Management, LLC, incorporated herein by reference to Exhibit 2.1 of Form 8-K (File No. 001-34057), filed July 8, 2016.</w:t>
      </w:r>
    </w:p>
    <w:p>
      <w:pPr>
        <w:spacing w:after="0" w:line="141" w:lineRule="exact"/>
        <w:rPr>
          <w:sz w:val="20"/>
          <w:szCs w:val="20"/>
          <w:color w:val="auto"/>
        </w:rPr>
      </w:pPr>
    </w:p>
    <w:p>
      <w:pPr>
        <w:ind w:left="1000" w:right="660" w:hanging="539"/>
        <w:spacing w:after="0" w:line="277" w:lineRule="auto"/>
        <w:tabs>
          <w:tab w:leader="none" w:pos="980" w:val="left"/>
        </w:tabs>
        <w:rPr>
          <w:sz w:val="20"/>
          <w:szCs w:val="20"/>
          <w:color w:val="auto"/>
        </w:rPr>
      </w:pPr>
      <w:r>
        <w:rPr>
          <w:rFonts w:ascii="Arial" w:cs="Arial" w:eastAsia="Arial" w:hAnsi="Arial"/>
          <w:sz w:val="18"/>
          <w:szCs w:val="18"/>
          <w:color w:val="auto"/>
        </w:rPr>
        <w:t>†10.7</w:t>
        <w:tab/>
        <w:t>AGNC Investment Corp. 2016 Equity and Incentive Compensation Plan, as adopted at a Special Meeting of Stockholders held on December 9, 2016, filed herewith.</w:t>
      </w:r>
    </w:p>
    <w:p>
      <w:pPr>
        <w:spacing w:after="0" w:line="130" w:lineRule="exact"/>
        <w:rPr>
          <w:sz w:val="20"/>
          <w:szCs w:val="20"/>
          <w:color w:val="auto"/>
        </w:rPr>
      </w:pPr>
    </w:p>
    <w:p>
      <w:pPr>
        <w:ind w:left="1000" w:right="20" w:hanging="539"/>
        <w:spacing w:after="0" w:line="277" w:lineRule="auto"/>
        <w:tabs>
          <w:tab w:leader="none" w:pos="980" w:val="left"/>
        </w:tabs>
        <w:rPr>
          <w:sz w:val="20"/>
          <w:szCs w:val="20"/>
          <w:color w:val="auto"/>
        </w:rPr>
      </w:pPr>
      <w:r>
        <w:rPr>
          <w:rFonts w:ascii="Arial" w:cs="Arial" w:eastAsia="Arial" w:hAnsi="Arial"/>
          <w:sz w:val="18"/>
          <w:szCs w:val="18"/>
          <w:color w:val="auto"/>
        </w:rPr>
        <w:t>†10.8</w:t>
        <w:tab/>
        <w:t>Form of AGNC Investment Corp. 2016 Equity and Incentive Compensation Plan Restricted Stock Unit Agreement for Section 16 Officers with Employment Contracts, filed herewith.</w:t>
      </w:r>
    </w:p>
    <w:p>
      <w:pPr>
        <w:spacing w:after="0" w:line="130" w:lineRule="exact"/>
        <w:rPr>
          <w:sz w:val="20"/>
          <w:szCs w:val="20"/>
          <w:color w:val="auto"/>
        </w:rPr>
      </w:pPr>
    </w:p>
    <w:p>
      <w:pPr>
        <w:ind w:left="1000" w:hanging="539"/>
        <w:spacing w:after="0" w:line="277" w:lineRule="auto"/>
        <w:tabs>
          <w:tab w:leader="none" w:pos="980" w:val="left"/>
        </w:tabs>
        <w:rPr>
          <w:sz w:val="20"/>
          <w:szCs w:val="20"/>
          <w:color w:val="auto"/>
        </w:rPr>
      </w:pPr>
      <w:r>
        <w:rPr>
          <w:rFonts w:ascii="Arial" w:cs="Arial" w:eastAsia="Arial" w:hAnsi="Arial"/>
          <w:sz w:val="18"/>
          <w:szCs w:val="18"/>
          <w:color w:val="auto"/>
        </w:rPr>
        <w:t>†10.9</w:t>
        <w:tab/>
        <w:t>Form of AGNC Investment Corp. 2016 Equity and Incentive Compensation Plan Performance-Based Restricted Stock Unit Agreement for Section 16 Officers with Employment Contracts, filed herewith.</w:t>
      </w:r>
    </w:p>
    <w:p>
      <w:pPr>
        <w:spacing w:after="0" w:line="130" w:lineRule="exact"/>
        <w:rPr>
          <w:sz w:val="20"/>
          <w:szCs w:val="20"/>
          <w:color w:val="auto"/>
        </w:rPr>
      </w:pPr>
    </w:p>
    <w:p>
      <w:pPr>
        <w:ind w:left="1000" w:right="60" w:hanging="639"/>
        <w:spacing w:after="0" w:line="277" w:lineRule="auto"/>
        <w:tabs>
          <w:tab w:leader="none" w:pos="980" w:val="left"/>
        </w:tabs>
        <w:rPr>
          <w:sz w:val="20"/>
          <w:szCs w:val="20"/>
          <w:color w:val="auto"/>
        </w:rPr>
      </w:pPr>
      <w:r>
        <w:rPr>
          <w:rFonts w:ascii="Arial" w:cs="Arial" w:eastAsia="Arial" w:hAnsi="Arial"/>
          <w:sz w:val="18"/>
          <w:szCs w:val="18"/>
          <w:color w:val="auto"/>
        </w:rPr>
        <w:t>†10.10</w:t>
        <w:tab/>
        <w:t>Form of AGNC Investment Corp. 2016 Equity and Incentive Compensation Plan Restricted Stock Unit Agreement for Section 16 officers without Employment Contracts, filed herewith.</w:t>
      </w:r>
    </w:p>
    <w:p>
      <w:pPr>
        <w:spacing w:after="0" w:line="130" w:lineRule="exact"/>
        <w:rPr>
          <w:sz w:val="20"/>
          <w:szCs w:val="20"/>
          <w:color w:val="auto"/>
        </w:rPr>
      </w:pPr>
    </w:p>
    <w:p>
      <w:pPr>
        <w:ind w:left="1000" w:hanging="639"/>
        <w:spacing w:after="0" w:line="277" w:lineRule="auto"/>
        <w:tabs>
          <w:tab w:leader="none" w:pos="980" w:val="left"/>
        </w:tabs>
        <w:rPr>
          <w:sz w:val="20"/>
          <w:szCs w:val="20"/>
          <w:color w:val="auto"/>
        </w:rPr>
      </w:pPr>
      <w:r>
        <w:rPr>
          <w:rFonts w:ascii="Arial" w:cs="Arial" w:eastAsia="Arial" w:hAnsi="Arial"/>
          <w:sz w:val="18"/>
          <w:szCs w:val="18"/>
          <w:color w:val="auto"/>
        </w:rPr>
        <w:t>†10.11</w:t>
        <w:tab/>
        <w:t>Form of AGNC Investment Corp. 2016 Equity and Incentive Compensation Plan Performance-Based Restricted Stock Unit Agreement for Section 16 officers without Employment Contracts, filed herewith.</w:t>
      </w:r>
    </w:p>
    <w:p>
      <w:pPr>
        <w:spacing w:after="0" w:line="130" w:lineRule="exact"/>
        <w:rPr>
          <w:sz w:val="20"/>
          <w:szCs w:val="20"/>
          <w:color w:val="auto"/>
        </w:rPr>
      </w:pPr>
    </w:p>
    <w:p>
      <w:pPr>
        <w:ind w:left="1000" w:right="100" w:hanging="719"/>
        <w:spacing w:after="0" w:line="277" w:lineRule="auto"/>
        <w:tabs>
          <w:tab w:leader="none" w:pos="980" w:val="left"/>
        </w:tabs>
        <w:rPr>
          <w:sz w:val="20"/>
          <w:szCs w:val="20"/>
          <w:color w:val="auto"/>
        </w:rPr>
      </w:pPr>
      <w:r>
        <w:rPr>
          <w:rFonts w:ascii="Arial" w:cs="Arial" w:eastAsia="Arial" w:hAnsi="Arial"/>
          <w:sz w:val="18"/>
          <w:szCs w:val="18"/>
          <w:color w:val="auto"/>
        </w:rPr>
        <w:t>†*10.12</w:t>
        <w:tab/>
        <w:t>AGNC Mortgage Management, LLC Performance Incentive Plan - MTGE, incorporated herein by reference to Exhibit 10.1 of Form 8-K (File No. 001-34057), filed January 27, 2017.</w:t>
      </w:r>
    </w:p>
    <w:p>
      <w:pPr>
        <w:spacing w:after="0" w:line="130" w:lineRule="exact"/>
        <w:rPr>
          <w:sz w:val="20"/>
          <w:szCs w:val="20"/>
          <w:color w:val="auto"/>
        </w:rPr>
      </w:pPr>
    </w:p>
    <w:p>
      <w:pPr>
        <w:ind w:left="1000" w:right="340" w:hanging="639"/>
        <w:spacing w:after="0" w:line="277" w:lineRule="auto"/>
        <w:tabs>
          <w:tab w:leader="none" w:pos="980" w:val="left"/>
        </w:tabs>
        <w:rPr>
          <w:sz w:val="20"/>
          <w:szCs w:val="20"/>
          <w:color w:val="auto"/>
        </w:rPr>
      </w:pPr>
      <w:r>
        <w:rPr>
          <w:rFonts w:ascii="Arial" w:cs="Arial" w:eastAsia="Arial" w:hAnsi="Arial"/>
          <w:sz w:val="18"/>
          <w:szCs w:val="18"/>
          <w:color w:val="auto"/>
        </w:rPr>
        <w:t>†10.13</w:t>
        <w:tab/>
        <w:t>Form of Memorandum and Acceptance Agreement for Incentive Awards under the AGNC Mortgage Management, LLC Performance Incentive Plan - MTGE for Section 16 Officers with Employment Contracts, filed herewith.</w:t>
      </w:r>
    </w:p>
    <w:p>
      <w:pPr>
        <w:spacing w:after="0" w:line="130" w:lineRule="exact"/>
        <w:rPr>
          <w:sz w:val="20"/>
          <w:szCs w:val="20"/>
          <w:color w:val="auto"/>
        </w:rPr>
      </w:pPr>
    </w:p>
    <w:p>
      <w:pPr>
        <w:ind w:left="1000" w:right="340" w:hanging="639"/>
        <w:spacing w:after="0" w:line="277" w:lineRule="auto"/>
        <w:tabs>
          <w:tab w:leader="none" w:pos="980" w:val="left"/>
        </w:tabs>
        <w:rPr>
          <w:sz w:val="20"/>
          <w:szCs w:val="20"/>
          <w:color w:val="auto"/>
        </w:rPr>
      </w:pPr>
      <w:r>
        <w:rPr>
          <w:rFonts w:ascii="Arial" w:cs="Arial" w:eastAsia="Arial" w:hAnsi="Arial"/>
          <w:sz w:val="18"/>
          <w:szCs w:val="18"/>
          <w:color w:val="auto"/>
        </w:rPr>
        <w:t>†10.14</w:t>
        <w:tab/>
        <w:t>Form of Memorandum and Acceptance Agreement for Incentive Awards under the AGNC Mortgage Management, LLC Performance Incentive Plan - MTGE for Section 16 Officers without Employment Contracts, filed herewith.</w:t>
      </w:r>
    </w:p>
    <w:p>
      <w:pPr>
        <w:spacing w:after="0" w:line="130" w:lineRule="exact"/>
        <w:rPr>
          <w:sz w:val="20"/>
          <w:szCs w:val="20"/>
          <w:color w:val="auto"/>
        </w:rPr>
      </w:pPr>
    </w:p>
    <w:p>
      <w:pPr>
        <w:ind w:left="1000" w:right="360" w:hanging="449"/>
        <w:spacing w:after="0" w:line="277" w:lineRule="auto"/>
        <w:tabs>
          <w:tab w:leader="none" w:pos="980" w:val="left"/>
        </w:tabs>
        <w:rPr>
          <w:sz w:val="20"/>
          <w:szCs w:val="20"/>
          <w:color w:val="auto"/>
        </w:rPr>
      </w:pPr>
      <w:r>
        <w:rPr>
          <w:rFonts w:ascii="Arial" w:cs="Arial" w:eastAsia="Arial" w:hAnsi="Arial"/>
          <w:sz w:val="18"/>
          <w:szCs w:val="18"/>
          <w:color w:val="auto"/>
        </w:rPr>
        <w:t>12.1</w:t>
        <w:tab/>
        <w:t>Computation of ratio of earnings to fixed charges and ratio of earnings to combined fixed charges and preferred stock dividends, filed herewith.</w:t>
      </w:r>
    </w:p>
    <w:p>
      <w:pPr>
        <w:spacing w:after="0" w:line="130"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AGNC Investment Corp. Code of Ethics and Conduct, adopted October 18, 2016, filed herewith.</w:t>
      </w:r>
    </w:p>
    <w:p>
      <w:pPr>
        <w:spacing w:after="0" w:line="185" w:lineRule="exact"/>
        <w:rPr>
          <w:sz w:val="20"/>
          <w:szCs w:val="20"/>
          <w:color w:val="auto"/>
        </w:rPr>
      </w:pPr>
    </w:p>
    <w:p>
      <w:pPr>
        <w:ind w:left="1000" w:hanging="324"/>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63" w:lineRule="exact"/>
        <w:rPr>
          <w:rFonts w:ascii="Arial" w:cs="Arial" w:eastAsia="Arial" w:hAnsi="Arial"/>
          <w:sz w:val="18"/>
          <w:szCs w:val="18"/>
          <w:color w:val="auto"/>
        </w:rPr>
      </w:pPr>
    </w:p>
    <w:p>
      <w:pPr>
        <w:ind w:left="1180" w:hanging="189"/>
        <w:spacing w:after="0"/>
        <w:tabs>
          <w:tab w:leader="none" w:pos="11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AGNC TRS, LLC, a Delaware limited liability company</w:t>
      </w:r>
    </w:p>
    <w:p>
      <w:pPr>
        <w:spacing w:after="0" w:line="63" w:lineRule="exact"/>
        <w:rPr>
          <w:rFonts w:ascii="Arial" w:cs="Arial" w:eastAsia="Arial" w:hAnsi="Arial"/>
          <w:sz w:val="18"/>
          <w:szCs w:val="18"/>
          <w:color w:val="auto"/>
        </w:rPr>
      </w:pPr>
    </w:p>
    <w:p>
      <w:pPr>
        <w:ind w:left="1180" w:hanging="189"/>
        <w:spacing w:after="0"/>
        <w:tabs>
          <w:tab w:leader="none" w:pos="11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63" w:lineRule="exact"/>
        <w:rPr>
          <w:rFonts w:ascii="Arial" w:cs="Arial" w:eastAsia="Arial" w:hAnsi="Arial"/>
          <w:sz w:val="18"/>
          <w:szCs w:val="18"/>
          <w:color w:val="auto"/>
        </w:rPr>
      </w:pPr>
    </w:p>
    <w:p>
      <w:pPr>
        <w:ind w:left="1180" w:hanging="189"/>
        <w:spacing w:after="0"/>
        <w:tabs>
          <w:tab w:leader="none" w:pos="11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Bethesda Securities, LLC, a Delaware limited liability company</w:t>
      </w:r>
    </w:p>
    <w:p>
      <w:pPr>
        <w:spacing w:after="0" w:line="63" w:lineRule="exact"/>
        <w:rPr>
          <w:rFonts w:ascii="Arial" w:cs="Arial" w:eastAsia="Arial" w:hAnsi="Arial"/>
          <w:sz w:val="18"/>
          <w:szCs w:val="18"/>
          <w:color w:val="auto"/>
        </w:rPr>
      </w:pPr>
    </w:p>
    <w:p>
      <w:pPr>
        <w:ind w:left="1180" w:hanging="189"/>
        <w:spacing w:after="0"/>
        <w:tabs>
          <w:tab w:leader="none" w:pos="11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AGNC Mortgage Management, LLC, a Delaware limited liability company</w:t>
      </w:r>
    </w:p>
    <w:p>
      <w:pPr>
        <w:spacing w:after="0" w:line="185" w:lineRule="exact"/>
        <w:rPr>
          <w:sz w:val="20"/>
          <w:szCs w:val="20"/>
          <w:color w:val="auto"/>
        </w:rPr>
      </w:pPr>
    </w:p>
    <w:p>
      <w:pPr>
        <w:ind w:left="1000" w:hanging="32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Consent of Ernst &amp; Young LLP, filed herewith.</w:t>
      </w:r>
    </w:p>
    <w:p>
      <w:pPr>
        <w:spacing w:after="0" w:line="184" w:lineRule="exact"/>
        <w:rPr>
          <w:rFonts w:ascii="Arial" w:cs="Arial" w:eastAsia="Arial" w:hAnsi="Arial"/>
          <w:sz w:val="18"/>
          <w:szCs w:val="18"/>
          <w:color w:val="auto"/>
        </w:rPr>
      </w:pPr>
    </w:p>
    <w:p>
      <w:pPr>
        <w:ind w:left="1000" w:hanging="32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Powers of Attorneys of directors and officers, filed herewith.</w:t>
      </w:r>
    </w:p>
    <w:p>
      <w:pPr>
        <w:spacing w:after="0" w:line="185" w:lineRule="exact"/>
        <w:rPr>
          <w:sz w:val="20"/>
          <w:szCs w:val="20"/>
          <w:color w:val="auto"/>
        </w:rPr>
      </w:pPr>
    </w:p>
    <w:p>
      <w:pPr>
        <w:ind w:left="54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Section 302(a) of the Sarbanes-Oxley Act of 2002.</w:t>
      </w:r>
    </w:p>
    <w:p>
      <w:pPr>
        <w:spacing w:after="0" w:line="185" w:lineRule="exact"/>
        <w:rPr>
          <w:sz w:val="20"/>
          <w:szCs w:val="20"/>
          <w:color w:val="auto"/>
        </w:rPr>
      </w:pPr>
    </w:p>
    <w:p>
      <w:pPr>
        <w:ind w:left="54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Section 302(a) of the Sarbanes-Oxley Act of 2002.</w:t>
      </w:r>
    </w:p>
    <w:p>
      <w:pPr>
        <w:spacing w:after="0" w:line="185" w:lineRule="exact"/>
        <w:rPr>
          <w:sz w:val="20"/>
          <w:szCs w:val="20"/>
          <w:color w:val="auto"/>
        </w:rPr>
      </w:pPr>
    </w:p>
    <w:p>
      <w:pPr>
        <w:ind w:left="80" w:right="3420" w:firstLine="596"/>
        <w:spacing w:after="0" w:line="454"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20"/>
        <w:spacing w:after="0"/>
        <w:tabs>
          <w:tab w:leader="none" w:pos="9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Labels Linkbase Document</w:t>
      </w:r>
    </w:p>
    <w:p>
      <w:pPr>
        <w:spacing w:after="0" w:line="185"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8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ectPr>
          <w:pgSz w:w="11900" w:h="16838" w:orient="portrait"/>
          <w:cols w:equalWidth="0" w:num="1">
            <w:col w:w="10980"/>
          </w:cols>
          <w:pgMar w:left="540" w:top="746" w:right="379" w:bottom="1440" w:gutter="0" w:footer="0" w:header="0"/>
        </w:sectPr>
      </w:pPr>
    </w:p>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980"/>
          </w:cols>
          <w:pgMar w:left="540" w:top="746" w:right="37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Previously filed</w:t>
      </w:r>
    </w:p>
    <w:p>
      <w:pPr>
        <w:spacing w:after="0" w:line="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exhibit is being furnished rather than filed, and shall not be deemed incorporated by reference into any filing, in accordance with Item 601 of</w:t>
      </w:r>
    </w:p>
    <w:p>
      <w:pPr>
        <w:spacing w:after="0" w:line="23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380" w:hanging="467"/>
        <w:spacing w:after="0" w:line="277"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584" w:right="4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10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GARY KAIN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Kain</w:t>
      </w:r>
    </w:p>
    <w:p>
      <w:pPr>
        <w:jc w:val="center"/>
        <w:ind w:left="6160"/>
        <w:spacing w:after="0" w:line="226" w:lineRule="auto"/>
        <w:rPr>
          <w:sz w:val="20"/>
          <w:szCs w:val="20"/>
          <w:color w:val="auto"/>
        </w:rPr>
      </w:pPr>
      <w:r>
        <w:rPr>
          <w:rFonts w:ascii="Arial" w:cs="Arial" w:eastAsia="Arial" w:hAnsi="Arial"/>
          <w:sz w:val="14"/>
          <w:szCs w:val="14"/>
          <w:b w:val="1"/>
          <w:bCs w:val="1"/>
          <w:color w:val="auto"/>
        </w:rPr>
        <w:t>Chief Executive Officer, President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27, 2017</w:t>
      </w:r>
    </w:p>
    <w:p>
      <w:pPr>
        <w:spacing w:after="0" w:line="185" w:lineRule="exact"/>
        <w:rPr>
          <w:sz w:val="20"/>
          <w:szCs w:val="20"/>
          <w:color w:val="auto"/>
        </w:rPr>
      </w:pPr>
    </w:p>
    <w:p>
      <w:pPr>
        <w:ind w:firstLine="450"/>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gridSpan w:val="2"/>
          </w:tcPr>
          <w:p>
            <w:pPr>
              <w:jc w:val="center"/>
              <w:ind w:right="1560"/>
              <w:spacing w:after="0"/>
              <w:rPr>
                <w:sz w:val="20"/>
                <w:szCs w:val="20"/>
                <w:color w:val="auto"/>
              </w:rPr>
            </w:pPr>
            <w:r>
              <w:rPr>
                <w:rFonts w:ascii="Arial" w:cs="Arial" w:eastAsia="Arial" w:hAnsi="Arial"/>
                <w:sz w:val="13"/>
                <w:szCs w:val="13"/>
                <w:b w:val="1"/>
                <w:bCs w:val="1"/>
                <w:color w:val="auto"/>
                <w:w w:val="84"/>
              </w:rPr>
              <w:t>Name</w:t>
            </w:r>
          </w:p>
        </w:tc>
        <w:tc>
          <w:tcPr>
            <w:tcW w:w="146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President and</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Investment Officer (Principal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Officer)</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Gary Kain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Chief Financial Officer and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(Principal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/s/  P</w:t>
            </w:r>
            <w:r>
              <w:rPr>
                <w:rFonts w:ascii="Arial" w:cs="Arial" w:eastAsia="Arial" w:hAnsi="Arial"/>
                <w:sz w:val="14"/>
                <w:szCs w:val="14"/>
                <w:color w:val="auto"/>
                <w:w w:val="99"/>
              </w:rPr>
              <w:t>ETER</w:t>
            </w:r>
            <w:r>
              <w:rPr>
                <w:rFonts w:ascii="Arial" w:cs="Arial" w:eastAsia="Arial" w:hAnsi="Arial"/>
                <w:sz w:val="18"/>
                <w:szCs w:val="18"/>
                <w:color w:val="auto"/>
                <w:w w:val="99"/>
              </w:rPr>
              <w:t xml:space="preserve"> F</w:t>
            </w:r>
            <w:r>
              <w:rPr>
                <w:rFonts w:ascii="Arial" w:cs="Arial" w:eastAsia="Arial" w:hAnsi="Arial"/>
                <w:sz w:val="14"/>
                <w:szCs w:val="14"/>
                <w:color w:val="auto"/>
                <w:w w:val="99"/>
              </w:rPr>
              <w:t>EDERICO</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Financial 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6"/>
              </w:rPr>
              <w:t>Peter Federico</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5"/>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 Chief</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w w:val="96"/>
              </w:rPr>
              <w:t>Accounting Officer (Principal Accounting</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6"/>
                <w:szCs w:val="16"/>
                <w:color w:val="auto"/>
                <w:w w:val="97"/>
              </w:rPr>
              <w:t xml:space="preserve">/s/ </w:t>
            </w:r>
            <w:r>
              <w:rPr>
                <w:rFonts w:ascii="Arial" w:cs="Arial" w:eastAsia="Arial" w:hAnsi="Arial"/>
                <w:sz w:val="18"/>
                <w:szCs w:val="18"/>
                <w:color w:val="auto"/>
                <w:w w:val="97"/>
              </w:rPr>
              <w:t>B</w:t>
            </w:r>
            <w:r>
              <w:rPr>
                <w:rFonts w:ascii="Arial" w:cs="Arial" w:eastAsia="Arial" w:hAnsi="Arial"/>
                <w:sz w:val="14"/>
                <w:szCs w:val="14"/>
                <w:color w:val="auto"/>
                <w:w w:val="97"/>
              </w:rPr>
              <w:t>ERNICE</w:t>
            </w:r>
            <w:r>
              <w:rPr>
                <w:rFonts w:ascii="Arial" w:cs="Arial" w:eastAsia="Arial" w:hAnsi="Arial"/>
                <w:sz w:val="16"/>
                <w:szCs w:val="16"/>
                <w:color w:val="auto"/>
                <w:w w:val="97"/>
              </w:rPr>
              <w:t xml:space="preserve"> </w:t>
            </w:r>
            <w:r>
              <w:rPr>
                <w:rFonts w:ascii="Arial" w:cs="Arial" w:eastAsia="Arial" w:hAnsi="Arial"/>
                <w:sz w:val="18"/>
                <w:szCs w:val="18"/>
                <w:color w:val="auto"/>
                <w:w w:val="97"/>
              </w:rPr>
              <w:t>E. B</w:t>
            </w:r>
            <w:r>
              <w:rPr>
                <w:rFonts w:ascii="Arial" w:cs="Arial" w:eastAsia="Arial" w:hAnsi="Arial"/>
                <w:sz w:val="14"/>
                <w:szCs w:val="14"/>
                <w:color w:val="auto"/>
                <w:w w:val="97"/>
              </w:rPr>
              <w:t>ELL</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Bernice E. Bell</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Larry K. Harvey</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spacing w:after="0"/>
              <w:rPr>
                <w:sz w:val="24"/>
                <w:szCs w:val="24"/>
                <w:color w:val="auto"/>
              </w:rPr>
            </w:pPr>
          </w:p>
        </w:tc>
        <w:tc>
          <w:tcPr>
            <w:tcW w:w="1840" w:type="dxa"/>
            <w:vAlign w:val="bottom"/>
            <w:gridSpan w:val="2"/>
          </w:tcPr>
          <w:p>
            <w:pPr>
              <w:jc w:val="center"/>
              <w:ind w:left="1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27, 2017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Paul E. Mullings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540" w:type="dxa"/>
            <w:vAlign w:val="bottom"/>
          </w:tcPr>
          <w:p>
            <w:pPr>
              <w:ind w:left="100"/>
              <w:spacing w:after="0"/>
              <w:rPr>
                <w:sz w:val="20"/>
                <w:szCs w:val="20"/>
                <w:color w:val="auto"/>
              </w:rPr>
            </w:pPr>
            <w:r>
              <w:rPr>
                <w:rFonts w:ascii="Arial" w:cs="Arial" w:eastAsia="Arial" w:hAnsi="Arial"/>
                <w:sz w:val="16"/>
                <w:szCs w:val="16"/>
                <w:color w:val="auto"/>
              </w:rPr>
              <w:t>*By:</w:t>
            </w: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6"/>
                <w:szCs w:val="16"/>
                <w:color w:val="auto"/>
              </w:rPr>
              <w:t xml:space="preserve"> L. </w:t>
            </w:r>
            <w:r>
              <w:rPr>
                <w:rFonts w:ascii="Arial" w:cs="Arial" w:eastAsia="Arial" w:hAnsi="Arial"/>
                <w:sz w:val="18"/>
                <w:szCs w:val="18"/>
                <w:color w:val="auto"/>
              </w:rPr>
              <w:t>P</w:t>
            </w:r>
            <w:r>
              <w:rPr>
                <w:rFonts w:ascii="Arial" w:cs="Arial" w:eastAsia="Arial" w:hAnsi="Arial"/>
                <w:sz w:val="14"/>
                <w:szCs w:val="14"/>
                <w:color w:val="auto"/>
              </w:rPr>
              <w:t>OLLACK</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Kenneth L. Pollack</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400" w:type="dxa"/>
            <w:vAlign w:val="bottom"/>
            <w:gridSpan w:val="3"/>
          </w:tcPr>
          <w:p>
            <w:pPr>
              <w:jc w:val="center"/>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1"/>
        </w:trPr>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10.7</w:t>
      </w:r>
    </w:p>
    <w:p>
      <w:pPr>
        <w:spacing w:after="0" w:line="200" w:lineRule="exact"/>
        <w:rPr>
          <w:sz w:val="20"/>
          <w:szCs w:val="20"/>
          <w:color w:val="auto"/>
        </w:rPr>
      </w:pPr>
    </w:p>
    <w:p>
      <w:pPr>
        <w:spacing w:after="0" w:line="23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AGNC Investment Corp.</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225" w:lineRule="exact"/>
        <w:rPr>
          <w:sz w:val="20"/>
          <w:szCs w:val="20"/>
          <w:color w:val="auto"/>
        </w:rPr>
      </w:pPr>
    </w:p>
    <w:p>
      <w:pPr>
        <w:ind w:left="328" w:hanging="328"/>
        <w:spacing w:after="0" w:line="261"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Plan is to attract and retain non-employee Directors and officers and other employees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to provide to such persons incentives and rewards for service or performance.</w:t>
      </w:r>
    </w:p>
    <w:p>
      <w:pPr>
        <w:ind w:left="328" w:hanging="328"/>
        <w:spacing w:after="0"/>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Plan:</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Appreciation Right</w:t>
      </w:r>
      <w:r>
        <w:rPr>
          <w:rFonts w:ascii="Arial" w:cs="Arial" w:eastAsia="Arial" w:hAnsi="Arial"/>
          <w:sz w:val="18"/>
          <w:szCs w:val="18"/>
          <w:color w:val="auto"/>
        </w:rPr>
        <w:t xml:space="preserve">”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means the price to be used as the basis for determining the Spread upon the exercise of an Appreciation Right.</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xml:space="preserve">” means a cash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9"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Compensation and Corporate Governance Committee of the Board (or its successor(s))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 and to the extent of any delegation by the Committee to a subcommittee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 such subcommittee.</w:t>
      </w:r>
    </w:p>
    <w:p>
      <w:pPr>
        <w:spacing w:after="0" w:line="1"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the common stock, par value $0.01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AGNC Investment Corp., a Delaware corporation, and its successors.</w:t>
      </w:r>
    </w:p>
    <w:p>
      <w:pPr>
        <w:spacing w:after="0" w:line="9"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as applied to any Person, the possession, directly or indirectly, of the power to direct or cause the direction of the management and policies of such Person, whether through the ownership of voting or other securities, by contract or otherwise.</w:t>
      </w:r>
    </w:p>
    <w:p>
      <w:pPr>
        <w:spacing w:after="0" w:line="1" w:lineRule="exact"/>
        <w:rPr>
          <w:rFonts w:ascii="Arial" w:cs="Arial" w:eastAsia="Arial" w:hAnsi="Arial"/>
          <w:sz w:val="18"/>
          <w:szCs w:val="18"/>
          <w:color w:val="auto"/>
        </w:rPr>
      </w:pPr>
    </w:p>
    <w:p>
      <w:pPr>
        <w:jc w:val="both"/>
        <w:ind w:left="648" w:right="20"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xml:space="preserve">” means the date specified by the Committee on which a grant of an Option Right, an Appreciation Right, Performance Shares, Performance Units, a Cash Incentive Award or other award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a grant or sale of Restricted Shares, Restricted Stock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will become effective (which date will not be earlier than the date on which the Committee takes action with respect thereto).</w:t>
      </w:r>
    </w:p>
    <w:p>
      <w:pPr>
        <w:spacing w:after="0" w:line="1" w:lineRule="exact"/>
        <w:rPr>
          <w:rFonts w:ascii="Arial" w:cs="Arial" w:eastAsia="Arial" w:hAnsi="Arial"/>
          <w:sz w:val="18"/>
          <w:szCs w:val="18"/>
          <w:color w:val="auto"/>
        </w:rPr>
      </w:pPr>
    </w:p>
    <w:p>
      <w:pPr>
        <w:ind w:left="648" w:hanging="324"/>
        <w:spacing w:after="0"/>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9"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October 18, 2016, the date on which this Plan was adopted by the Board, subject to obtaining the approval of the Stockholders.</w:t>
      </w:r>
    </w:p>
    <w:p>
      <w:pPr>
        <w:jc w:val="both"/>
        <w:ind w:left="648" w:right="20"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Award</w:t>
      </w:r>
      <w:r>
        <w:rPr>
          <w:rFonts w:ascii="Arial" w:cs="Arial" w:eastAsia="Arial" w:hAnsi="Arial"/>
          <w:sz w:val="18"/>
          <w:szCs w:val="18"/>
          <w:color w:val="auto"/>
        </w:rPr>
        <w:t>”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thereunder, as such law, rules and regulations may be amended from time to time.</w:t>
      </w:r>
    </w:p>
    <w:p>
      <w:pPr>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Right that is intended to qualify as an “incentive stock option” under Section 422 of the Code or any successor provision.</w:t>
      </w:r>
    </w:p>
    <w:p>
      <w:pPr>
        <w:jc w:val="both"/>
        <w:ind w:left="648" w:hanging="324"/>
        <w:spacing w:after="0" w:line="250"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means the individuals who, as of the Effective Date, are Directors and any individual becoming a Director subsequent to the Effective Date whose election, nomination for election by the Stockholders or appointment was approved by a vote of at least a majority of the then-Incumbent Directors (either by a specific vote or by approval of the proxy statement of the Company in which such Person is named as a nominee for Director without objection to such nomination);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3" w:lineRule="exact"/>
        <w:rPr>
          <w:rFonts w:ascii="Arial" w:cs="Arial" w:eastAsia="Arial" w:hAnsi="Arial"/>
          <w:sz w:val="18"/>
          <w:szCs w:val="18"/>
          <w:color w:val="auto"/>
        </w:rPr>
      </w:pPr>
    </w:p>
    <w:p>
      <w:pPr>
        <w:jc w:val="both"/>
        <w:ind w:left="648" w:hanging="324"/>
        <w:spacing w:after="0" w:line="254"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Objectives</w:t>
      </w:r>
      <w:r>
        <w:rPr>
          <w:rFonts w:ascii="Arial" w:cs="Arial" w:eastAsia="Arial" w:hAnsi="Arial"/>
          <w:sz w:val="18"/>
          <w:szCs w:val="18"/>
          <w:color w:val="auto"/>
        </w:rPr>
        <w:t>”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Shares, Restricted Stock Units, dividend equivalents or other awards pursuant to this Plan. Management Objectives may be described in</w:t>
      </w: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8"/>
          </w:cols>
          <w:pgMar w:left="572" w:top="584" w:right="239" w:bottom="1440" w:gutter="0" w:footer="0" w:header="0"/>
        </w:sectPr>
      </w:pPr>
    </w:p>
    <w:bookmarkStart w:id="103" w:name="page104"/>
    <w:bookmarkEnd w:id="103"/>
    <w:p>
      <w:pPr>
        <w:jc w:val="both"/>
        <w:ind w:left="324"/>
        <w:spacing w:after="0" w:line="334" w:lineRule="auto"/>
        <w:rPr>
          <w:sz w:val="20"/>
          <w:szCs w:val="20"/>
          <w:color w:val="auto"/>
        </w:rPr>
      </w:pPr>
      <w:r>
        <w:rPr>
          <w:rFonts w:ascii="Arial" w:cs="Arial" w:eastAsia="Arial" w:hAnsi="Arial"/>
          <w:sz w:val="16"/>
          <w:szCs w:val="16"/>
          <w:color w:val="auto"/>
        </w:rPr>
        <w:t>terms of Company-wide objectives or objectives that are related to the performance of the individual Participant or of one or more of the Subsidiaries, divisions, departments, regions, functions or other organizational units within the Company or the Subsidiaries. The Management Objectives may be made relative to the performance of other companies or subsidiaries, divisions, departments, regions, functions or other organizational units within such other companies and may be made relative to an index or one or more of the performance objectives themselves. The Committee may grant awards subject to Management Objectives that are either Qualified Performance-Based Awards or are not Qualified Performance-Based Awards. The Management Objectives applicable to any Qualified Performance-Based Award will be based on one or more, or a combination, of the following metrics (including relative or growth achievement regarding such metrics), which may be determined on an absolute, aggregate, per share, cash or other basis: (i) cash flow measures; (ii) cash available for distribution; (iii) earnings;</w:t>
      </w:r>
    </w:p>
    <w:p>
      <w:pPr>
        <w:spacing w:after="0" w:line="4" w:lineRule="exact"/>
        <w:rPr>
          <w:sz w:val="20"/>
          <w:szCs w:val="20"/>
          <w:color w:val="auto"/>
        </w:rPr>
      </w:pPr>
    </w:p>
    <w:p>
      <w:pPr>
        <w:jc w:val="both"/>
        <w:ind w:left="324"/>
        <w:spacing w:after="0" w:line="334" w:lineRule="auto"/>
        <w:tabs>
          <w:tab w:leader="none" w:pos="6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net income, net operating income or other earnings or income measures (including earnings adjusted to exclude interest, taxes, depreciation, amortization and/or rent); (v) share price performance; (vi) book value; (vii) dividends; (viii) return measures (including total economic return (including by taking into account changes in net asset value and dividends declared or paid), total stock return or total shareholder return (including by taking into account changes in share prices plus dividends declared or paid) or return on assets, capital, invested capital, equity or revenue); (ix) valuation metrics (including price-to-book ratio); (x) revenue; (xi) profit margin; (xii) expense levels or ratios and reduction of expenses and costs; (xiii) cost control measures; (xiv) balance sheet metrics or objectives; (xv) debt levels or reduction of debt ratios;</w:t>
      </w:r>
    </w:p>
    <w:p>
      <w:pPr>
        <w:spacing w:after="0" w:line="3" w:lineRule="exact"/>
        <w:rPr>
          <w:rFonts w:ascii="Arial" w:cs="Arial" w:eastAsia="Arial" w:hAnsi="Arial"/>
          <w:sz w:val="16"/>
          <w:szCs w:val="16"/>
          <w:color w:val="auto"/>
        </w:rPr>
      </w:pPr>
    </w:p>
    <w:p>
      <w:pPr>
        <w:jc w:val="both"/>
        <w:ind w:left="324"/>
        <w:spacing w:after="0" w:line="310" w:lineRule="auto"/>
        <w:tabs>
          <w:tab w:leader="none" w:pos="747" w:val="left"/>
        </w:tabs>
        <w:numPr>
          <w:ilvl w:val="0"/>
          <w:numId w:val="69"/>
        </w:numPr>
        <w:rPr>
          <w:rFonts w:ascii="Arial" w:cs="Arial" w:eastAsia="Arial" w:hAnsi="Arial"/>
          <w:sz w:val="17"/>
          <w:szCs w:val="17"/>
          <w:color w:val="auto"/>
        </w:rPr>
      </w:pPr>
      <w:r>
        <w:rPr>
          <w:rFonts w:ascii="Arial" w:cs="Arial" w:eastAsia="Arial" w:hAnsi="Arial"/>
          <w:sz w:val="17"/>
          <w:szCs w:val="17"/>
          <w:color w:val="auto"/>
        </w:rPr>
        <w:t>operating efficiency and productivity; (xvii) funds from operations; (xviii) completion of, or achievement of milestones or objectives related to, financing or capital raising transactions, strategic acquisitions or divestitures, joint ventures, partnerships, collaborations or other transactions or improvements in capital structure; or (xix) strategic objectives consisting of capital allocation and investment strategy, maintenance or achievement of credit ratings, execution of business extensions or expansion plans, execution or implementation of transition or development plans or transactions, branding or rebranding, management effectiveness, staffing development, team building and management, management of legal and regulatory matters, regulatory and legal compliance, satisfactory internal or external audits, budget and expense management and management of co-investment relationships.</w:t>
      </w:r>
    </w:p>
    <w:p>
      <w:pPr>
        <w:spacing w:after="0" w:line="3" w:lineRule="exact"/>
        <w:rPr>
          <w:sz w:val="20"/>
          <w:szCs w:val="20"/>
          <w:color w:val="auto"/>
        </w:rPr>
      </w:pPr>
    </w:p>
    <w:p>
      <w:pPr>
        <w:jc w:val="both"/>
        <w:ind w:left="324" w:hanging="323"/>
        <w:spacing w:after="0" w:line="271" w:lineRule="auto"/>
        <w:rPr>
          <w:sz w:val="20"/>
          <w:szCs w:val="20"/>
          <w:color w:val="auto"/>
        </w:rPr>
      </w:pPr>
      <w:r>
        <w:rPr>
          <w:rFonts w:ascii="Arial" w:cs="Arial" w:eastAsia="Arial" w:hAnsi="Arial"/>
          <w:sz w:val="17"/>
          <w:szCs w:val="17"/>
          <w:color w:val="auto"/>
        </w:rPr>
        <w:t>In the case of a Qualified Performance-Based Award, each Management Objective will be objectively determinable to the extent required under Section 162(m) of the Code, and, unless otherwise determined by the Committee and to the extent consistent with Section 162(m) of the Code, will exclude the effects of certain designated items identified at the time of grant. If the Committee determines that a change in the business, operations, corporate structure or capital structure of the Company, the manner in which it conducts its business or other events or circumstances render the Management Objectives unsuitable, the Committee may in its discretion modify such Management Objectives or the related minimum acceptable level of achievement, in whole or in part, as the Committee deems appropriate and equitable, except in the case of a Qualified Performance-Based Award (other than in connection with a Participant’s death or disability or a Change of Control) where such action would result in the loss of the otherwise available exemption of the award under Section 162(m) of the Code.</w:t>
      </w:r>
    </w:p>
    <w:p>
      <w:pPr>
        <w:spacing w:after="0" w:line="178" w:lineRule="exact"/>
        <w:rPr>
          <w:sz w:val="20"/>
          <w:szCs w:val="20"/>
          <w:color w:val="auto"/>
        </w:rPr>
      </w:pPr>
    </w:p>
    <w:p>
      <w:pPr>
        <w:jc w:val="both"/>
        <w:ind w:left="324" w:hanging="324"/>
        <w:spacing w:after="0" w:line="252"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per Share</w:t>
      </w:r>
      <w:r>
        <w:rPr>
          <w:rFonts w:ascii="Arial" w:cs="Arial" w:eastAsia="Arial" w:hAnsi="Arial"/>
          <w:sz w:val="18"/>
          <w:szCs w:val="18"/>
          <w:color w:val="auto"/>
        </w:rPr>
        <w:t>”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5"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the optionee named in an Evidence of Award evidencing an outstanding Option Right.</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purchase price payable on exercise of an Option Right.</w:t>
      </w:r>
    </w:p>
    <w:p>
      <w:pPr>
        <w:spacing w:after="0" w:line="9"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Right</w:t>
      </w:r>
      <w:r>
        <w:rPr>
          <w:rFonts w:ascii="Arial" w:cs="Arial" w:eastAsia="Arial" w:hAnsi="Arial"/>
          <w:sz w:val="16"/>
          <w:szCs w:val="16"/>
          <w:color w:val="auto"/>
        </w:rPr>
        <w:t xml:space="preserve">” means the right to purchase shares of Common Stock upon exercise of an award granted pursuant to </w:t>
      </w:r>
      <w:r>
        <w:rPr>
          <w:rFonts w:ascii="Arial" w:cs="Arial" w:eastAsia="Arial" w:hAnsi="Arial"/>
          <w:sz w:val="16"/>
          <w:szCs w:val="16"/>
          <w:b w:val="1"/>
          <w:bCs w:val="1"/>
          <w:u w:val="single" w:color="auto"/>
          <w:color w:val="auto"/>
        </w:rPr>
        <w:t>Section 4</w:t>
      </w:r>
      <w:r>
        <w:rPr>
          <w:rFonts w:ascii="Arial" w:cs="Arial" w:eastAsia="Arial" w:hAnsi="Arial"/>
          <w:sz w:val="16"/>
          <w:szCs w:val="16"/>
          <w:color w:val="auto"/>
        </w:rPr>
        <w:t xml:space="preserve"> of this Plan.</w:t>
      </w:r>
    </w:p>
    <w:p>
      <w:pPr>
        <w:spacing w:after="0" w:line="32" w:lineRule="exact"/>
        <w:rPr>
          <w:rFonts w:ascii="Arial" w:cs="Arial" w:eastAsia="Arial" w:hAnsi="Arial"/>
          <w:sz w:val="16"/>
          <w:szCs w:val="16"/>
          <w:color w:val="auto"/>
        </w:rPr>
      </w:pPr>
    </w:p>
    <w:p>
      <w:pPr>
        <w:jc w:val="both"/>
        <w:ind w:left="324" w:hanging="324"/>
        <w:spacing w:after="0" w:line="281" w:lineRule="auto"/>
        <w:tabs>
          <w:tab w:leader="none" w:pos="3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is selected by the Committee to receive an award under this Plan and who is at the time (i) an officer or other employee of the Company or any Subsidiary, including a person who has agreed to commence serving in such capacity within 90 days after the Date of Grant, (ii) a Person who provides services to the Company or any Subsidiary that are equivalent to those typically provided by an officer or other employee (provided that such Person satisfies the Form S-8 definition of an “employee”) or (iii) a non-employee Director.</w:t>
      </w:r>
    </w:p>
    <w:p>
      <w:pPr>
        <w:spacing w:after="0" w:line="2" w:lineRule="exact"/>
        <w:rPr>
          <w:rFonts w:ascii="Arial" w:cs="Arial" w:eastAsia="Arial" w:hAnsi="Arial"/>
          <w:sz w:val="16"/>
          <w:szCs w:val="16"/>
          <w:color w:val="auto"/>
        </w:rPr>
      </w:pPr>
    </w:p>
    <w:p>
      <w:pPr>
        <w:jc w:val="both"/>
        <w:ind w:left="324" w:hanging="324"/>
        <w:spacing w:after="0" w:line="250"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means, in respect of a Cash Incentive Award, Performance Shares or Performance Units, a period of time established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within which the Management Objectives relating to such Cash Incentive Award, Performance Shares or Performance Units are to be achieved.</w:t>
      </w:r>
    </w:p>
    <w:p>
      <w:pPr>
        <w:spacing w:after="0" w:line="1" w:lineRule="exact"/>
        <w:rPr>
          <w:rFonts w:ascii="Arial" w:cs="Arial" w:eastAsia="Arial" w:hAnsi="Arial"/>
          <w:sz w:val="18"/>
          <w:szCs w:val="18"/>
          <w:color w:val="auto"/>
        </w:rPr>
      </w:pPr>
    </w:p>
    <w:p>
      <w:pPr>
        <w:ind w:left="324" w:hanging="324"/>
        <w:spacing w:after="0" w:line="261" w:lineRule="auto"/>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xml:space="preserve">” means a bookkeeping entry that records the equivalent of one share of Common Stock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611" w:right="239" w:bottom="1440" w:gutter="0" w:footer="0" w:header="0"/>
        </w:sectPr>
      </w:pPr>
    </w:p>
    <w:bookmarkStart w:id="104" w:name="page105"/>
    <w:bookmarkEnd w:id="104"/>
    <w:p>
      <w:pPr>
        <w:jc w:val="both"/>
        <w:ind w:left="648" w:right="20" w:hanging="323"/>
        <w:spacing w:after="0" w:line="261" w:lineRule="auto"/>
        <w:rPr>
          <w:sz w:val="20"/>
          <w:szCs w:val="20"/>
          <w:color w:val="auto"/>
        </w:rPr>
      </w:pPr>
      <w:r>
        <w:rPr>
          <w:rFonts w:ascii="Arial" w:cs="Arial" w:eastAsia="Arial" w:hAnsi="Arial"/>
          <w:sz w:val="18"/>
          <w:szCs w:val="18"/>
          <w:color w:val="auto"/>
        </w:rPr>
        <w:t>(aa) “</w:t>
      </w: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means a bookkeeping entry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valued by reference to a designated amount of cash or property other than shares of Common Stock, as is determined by the Committee.</w:t>
      </w:r>
    </w:p>
    <w:p>
      <w:pPr>
        <w:ind w:left="328"/>
        <w:spacing w:after="0"/>
        <w:rPr>
          <w:sz w:val="20"/>
          <w:szCs w:val="20"/>
          <w:color w:val="auto"/>
        </w:rPr>
      </w:pPr>
      <w:r>
        <w:rPr>
          <w:rFonts w:ascii="Arial" w:cs="Arial" w:eastAsia="Arial" w:hAnsi="Arial"/>
          <w:sz w:val="18"/>
          <w:szCs w:val="18"/>
          <w:color w:val="auto"/>
        </w:rPr>
        <w:t>(ab)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(ac) “</w:t>
      </w:r>
      <w:r>
        <w:rPr>
          <w:rFonts w:ascii="Arial" w:cs="Arial" w:eastAsia="Arial" w:hAnsi="Arial"/>
          <w:sz w:val="18"/>
          <w:szCs w:val="18"/>
          <w:u w:val="single" w:color="auto"/>
          <w:color w:val="auto"/>
        </w:rPr>
        <w:t>Plan</w:t>
      </w:r>
      <w:r>
        <w:rPr>
          <w:rFonts w:ascii="Arial" w:cs="Arial" w:eastAsia="Arial" w:hAnsi="Arial"/>
          <w:sz w:val="18"/>
          <w:szCs w:val="18"/>
          <w:color w:val="auto"/>
        </w:rPr>
        <w:t>” means this AGNC Investment Corp. 2016 Equity and Incentive Compensation Plan, as amended from time to time.</w:t>
      </w:r>
    </w:p>
    <w:p>
      <w:pPr>
        <w:spacing w:after="0" w:line="9"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(ad) “</w:t>
      </w:r>
      <w:r>
        <w:rPr>
          <w:rFonts w:ascii="Arial" w:cs="Arial" w:eastAsia="Arial" w:hAnsi="Arial"/>
          <w:sz w:val="18"/>
          <w:szCs w:val="18"/>
          <w:u w:val="single" w:color="auto"/>
          <w:color w:val="auto"/>
        </w:rPr>
        <w:t>Qualified Performance-Based Award</w:t>
      </w:r>
      <w:r>
        <w:rPr>
          <w:rFonts w:ascii="Arial" w:cs="Arial" w:eastAsia="Arial" w:hAnsi="Arial"/>
          <w:sz w:val="18"/>
          <w:szCs w:val="18"/>
          <w:color w:val="auto"/>
        </w:rPr>
        <w:t xml:space="preserve">” means any Cash Incentive Award or award of Performance Shares, Performance Units, Restricted Shares, Restricted Stock Units or other awards contemplated under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portion of such award, that is intended to satisfy the requirements for “qualified performance-based compensation” under Section 162(m) of the Code. Notwithstanding anything in this Plan to the contrary, Qualified Performance-Based Awards may be granted under this Plan only to officers or other key employees of the Company or any Subsidiary.</w:t>
      </w:r>
    </w:p>
    <w:p>
      <w:pPr>
        <w:spacing w:after="0" w:line="2"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(ae) “</w:t>
      </w:r>
      <w:r>
        <w:rPr>
          <w:rFonts w:ascii="Arial" w:cs="Arial" w:eastAsia="Arial" w:hAnsi="Arial"/>
          <w:sz w:val="18"/>
          <w:szCs w:val="18"/>
          <w:u w:val="single" w:color="auto"/>
          <w:color w:val="auto"/>
        </w:rPr>
        <w:t>Restricted Shares</w:t>
      </w:r>
      <w:r>
        <w:rPr>
          <w:rFonts w:ascii="Arial" w:cs="Arial" w:eastAsia="Arial" w:hAnsi="Arial"/>
          <w:sz w:val="18"/>
          <w:szCs w:val="18"/>
          <w:color w:val="auto"/>
        </w:rPr>
        <w:t xml:space="preserve">” means shares of Common Stock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transfers has expired.</w:t>
      </w:r>
    </w:p>
    <w:p>
      <w:pPr>
        <w:spacing w:after="0" w:line="1"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(af)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shares of Common Stock, cash or a combination thereof at the end of the Restriction Period.</w:t>
      </w:r>
    </w:p>
    <w:p>
      <w:pPr>
        <w:spacing w:after="0" w:line="1"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(ag) “</w:t>
      </w:r>
      <w:r>
        <w:rPr>
          <w:rFonts w:ascii="Arial" w:cs="Arial" w:eastAsia="Arial" w:hAnsi="Arial"/>
          <w:sz w:val="18"/>
          <w:szCs w:val="18"/>
          <w:u w:val="single" w:color="auto"/>
          <w:color w:val="auto"/>
        </w:rPr>
        <w:t>Restriction Period</w:t>
      </w:r>
      <w:r>
        <w:rPr>
          <w:rFonts w:ascii="Arial" w:cs="Arial" w:eastAsia="Arial" w:hAnsi="Arial"/>
          <w:sz w:val="18"/>
          <w:szCs w:val="18"/>
          <w:color w:val="auto"/>
        </w:rPr>
        <w:t xml:space="preserve">” means the period of time during which Restricted Stock Units are subject to restrictions, as provided in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w:t>
      </w:r>
    </w:p>
    <w:p>
      <w:pPr>
        <w:spacing w:after="0" w:line="1"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(ah) “</w:t>
      </w:r>
      <w:r>
        <w:rPr>
          <w:rFonts w:ascii="Arial" w:cs="Arial" w:eastAsia="Arial" w:hAnsi="Arial"/>
          <w:sz w:val="18"/>
          <w:szCs w:val="18"/>
          <w:u w:val="single" w:color="auto"/>
          <w:color w:val="auto"/>
        </w:rPr>
        <w:t>Spread</w:t>
      </w:r>
      <w:r>
        <w:rPr>
          <w:rFonts w:ascii="Arial" w:cs="Arial" w:eastAsia="Arial" w:hAnsi="Arial"/>
          <w:sz w:val="18"/>
          <w:szCs w:val="18"/>
          <w:color w:val="auto"/>
        </w:rPr>
        <w:t>” means the excess of the Market Value per Share on the date when an Appreciation Right is exercised over the Base Price provided for with respect to the Appreciation Right.</w:t>
      </w:r>
    </w:p>
    <w:p>
      <w:pPr>
        <w:spacing w:after="0" w:line="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(ai) “</w:t>
      </w:r>
      <w:r>
        <w:rPr>
          <w:rFonts w:ascii="Arial" w:cs="Arial" w:eastAsia="Arial" w:hAnsi="Arial"/>
          <w:sz w:val="18"/>
          <w:szCs w:val="18"/>
          <w:u w:val="single" w:color="auto"/>
          <w:color w:val="auto"/>
        </w:rPr>
        <w:t>Stockholder</w:t>
      </w:r>
      <w:r>
        <w:rPr>
          <w:rFonts w:ascii="Arial" w:cs="Arial" w:eastAsia="Arial" w:hAnsi="Arial"/>
          <w:sz w:val="18"/>
          <w:szCs w:val="18"/>
          <w:color w:val="auto"/>
        </w:rPr>
        <w:t>” means an individual or entity that owns one or more shares of Common Stock.</w:t>
      </w:r>
    </w:p>
    <w:p>
      <w:pPr>
        <w:spacing w:after="0" w:line="9" w:lineRule="exact"/>
        <w:rPr>
          <w:sz w:val="20"/>
          <w:szCs w:val="20"/>
          <w:color w:val="auto"/>
        </w:rPr>
      </w:pPr>
    </w:p>
    <w:p>
      <w:pPr>
        <w:jc w:val="both"/>
        <w:ind w:left="648" w:hanging="323"/>
        <w:spacing w:after="0" w:line="281" w:lineRule="auto"/>
        <w:rPr>
          <w:sz w:val="20"/>
          <w:szCs w:val="20"/>
          <w:color w:val="auto"/>
        </w:rPr>
      </w:pPr>
      <w:r>
        <w:rPr>
          <w:rFonts w:ascii="Arial" w:cs="Arial" w:eastAsia="Arial" w:hAnsi="Arial"/>
          <w:sz w:val="16"/>
          <w:szCs w:val="16"/>
          <w:color w:val="auto"/>
        </w:rPr>
        <w:t>(aj) “</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in either such case, owned or Controlled, directly or indirectly,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whether any Person may be a Participant for purposes of any grant of Incentive Stock Options, “</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in which the Company at the time owns or Controls, directly or indirectly, more than 50% of the total combined Voting Power represented by all classes of stock issued by such corporation.</w:t>
      </w:r>
    </w:p>
    <w:p>
      <w:pPr>
        <w:spacing w:after="0" w:line="5" w:lineRule="exact"/>
        <w:rPr>
          <w:sz w:val="20"/>
          <w:szCs w:val="20"/>
          <w:color w:val="auto"/>
        </w:rPr>
      </w:pPr>
    </w:p>
    <w:p>
      <w:pPr>
        <w:jc w:val="both"/>
        <w:ind w:left="648" w:hanging="323"/>
        <w:spacing w:after="0" w:line="250" w:lineRule="auto"/>
        <w:rPr>
          <w:sz w:val="20"/>
          <w:szCs w:val="20"/>
          <w:color w:val="auto"/>
        </w:rPr>
      </w:pPr>
      <w:r>
        <w:rPr>
          <w:rFonts w:ascii="Arial" w:cs="Arial" w:eastAsia="Arial" w:hAnsi="Arial"/>
          <w:sz w:val="18"/>
          <w:szCs w:val="18"/>
          <w:color w:val="auto"/>
        </w:rPr>
        <w:t>(ak) “</w:t>
      </w:r>
      <w:r>
        <w:rPr>
          <w:rFonts w:ascii="Arial" w:cs="Arial" w:eastAsia="Arial" w:hAnsi="Arial"/>
          <w:sz w:val="18"/>
          <w:szCs w:val="18"/>
          <w:u w:val="single" w:color="auto"/>
          <w:color w:val="auto"/>
        </w:rPr>
        <w:t>Voting Power</w:t>
      </w:r>
      <w:r>
        <w:rPr>
          <w:rFonts w:ascii="Arial" w:cs="Arial" w:eastAsia="Arial" w:hAnsi="Arial"/>
          <w:sz w:val="18"/>
          <w:szCs w:val="18"/>
          <w:color w:val="auto"/>
        </w:rPr>
        <w:t>”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 w:lineRule="exact"/>
        <w:rPr>
          <w:sz w:val="20"/>
          <w:szCs w:val="20"/>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968" w:hanging="320"/>
        <w:spacing w:after="0" w:line="265" w:lineRule="auto"/>
        <w:tabs>
          <w:tab w:leader="none" w:pos="968" w:val="left"/>
        </w:tabs>
        <w:numPr>
          <w:ilvl w:val="2"/>
          <w:numId w:val="71"/>
        </w:numPr>
        <w:rPr>
          <w:rFonts w:ascii="Arial" w:cs="Arial" w:eastAsia="Arial" w:hAnsi="Arial"/>
          <w:sz w:val="17"/>
          <w:szCs w:val="17"/>
          <w:color w:val="auto"/>
        </w:rPr>
      </w:pPr>
      <w:r>
        <w:rPr>
          <w:rFonts w:ascii="Arial" w:cs="Arial" w:eastAsia="Arial" w:hAnsi="Arial"/>
          <w:sz w:val="17"/>
          <w:szCs w:val="17"/>
          <w:color w:val="auto"/>
        </w:rPr>
        <w:t xml:space="preserve">Subject to adjustment as provided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and the share counting rules set forth in </w:t>
      </w:r>
      <w:r>
        <w:rPr>
          <w:rFonts w:ascii="Arial" w:cs="Arial" w:eastAsia="Arial" w:hAnsi="Arial"/>
          <w:sz w:val="17"/>
          <w:szCs w:val="17"/>
          <w:b w:val="1"/>
          <w:bCs w:val="1"/>
          <w:u w:val="single" w:color="auto"/>
          <w:color w:val="auto"/>
        </w:rPr>
        <w:t>Section 3(b)</w:t>
      </w:r>
      <w:r>
        <w:rPr>
          <w:rFonts w:ascii="Arial" w:cs="Arial" w:eastAsia="Arial" w:hAnsi="Arial"/>
          <w:sz w:val="17"/>
          <w:szCs w:val="17"/>
          <w:color w:val="auto"/>
        </w:rPr>
        <w:t xml:space="preserve"> below, the number of shares of Common Stock available under this Plan for awards of (A) Option Rights or Appreciation Rights, (B) Restricted Shares,</w:t>
      </w:r>
    </w:p>
    <w:p>
      <w:pPr>
        <w:ind w:left="1308" w:hanging="335"/>
        <w:spacing w:after="0"/>
        <w:tabs>
          <w:tab w:leader="none" w:pos="1308" w:val="left"/>
        </w:tabs>
        <w:numPr>
          <w:ilvl w:val="3"/>
          <w:numId w:val="71"/>
        </w:numPr>
        <w:rPr>
          <w:rFonts w:ascii="Arial" w:cs="Arial" w:eastAsia="Arial" w:hAnsi="Arial"/>
          <w:sz w:val="17"/>
          <w:szCs w:val="17"/>
          <w:color w:val="auto"/>
        </w:rPr>
      </w:pPr>
      <w:r>
        <w:rPr>
          <w:rFonts w:ascii="Arial" w:cs="Arial" w:eastAsia="Arial" w:hAnsi="Arial"/>
          <w:sz w:val="17"/>
          <w:szCs w:val="17"/>
          <w:color w:val="auto"/>
        </w:rPr>
        <w:t xml:space="preserve">Restricted Stock Units, (D) Performance Shares or Performance Units, (E) awards contemplated by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of this Plan or</w:t>
      </w:r>
    </w:p>
    <w:p>
      <w:pPr>
        <w:spacing w:after="0" w:line="20" w:lineRule="exact"/>
        <w:rPr>
          <w:rFonts w:ascii="Arial" w:cs="Arial" w:eastAsia="Arial" w:hAnsi="Arial"/>
          <w:sz w:val="17"/>
          <w:szCs w:val="17"/>
          <w:color w:val="auto"/>
        </w:rPr>
      </w:pPr>
    </w:p>
    <w:p>
      <w:pPr>
        <w:ind w:left="968" w:firstLine="5"/>
        <w:spacing w:after="0" w:line="250" w:lineRule="auto"/>
        <w:tabs>
          <w:tab w:leader="none" w:pos="1241" w:val="left"/>
        </w:tabs>
        <w:numPr>
          <w:ilvl w:val="3"/>
          <w:numId w:val="72"/>
        </w:numPr>
        <w:rPr>
          <w:rFonts w:ascii="Arial" w:cs="Arial" w:eastAsia="Arial" w:hAnsi="Arial"/>
          <w:sz w:val="18"/>
          <w:szCs w:val="18"/>
          <w:color w:val="auto"/>
        </w:rPr>
      </w:pPr>
      <w:r>
        <w:rPr>
          <w:rFonts w:ascii="Arial" w:cs="Arial" w:eastAsia="Arial" w:hAnsi="Arial"/>
          <w:sz w:val="18"/>
          <w:szCs w:val="18"/>
          <w:color w:val="auto"/>
        </w:rPr>
        <w:t>dividend equivalents paid with respect to awards made under this Plan will not exceed in the aggregate 10,000,000 shares of Common Stock. Such shares may be shares of original issuance or treasury shares or a combination of the foregoing.</w:t>
      </w:r>
    </w:p>
    <w:p>
      <w:pPr>
        <w:ind w:left="968" w:hanging="320"/>
        <w:spacing w:after="0" w:line="250" w:lineRule="auto"/>
        <w:tabs>
          <w:tab w:leader="none" w:pos="968"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The aggregate number of shares of Common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 will be reduced by one share of Common Stock for every one share of Common Stock subject to an award granted under this Plan.</w:t>
      </w:r>
    </w:p>
    <w:p>
      <w:pPr>
        <w:ind w:left="648" w:hanging="324"/>
        <w:spacing w:after="0"/>
        <w:tabs>
          <w:tab w:leader="none" w:pos="64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if any award granted under this Plan is cancelled or forfeited, expires or is settled for cash (in whole or in part), the shares of Common Stock subject to such award will, to the extent of such cancellation, forfeiture, expiration or cash settlement, again be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1" w:lineRule="exact"/>
        <w:rPr>
          <w:rFonts w:ascii="Arial" w:cs="Arial" w:eastAsia="Arial" w:hAnsi="Arial"/>
          <w:sz w:val="18"/>
          <w:szCs w:val="18"/>
          <w:color w:val="auto"/>
        </w:rPr>
      </w:pPr>
    </w:p>
    <w:p>
      <w:pPr>
        <w:jc w:val="both"/>
        <w:ind w:left="968" w:hanging="320"/>
        <w:spacing w:after="0" w:line="251" w:lineRule="auto"/>
        <w:tabs>
          <w:tab w:leader="none" w:pos="968"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 (B) shares of Common Stock withheld by the Company, tendered or otherwise used to satisfy a tax withholding obligation with respect to an Option Right or an Appreciation Right will not be added (or added back, as applicable) to the aggregate number of shares of Common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 (C) shares of Common Stock withheld by the Company, tendered or otherwise used to satisfy (up to but not exceeding) the minimum tax withholding obligation with respect to Restricted Shares, Restricted Stock Units, Performance Shares, Performance Units,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dividend equivalents paid with respect to awards made under this Plan will be added (or added back, as applicable) to the aggregate</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580" w:right="239" w:bottom="1440" w:gutter="0" w:footer="0" w:header="0"/>
        </w:sectPr>
      </w:pPr>
    </w:p>
    <w:bookmarkStart w:id="105" w:name="page106"/>
    <w:bookmarkEnd w:id="105"/>
    <w:p>
      <w:pPr>
        <w:jc w:val="both"/>
        <w:ind w:left="968"/>
        <w:spacing w:after="0" w:line="325" w:lineRule="auto"/>
        <w:rPr>
          <w:sz w:val="20"/>
          <w:szCs w:val="20"/>
          <w:color w:val="auto"/>
        </w:rPr>
      </w:pPr>
      <w:r>
        <w:rPr>
          <w:rFonts w:ascii="Arial" w:cs="Arial" w:eastAsia="Arial" w:hAnsi="Arial"/>
          <w:sz w:val="16"/>
          <w:szCs w:val="16"/>
          <w:color w:val="auto"/>
        </w:rPr>
        <w:t xml:space="preserve">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above; and (D) shares of Common Stock subject to an Appreciation Right that are not actually issued in connection with the settlement in shares of Common Stock of such Appreciation Right on the exercise thereof will not be added (or added back) to the aggregate number of shares of Common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above.</w:t>
      </w:r>
    </w:p>
    <w:p>
      <w:pPr>
        <w:jc w:val="both"/>
        <w:ind w:left="968" w:right="20" w:hanging="320"/>
        <w:spacing w:after="0" w:line="255" w:lineRule="auto"/>
        <w:tabs>
          <w:tab w:leader="none" w:pos="968"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shares of Common Stock reacquired by the Company on the open market or otherwise using cash proceeds from the exercise of Option Rights will not be added to the aggregate number of shares of Common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above.</w:t>
      </w:r>
    </w:p>
    <w:p>
      <w:pPr>
        <w:spacing w:after="0" w:line="1" w:lineRule="exact"/>
        <w:rPr>
          <w:rFonts w:ascii="Arial" w:cs="Arial" w:eastAsia="Arial" w:hAnsi="Arial"/>
          <w:sz w:val="18"/>
          <w:szCs w:val="18"/>
          <w:color w:val="auto"/>
        </w:rPr>
      </w:pPr>
    </w:p>
    <w:p>
      <w:pPr>
        <w:ind w:left="968" w:right="20" w:hanging="320"/>
        <w:spacing w:after="0" w:line="265" w:lineRule="auto"/>
        <w:tabs>
          <w:tab w:leader="none" w:pos="968" w:val="left"/>
        </w:tabs>
        <w:numPr>
          <w:ilvl w:val="2"/>
          <w:numId w:val="75"/>
        </w:numPr>
        <w:rPr>
          <w:rFonts w:ascii="Arial" w:cs="Arial" w:eastAsia="Arial" w:hAnsi="Arial"/>
          <w:sz w:val="17"/>
          <w:szCs w:val="17"/>
          <w:color w:val="auto"/>
        </w:rPr>
      </w:pPr>
      <w:r>
        <w:rPr>
          <w:rFonts w:ascii="Arial" w:cs="Arial" w:eastAsia="Arial" w:hAnsi="Arial"/>
          <w:sz w:val="17"/>
          <w:szCs w:val="17"/>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above.</w:t>
      </w:r>
    </w:p>
    <w:p>
      <w:pPr>
        <w:jc w:val="both"/>
        <w:ind w:left="648" w:hanging="324"/>
        <w:spacing w:after="0" w:line="265" w:lineRule="auto"/>
        <w:tabs>
          <w:tab w:leader="none" w:pos="648"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Limit on Incentive Stock Options</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or elsewhere in this Plan, and subject to adjustment as provided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the aggregate number of shares of Common Stock actually issued or transferred by the Company upon the exercise of Incentive Stock Options will not exceed 10,000,000 shares of Common Stock.</w:t>
      </w:r>
    </w:p>
    <w:p>
      <w:pPr>
        <w:ind w:left="648" w:hanging="324"/>
        <w:spacing w:after="0" w:line="250" w:lineRule="auto"/>
        <w:tabs>
          <w:tab w:leader="none" w:pos="64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Individual Participant Limits</w:t>
      </w:r>
      <w:r>
        <w:rPr>
          <w:rFonts w:ascii="Arial" w:cs="Arial" w:eastAsia="Arial" w:hAnsi="Arial"/>
          <w:sz w:val="18"/>
          <w:szCs w:val="18"/>
          <w:color w:val="auto"/>
        </w:rPr>
        <w:t xml:space="preserve">. Notwithstanding anything to the contrary contained in this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or elsewhere in this Plan,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jc w:val="both"/>
        <w:ind w:left="968" w:hanging="320"/>
        <w:spacing w:after="0" w:line="250" w:lineRule="auto"/>
        <w:tabs>
          <w:tab w:leader="none" w:pos="968"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In no event will any Participant in any calendar year be granted Option Rights and/or Appreciation Rights, in the aggregate, for more than 1,000,000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Participant’s first year of service with the Company, the amount set forth in this </w:t>
      </w:r>
      <w:r>
        <w:rPr>
          <w:rFonts w:ascii="Arial" w:cs="Arial" w:eastAsia="Arial" w:hAnsi="Arial"/>
          <w:sz w:val="18"/>
          <w:szCs w:val="18"/>
          <w:b w:val="1"/>
          <w:bCs w:val="1"/>
          <w:u w:val="single" w:color="auto"/>
          <w:color w:val="auto"/>
        </w:rPr>
        <w:t>Section 3(d)(i)</w:t>
      </w:r>
      <w:r>
        <w:rPr>
          <w:rFonts w:ascii="Arial" w:cs="Arial" w:eastAsia="Arial" w:hAnsi="Arial"/>
          <w:sz w:val="18"/>
          <w:szCs w:val="18"/>
          <w:color w:val="auto"/>
        </w:rPr>
        <w:t xml:space="preserve"> is multiplied by two.</w:t>
      </w:r>
    </w:p>
    <w:p>
      <w:pPr>
        <w:spacing w:after="0" w:line="1"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In no event will any Participant in any calendar year be granted Qualified Performance-Based Awards of Restricted Shares, Restricted Stock Units, Performance Shares and/or other awards under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in the aggregate, for more than 1,000,000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Participant’s first year of service with the Company, the amount set forth in this </w:t>
      </w:r>
      <w:r>
        <w:rPr>
          <w:rFonts w:ascii="Arial" w:cs="Arial" w:eastAsia="Arial" w:hAnsi="Arial"/>
          <w:sz w:val="18"/>
          <w:szCs w:val="18"/>
          <w:b w:val="1"/>
          <w:bCs w:val="1"/>
          <w:u w:val="single" w:color="auto"/>
          <w:color w:val="auto"/>
        </w:rPr>
        <w:t>Section 3(d)(ii)</w:t>
      </w:r>
      <w:r>
        <w:rPr>
          <w:rFonts w:ascii="Arial" w:cs="Arial" w:eastAsia="Arial" w:hAnsi="Arial"/>
          <w:sz w:val="18"/>
          <w:szCs w:val="18"/>
          <w:b w:val="1"/>
          <w:bCs w:val="1"/>
          <w:color w:val="auto"/>
        </w:rPr>
        <w:t xml:space="preserve"> </w:t>
      </w:r>
      <w:r>
        <w:rPr>
          <w:rFonts w:ascii="Arial" w:cs="Arial" w:eastAsia="Arial" w:hAnsi="Arial"/>
          <w:sz w:val="18"/>
          <w:szCs w:val="18"/>
          <w:color w:val="auto"/>
        </w:rPr>
        <w:t>is multiplied by two.</w:t>
      </w:r>
    </w:p>
    <w:p>
      <w:pPr>
        <w:spacing w:after="0" w:line="1"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In no event will any Participant in any calendar year receive Qualified Performance-Based Awards of Cash Incentive Awards, Performance Units and/or other awards payable in cash under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having an aggregate maximum value as of their respective Dates of Grant in excess of $15,000,000;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Participant’s first year of service with the Company, the amount set forth in this </w:t>
      </w:r>
      <w:r>
        <w:rPr>
          <w:rFonts w:ascii="Arial" w:cs="Arial" w:eastAsia="Arial" w:hAnsi="Arial"/>
          <w:sz w:val="18"/>
          <w:szCs w:val="18"/>
          <w:b w:val="1"/>
          <w:bCs w:val="1"/>
          <w:u w:val="single" w:color="auto"/>
          <w:color w:val="auto"/>
        </w:rPr>
        <w:t>Section 3(d)(iii)</w:t>
      </w:r>
      <w:r>
        <w:rPr>
          <w:rFonts w:ascii="Arial" w:cs="Arial" w:eastAsia="Arial" w:hAnsi="Arial"/>
          <w:sz w:val="18"/>
          <w:szCs w:val="18"/>
          <w:color w:val="auto"/>
        </w:rPr>
        <w:t xml:space="preserve"> is multiplied by two.</w:t>
      </w:r>
    </w:p>
    <w:p>
      <w:pPr>
        <w:spacing w:after="0" w:line="1" w:lineRule="exact"/>
        <w:rPr>
          <w:rFonts w:ascii="Arial" w:cs="Arial" w:eastAsia="Arial" w:hAnsi="Arial"/>
          <w:sz w:val="18"/>
          <w:szCs w:val="18"/>
          <w:color w:val="auto"/>
        </w:rPr>
      </w:pPr>
    </w:p>
    <w:p>
      <w:pPr>
        <w:jc w:val="both"/>
        <w:ind w:left="968" w:hanging="320"/>
        <w:spacing w:after="0" w:line="265" w:lineRule="auto"/>
        <w:tabs>
          <w:tab w:leader="none" w:pos="968" w:val="left"/>
        </w:tabs>
        <w:numPr>
          <w:ilvl w:val="2"/>
          <w:numId w:val="76"/>
        </w:numPr>
        <w:rPr>
          <w:rFonts w:ascii="Arial" w:cs="Arial" w:eastAsia="Arial" w:hAnsi="Arial"/>
          <w:sz w:val="17"/>
          <w:szCs w:val="17"/>
          <w:color w:val="auto"/>
        </w:rPr>
      </w:pPr>
      <w:r>
        <w:rPr>
          <w:rFonts w:ascii="Arial" w:cs="Arial" w:eastAsia="Arial" w:hAnsi="Arial"/>
          <w:sz w:val="17"/>
          <w:szCs w:val="17"/>
          <w:color w:val="auto"/>
        </w:rPr>
        <w:t>In no event will any non-employee Director in any calendar year be granted awards under this Plan having an aggregate maximum value at the Date of Grant (calculating the value of any such awards based on the grant date fair value for financial reporting purposes), taken together with any cash fees payable to such non-employee Director for such calendar year, in excess of $750,000.</w:t>
      </w:r>
    </w:p>
    <w:p>
      <w:pPr>
        <w:jc w:val="both"/>
        <w:ind w:left="328" w:hanging="328"/>
        <w:spacing w:after="0" w:line="250" w:lineRule="auto"/>
        <w:tabs>
          <w:tab w:leader="none" w:pos="328"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Option Rights</w:t>
      </w:r>
      <w:r>
        <w:rPr>
          <w:rFonts w:ascii="Arial" w:cs="Arial" w:eastAsia="Arial" w:hAnsi="Arial"/>
          <w:sz w:val="18"/>
          <w:szCs w:val="18"/>
          <w:color w:val="auto"/>
        </w:rPr>
        <w:t>. The Committee may, from time to time and upon such terms and conditions as it may determine, authorize the granting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of Option Rights. Each such grant may utilize any or all of the authorizations and will be subject to all of the requirements contained in the following provisions:</w:t>
      </w:r>
    </w:p>
    <w:p>
      <w:pPr>
        <w:spacing w:after="0" w:line="1" w:lineRule="exact"/>
        <w:rPr>
          <w:rFonts w:ascii="Arial" w:cs="Arial" w:eastAsia="Arial" w:hAnsi="Arial"/>
          <w:sz w:val="18"/>
          <w:szCs w:val="18"/>
          <w:color w:val="auto"/>
        </w:rPr>
      </w:pPr>
    </w:p>
    <w:p>
      <w:pPr>
        <w:ind w:left="648" w:hanging="324"/>
        <w:spacing w:after="0"/>
        <w:tabs>
          <w:tab w:leader="none" w:pos="648"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shares of Common Stock to which it pertains, subject to the limitations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w:t>
      </w:r>
    </w:p>
    <w:p>
      <w:pPr>
        <w:spacing w:after="0" w:line="32" w:lineRule="exact"/>
        <w:rPr>
          <w:rFonts w:ascii="Arial" w:cs="Arial" w:eastAsia="Arial" w:hAnsi="Arial"/>
          <w:sz w:val="16"/>
          <w:szCs w:val="16"/>
          <w:color w:val="auto"/>
        </w:rPr>
      </w:pPr>
    </w:p>
    <w:p>
      <w:pPr>
        <w:ind w:left="648" w:hanging="324"/>
        <w:spacing w:after="0" w:line="250" w:lineRule="auto"/>
        <w:tabs>
          <w:tab w:leader="none" w:pos="6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Each grant will specify an Option Price per share of Common Stock,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Market Value per Share on the Date of Grant.</w:t>
      </w:r>
    </w:p>
    <w:p>
      <w:pPr>
        <w:jc w:val="both"/>
        <w:ind w:left="648" w:hanging="324"/>
        <w:spacing w:after="0" w:line="265" w:lineRule="auto"/>
        <w:tabs>
          <w:tab w:leader="none" w:pos="648" w:val="left"/>
        </w:tabs>
        <w:numPr>
          <w:ilvl w:val="1"/>
          <w:numId w:val="77"/>
        </w:numPr>
        <w:rPr>
          <w:rFonts w:ascii="Arial" w:cs="Arial" w:eastAsia="Arial" w:hAnsi="Arial"/>
          <w:sz w:val="17"/>
          <w:szCs w:val="17"/>
          <w:color w:val="auto"/>
        </w:rPr>
      </w:pPr>
      <w:r>
        <w:rPr>
          <w:rFonts w:ascii="Arial" w:cs="Arial" w:eastAsia="Arial" w:hAnsi="Arial"/>
          <w:sz w:val="17"/>
          <w:szCs w:val="17"/>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Company’s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1" w:lineRule="exact"/>
        <w:rPr>
          <w:rFonts w:ascii="Arial" w:cs="Arial" w:eastAsia="Arial" w:hAnsi="Arial"/>
          <w:sz w:val="17"/>
          <w:szCs w:val="17"/>
          <w:color w:val="auto"/>
        </w:rPr>
      </w:pPr>
    </w:p>
    <w:p>
      <w:pPr>
        <w:ind w:left="648" w:hanging="324"/>
        <w:spacing w:after="0" w:line="265" w:lineRule="auto"/>
        <w:tabs>
          <w:tab w:leader="none" w:pos="648" w:val="left"/>
        </w:tabs>
        <w:numPr>
          <w:ilvl w:val="1"/>
          <w:numId w:val="77"/>
        </w:numPr>
        <w:rPr>
          <w:rFonts w:ascii="Arial" w:cs="Arial" w:eastAsia="Arial" w:hAnsi="Arial"/>
          <w:sz w:val="17"/>
          <w:szCs w:val="17"/>
          <w:color w:val="auto"/>
        </w:rPr>
      </w:pPr>
      <w:r>
        <w:rPr>
          <w:rFonts w:ascii="Arial" w:cs="Arial" w:eastAsia="Arial" w:hAnsi="Arial"/>
          <w:sz w:val="17"/>
          <w:szCs w:val="17"/>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ind w:left="648" w:hanging="324"/>
        <w:spacing w:after="0" w:line="265" w:lineRule="auto"/>
        <w:tabs>
          <w:tab w:leader="none" w:pos="648" w:val="left"/>
        </w:tabs>
        <w:numPr>
          <w:ilvl w:val="1"/>
          <w:numId w:val="77"/>
        </w:numPr>
        <w:rPr>
          <w:rFonts w:ascii="Arial" w:cs="Arial" w:eastAsia="Arial" w:hAnsi="Arial"/>
          <w:sz w:val="17"/>
          <w:szCs w:val="17"/>
          <w:color w:val="auto"/>
        </w:rPr>
      </w:pPr>
      <w:r>
        <w:rPr>
          <w:rFonts w:ascii="Arial" w:cs="Arial" w:eastAsia="Arial" w:hAnsi="Arial"/>
          <w:sz w:val="17"/>
          <w:szCs w:val="17"/>
          <w:color w:val="auto"/>
        </w:rPr>
        <w:t>Successive grants may be made to the same Participant whether or not any Option Rights previously granted to such Participant remain unexercised. No grant may provide for the automatic grant of reload Option Rights to a Participant upon the exercise of an Option Right.</w:t>
      </w:r>
    </w:p>
    <w:p>
      <w:pPr>
        <w:jc w:val="both"/>
        <w:ind w:left="648" w:hanging="324"/>
        <w:spacing w:after="0" w:line="281" w:lineRule="auto"/>
        <w:tabs>
          <w:tab w:leader="none" w:pos="648" w:val="left"/>
        </w:tabs>
        <w:numPr>
          <w:ilvl w:val="1"/>
          <w:numId w:val="77"/>
        </w:numPr>
        <w:rPr>
          <w:rFonts w:ascii="Arial" w:cs="Arial" w:eastAsia="Arial" w:hAnsi="Arial"/>
          <w:sz w:val="16"/>
          <w:szCs w:val="16"/>
          <w:color w:val="auto"/>
        </w:rPr>
      </w:pPr>
      <w:r>
        <w:rPr>
          <w:rFonts w:ascii="Arial" w:cs="Arial" w:eastAsia="Arial" w:hAnsi="Arial"/>
          <w:sz w:val="16"/>
          <w:szCs w:val="16"/>
          <w:color w:val="auto"/>
        </w:rPr>
        <w:t>Each grant will specify the period or periods of continuous service by the Optionee with the Company or any Subsidiary that is necessary before the Option Right or installments thereof will become exercisable. A grant of an Option Right may provide for the earlier exercise of such Option Right, including (i) in the event of the retirement, death or disability of a Participant or (ii) in the event of a Change of Control where either</w:t>
      </w:r>
    </w:p>
    <w:p>
      <w:pPr>
        <w:spacing w:after="0" w:line="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8"/>
          <w:szCs w:val="18"/>
          <w:color w:val="auto"/>
        </w:rPr>
        <w:t>(A) within a specified</w:t>
      </w:r>
    </w:p>
    <w:p>
      <w:pPr>
        <w:spacing w:after="0" w:line="2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8"/>
          </w:cols>
          <w:pgMar w:left="572" w:top="607" w:right="239" w:bottom="1440" w:gutter="0" w:footer="0" w:header="0"/>
        </w:sectPr>
      </w:pPr>
    </w:p>
    <w:bookmarkStart w:id="106" w:name="page107"/>
    <w:bookmarkEnd w:id="106"/>
    <w:p>
      <w:pPr>
        <w:jc w:val="both"/>
        <w:ind w:left="648"/>
        <w:spacing w:after="0" w:line="287" w:lineRule="auto"/>
        <w:rPr>
          <w:sz w:val="20"/>
          <w:szCs w:val="20"/>
          <w:color w:val="auto"/>
        </w:rPr>
      </w:pPr>
      <w:r>
        <w:rPr>
          <w:rFonts w:ascii="Arial" w:cs="Arial" w:eastAsia="Arial" w:hAnsi="Arial"/>
          <w:sz w:val="18"/>
          <w:szCs w:val="18"/>
          <w:color w:val="auto"/>
        </w:rPr>
        <w:t>period the Participant experiences a qualifying termination of employment or service, as applicable, in a manner described in the applicable Evidence of Award or (B) such Option Right is not continued, assumed or converted into a replacement award in a manner described in the applicable Evidence of Award.</w:t>
      </w:r>
    </w:p>
    <w:p>
      <w:pPr>
        <w:spacing w:after="0" w:line="1" w:lineRule="exact"/>
        <w:rPr>
          <w:sz w:val="20"/>
          <w:szCs w:val="20"/>
          <w:color w:val="auto"/>
        </w:rPr>
      </w:pPr>
    </w:p>
    <w:p>
      <w:pPr>
        <w:ind w:left="648" w:hanging="324"/>
        <w:spacing w:after="0"/>
        <w:tabs>
          <w:tab w:leader="none" w:pos="648" w:val="left"/>
        </w:tabs>
        <w:numPr>
          <w:ilvl w:val="2"/>
          <w:numId w:val="78"/>
        </w:numPr>
        <w:rPr>
          <w:rFonts w:ascii="Arial" w:cs="Arial" w:eastAsia="Arial" w:hAnsi="Arial"/>
          <w:sz w:val="17"/>
          <w:szCs w:val="17"/>
          <w:color w:val="auto"/>
        </w:rPr>
      </w:pPr>
      <w:r>
        <w:rPr>
          <w:rFonts w:ascii="Arial" w:cs="Arial" w:eastAsia="Arial" w:hAnsi="Arial"/>
          <w:sz w:val="17"/>
          <w:szCs w:val="17"/>
          <w:color w:val="auto"/>
        </w:rPr>
        <w:t>Any grant of an Option Right may specify Management Objectives that must be achieved as a condition to the exercise of such right.</w:t>
      </w:r>
    </w:p>
    <w:p>
      <w:pPr>
        <w:spacing w:after="0" w:line="34" w:lineRule="exact"/>
        <w:rPr>
          <w:rFonts w:ascii="Arial" w:cs="Arial" w:eastAsia="Arial" w:hAnsi="Arial"/>
          <w:sz w:val="17"/>
          <w:szCs w:val="17"/>
          <w:color w:val="auto"/>
        </w:rPr>
      </w:pPr>
    </w:p>
    <w:p>
      <w:pPr>
        <w:jc w:val="both"/>
        <w:ind w:left="648" w:hanging="324"/>
        <w:spacing w:after="0" w:line="250" w:lineRule="auto"/>
        <w:tabs>
          <w:tab w:leader="none" w:pos="648" w:val="left"/>
        </w:tabs>
        <w:numPr>
          <w:ilvl w:val="2"/>
          <w:numId w:val="78"/>
        </w:numPr>
        <w:rPr>
          <w:rFonts w:ascii="Arial" w:cs="Arial" w:eastAsia="Arial" w:hAnsi="Arial"/>
          <w:sz w:val="18"/>
          <w:szCs w:val="18"/>
          <w:color w:val="auto"/>
        </w:rPr>
      </w:pPr>
      <w:r>
        <w:rPr>
          <w:rFonts w:ascii="Arial" w:cs="Arial" w:eastAsia="Arial" w:hAnsi="Arial"/>
          <w:sz w:val="18"/>
          <w:szCs w:val="18"/>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 w:lineRule="exact"/>
        <w:rPr>
          <w:rFonts w:ascii="Arial" w:cs="Arial" w:eastAsia="Arial" w:hAnsi="Arial"/>
          <w:sz w:val="18"/>
          <w:szCs w:val="18"/>
          <w:color w:val="auto"/>
        </w:rPr>
      </w:pPr>
    </w:p>
    <w:p>
      <w:pPr>
        <w:ind w:left="648" w:hanging="324"/>
        <w:spacing w:after="0"/>
        <w:tabs>
          <w:tab w:leader="none" w:pos="648" w:val="left"/>
        </w:tabs>
        <w:numPr>
          <w:ilvl w:val="2"/>
          <w:numId w:val="78"/>
        </w:numPr>
        <w:rPr>
          <w:rFonts w:ascii="Arial" w:cs="Arial" w:eastAsia="Arial" w:hAnsi="Arial"/>
          <w:sz w:val="18"/>
          <w:szCs w:val="18"/>
          <w:color w:val="auto"/>
        </w:rPr>
      </w:pPr>
      <w:r>
        <w:rPr>
          <w:rFonts w:ascii="Arial" w:cs="Arial" w:eastAsia="Arial" w:hAnsi="Arial"/>
          <w:sz w:val="18"/>
          <w:szCs w:val="18"/>
          <w:color w:val="auto"/>
        </w:rPr>
        <w:t>No Option Right will be exercisable more than 10 years from the Date of Grant.</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2"/>
          <w:numId w:val="78"/>
        </w:numPr>
        <w:rPr>
          <w:rFonts w:ascii="Arial" w:cs="Arial" w:eastAsia="Arial" w:hAnsi="Arial"/>
          <w:sz w:val="18"/>
          <w:szCs w:val="18"/>
          <w:color w:val="auto"/>
        </w:rPr>
      </w:pPr>
      <w:r>
        <w:rPr>
          <w:rFonts w:ascii="Arial" w:cs="Arial" w:eastAsia="Arial" w:hAnsi="Arial"/>
          <w:sz w:val="18"/>
          <w:szCs w:val="18"/>
          <w:color w:val="auto"/>
        </w:rPr>
        <w:t>Option Rights granted under this Plan may not provide for any dividends or dividend equivalents thereon.</w:t>
      </w:r>
    </w:p>
    <w:p>
      <w:pPr>
        <w:spacing w:after="0" w:line="9" w:lineRule="exact"/>
        <w:rPr>
          <w:rFonts w:ascii="Arial" w:cs="Arial" w:eastAsia="Arial" w:hAnsi="Arial"/>
          <w:sz w:val="18"/>
          <w:szCs w:val="18"/>
          <w:color w:val="auto"/>
        </w:rPr>
      </w:pPr>
    </w:p>
    <w:p>
      <w:pPr>
        <w:ind w:left="648" w:right="20" w:hanging="324"/>
        <w:spacing w:after="0" w:line="250" w:lineRule="auto"/>
        <w:tabs>
          <w:tab w:leader="none" w:pos="648" w:val="left"/>
        </w:tabs>
        <w:numPr>
          <w:ilvl w:val="2"/>
          <w:numId w:val="78"/>
        </w:numPr>
        <w:rPr>
          <w:rFonts w:ascii="Arial" w:cs="Arial" w:eastAsia="Arial" w:hAnsi="Arial"/>
          <w:sz w:val="18"/>
          <w:szCs w:val="18"/>
          <w:color w:val="auto"/>
        </w:rPr>
      </w:pPr>
      <w:r>
        <w:rPr>
          <w:rFonts w:ascii="Arial" w:cs="Arial" w:eastAsia="Arial" w:hAnsi="Arial"/>
          <w:sz w:val="18"/>
          <w:szCs w:val="18"/>
          <w:color w:val="auto"/>
        </w:rPr>
        <w:t>Each grant of an Option Right will be evidenced by an Evidence of Award. Each Evidence of Award will be subject to this Plan and will contain such terms and provisions, consistent with this Plan, as the Committee may approve.</w:t>
      </w: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Appreciation Rights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568"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Committee may, from time to time and upon such terms and conditions as it may determine, authorize the granting to any Participant of an Appreciation Right. An Appreciation Right will be a right of the Participant to receive from the Company an amount determined by the Committee, which will be expressed as a percentage of the Spread (not exceeding 100%) at the time of exercise.</w:t>
      </w:r>
    </w:p>
    <w:p>
      <w:pPr>
        <w:spacing w:after="0" w:line="1" w:lineRule="exact"/>
        <w:rPr>
          <w:rFonts w:ascii="Arial" w:cs="Arial" w:eastAsia="Arial" w:hAnsi="Arial"/>
          <w:sz w:val="18"/>
          <w:szCs w:val="18"/>
          <w:color w:val="auto"/>
        </w:rPr>
      </w:pPr>
    </w:p>
    <w:p>
      <w:pPr>
        <w:ind w:left="568"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grant of an Appreciation Right may utilize any or all of the authorizations and will be subject to all of the requirements contained in the following provisions:</w:t>
      </w:r>
    </w:p>
    <w:p>
      <w:pPr>
        <w:ind w:left="968" w:right="20" w:hanging="320"/>
        <w:spacing w:after="0" w:line="250" w:lineRule="auto"/>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Each grant may specify that the amount payable on exercise of an Appreciation Right will be paid by the Company in cash, shares of Common Stock or any combination thereof.</w:t>
      </w:r>
    </w:p>
    <w:p>
      <w:pPr>
        <w:ind w:left="968" w:hanging="320"/>
        <w:spacing w:after="0" w:line="250" w:lineRule="auto"/>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Any grant may specify that the amount payable on exercise of an Appreciation Right may not exceed a maximum specified by the Committee on the Date of Grant.</w:t>
      </w:r>
    </w:p>
    <w:p>
      <w:pPr>
        <w:ind w:left="968" w:hanging="320"/>
        <w:spacing w:after="0"/>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Any grant may specify waiting periods before exercise and permissible exercise dates or periods.</w:t>
      </w:r>
    </w:p>
    <w:p>
      <w:pPr>
        <w:spacing w:after="0" w:line="9" w:lineRule="exact"/>
        <w:rPr>
          <w:rFonts w:ascii="Arial" w:cs="Arial" w:eastAsia="Arial" w:hAnsi="Arial"/>
          <w:sz w:val="18"/>
          <w:szCs w:val="18"/>
          <w:color w:val="auto"/>
        </w:rPr>
      </w:pPr>
    </w:p>
    <w:p>
      <w:pPr>
        <w:jc w:val="both"/>
        <w:ind w:left="968" w:hanging="320"/>
        <w:spacing w:after="0" w:line="281" w:lineRule="auto"/>
        <w:tabs>
          <w:tab w:leader="none" w:pos="968" w:val="left"/>
        </w:tabs>
        <w:numPr>
          <w:ilvl w:val="3"/>
          <w:numId w:val="79"/>
        </w:numPr>
        <w:rPr>
          <w:rFonts w:ascii="Arial" w:cs="Arial" w:eastAsia="Arial" w:hAnsi="Arial"/>
          <w:sz w:val="16"/>
          <w:szCs w:val="16"/>
          <w:color w:val="auto"/>
        </w:rPr>
      </w:pPr>
      <w:r>
        <w:rPr>
          <w:rFonts w:ascii="Arial" w:cs="Arial" w:eastAsia="Arial" w:hAnsi="Arial"/>
          <w:sz w:val="16"/>
          <w:szCs w:val="16"/>
          <w:color w:val="auto"/>
        </w:rPr>
        <w:t>Each grant will specify the period or periods of continuous service by the Participant with the Company or any Subsidiary that is necessary before the Appreciation Right or any installment thereof will become exercisable. A grant of an Appreciation Right may provide for the earlier exercise of such Appreciation Right, including (A) in the event of the retirement, death or disability of a Participant or (B) in the event of a Change of Control where either (I) within a specified period the Participant experiences a qualifying termination of employment or service, as applicable, in a manner described in the applicable Evidence of Award or (II) such Appreciation Right is not continued, assumed or converted into a replacement award in a manner described in the applicable Evidence of Award.</w:t>
      </w:r>
    </w:p>
    <w:p>
      <w:pPr>
        <w:spacing w:after="0" w:line="4" w:lineRule="exact"/>
        <w:rPr>
          <w:rFonts w:ascii="Arial" w:cs="Arial" w:eastAsia="Arial" w:hAnsi="Arial"/>
          <w:sz w:val="16"/>
          <w:szCs w:val="16"/>
          <w:color w:val="auto"/>
        </w:rPr>
      </w:pPr>
    </w:p>
    <w:p>
      <w:pPr>
        <w:ind w:left="968" w:hanging="320"/>
        <w:spacing w:after="0" w:line="250" w:lineRule="auto"/>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Any grant of an Appreciation Right may specify Management Objectives that must be achieved as a condition of the exercise of such Appreciation Right.</w:t>
      </w:r>
    </w:p>
    <w:p>
      <w:pPr>
        <w:ind w:left="968" w:hanging="320"/>
        <w:spacing w:after="0" w:line="250" w:lineRule="auto"/>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Each grant of an Appreciation Right will be evidenced by an Evidence of Award, which Evidence of Award will describe such Appreciation Right and contain such other terms and provisions, consistent with this Plan, as the Committee may approve.</w:t>
      </w:r>
    </w:p>
    <w:p>
      <w:pPr>
        <w:jc w:val="both"/>
        <w:ind w:left="568"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Successive grants of Appreciation Rights may be made to the same Participant regardless of whether any Appreciation Right previously granted to the Participant remains unexercised. No grant may provide for the automatic grant of reload Appreciation Rights to a Participant upon the exercise of an Appreciation Right.</w:t>
      </w:r>
    </w:p>
    <w:p>
      <w:pPr>
        <w:spacing w:after="0" w:line="1" w:lineRule="exact"/>
        <w:rPr>
          <w:rFonts w:ascii="Arial" w:cs="Arial" w:eastAsia="Arial" w:hAnsi="Arial"/>
          <w:sz w:val="18"/>
          <w:szCs w:val="18"/>
          <w:color w:val="auto"/>
        </w:rPr>
      </w:pPr>
    </w:p>
    <w:p>
      <w:pPr>
        <w:ind w:left="568" w:hanging="325"/>
        <w:spacing w:after="0"/>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Also, regarding Appreciation Rights:</w:t>
      </w:r>
    </w:p>
    <w:p>
      <w:pPr>
        <w:spacing w:after="0" w:line="9" w:lineRule="exact"/>
        <w:rPr>
          <w:rFonts w:ascii="Arial" w:cs="Arial" w:eastAsia="Arial" w:hAnsi="Arial"/>
          <w:sz w:val="18"/>
          <w:szCs w:val="18"/>
          <w:color w:val="auto"/>
        </w:rPr>
      </w:pPr>
    </w:p>
    <w:p>
      <w:pPr>
        <w:ind w:left="968" w:right="20" w:hanging="320"/>
        <w:spacing w:after="0" w:line="250" w:lineRule="auto"/>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 xml:space="preserve">Each grant will specify in respect of each Appreciation Right a Base Price, which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Market Value per Share on the Date of Grant; and</w:t>
      </w:r>
    </w:p>
    <w:p>
      <w:pPr>
        <w:ind w:left="968" w:hanging="320"/>
        <w:spacing w:after="0"/>
        <w:tabs>
          <w:tab w:leader="none" w:pos="968" w:val="left"/>
        </w:tabs>
        <w:numPr>
          <w:ilvl w:val="3"/>
          <w:numId w:val="79"/>
        </w:numPr>
        <w:rPr>
          <w:rFonts w:ascii="Arial" w:cs="Arial" w:eastAsia="Arial" w:hAnsi="Arial"/>
          <w:sz w:val="18"/>
          <w:szCs w:val="18"/>
          <w:color w:val="auto"/>
        </w:rPr>
      </w:pPr>
      <w:r>
        <w:rPr>
          <w:rFonts w:ascii="Arial" w:cs="Arial" w:eastAsia="Arial" w:hAnsi="Arial"/>
          <w:sz w:val="18"/>
          <w:szCs w:val="18"/>
          <w:color w:val="auto"/>
        </w:rPr>
        <w:t>No Appreciation Right granted under this Plan may be exercised more than 10 years from the Date of Grant.</w:t>
      </w:r>
    </w:p>
    <w:p>
      <w:pPr>
        <w:spacing w:after="0" w:line="9"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Restricted Shares</w:t>
      </w:r>
      <w:r>
        <w:rPr>
          <w:rFonts w:ascii="Arial" w:cs="Arial" w:eastAsia="Arial" w:hAnsi="Arial"/>
          <w:sz w:val="18"/>
          <w:szCs w:val="18"/>
          <w:color w:val="auto"/>
        </w:rPr>
        <w:t>. The Committee may, from time to time and upon such terms and conditions as it may determine, authorize the grant or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to Participants. Each such grant or sale may utilize any or all of the authorizations and will be subject to all of the requirements contained in the following provisions:</w:t>
      </w:r>
    </w:p>
    <w:p>
      <w:pPr>
        <w:spacing w:after="0" w:line="1" w:lineRule="exact"/>
        <w:rPr>
          <w:rFonts w:ascii="Arial" w:cs="Arial" w:eastAsia="Arial" w:hAnsi="Arial"/>
          <w:sz w:val="18"/>
          <w:szCs w:val="18"/>
          <w:color w:val="auto"/>
        </w:rPr>
      </w:pPr>
    </w:p>
    <w:p>
      <w:pPr>
        <w:jc w:val="both"/>
        <w:ind w:left="568"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w:t>
      </w:r>
    </w:p>
    <w:p>
      <w:pPr>
        <w:spacing w:after="0" w:line="1" w:lineRule="exact"/>
        <w:rPr>
          <w:rFonts w:ascii="Arial" w:cs="Arial" w:eastAsia="Arial" w:hAnsi="Arial"/>
          <w:sz w:val="18"/>
          <w:szCs w:val="18"/>
          <w:color w:val="auto"/>
        </w:rPr>
      </w:pPr>
    </w:p>
    <w:p>
      <w:pPr>
        <w:ind w:left="568" w:right="20"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jc w:val="both"/>
        <w:ind w:left="568" w:hanging="325"/>
        <w:spacing w:after="0" w:line="250"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Shares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below.</w:t>
      </w:r>
    </w:p>
    <w:p>
      <w:pPr>
        <w:spacing w:after="0" w:line="1" w:lineRule="exact"/>
        <w:rPr>
          <w:rFonts w:ascii="Arial" w:cs="Arial" w:eastAsia="Arial" w:hAnsi="Arial"/>
          <w:sz w:val="18"/>
          <w:szCs w:val="18"/>
          <w:color w:val="auto"/>
        </w:rPr>
      </w:pPr>
    </w:p>
    <w:p>
      <w:pPr>
        <w:jc w:val="both"/>
        <w:ind w:left="568" w:right="20" w:hanging="325"/>
        <w:spacing w:after="0" w:line="255" w:lineRule="auto"/>
        <w:tabs>
          <w:tab w:leader="none" w:pos="5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such grant or sale will provide that during or after the period for which such substantial risk of forfeiture is to continue, the transferability of the Restricted Shares will be prohibited or restricted in the manner and to the extent prescribed by the Committee on the Date of Grant (which restrictions may include rights of repurchase or first refusal</w:t>
      </w: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8"/>
          </w:cols>
          <w:pgMar w:left="572" w:top="611" w:right="239" w:bottom="1440" w:gutter="0" w:footer="0" w:header="0"/>
        </w:sectPr>
      </w:pPr>
    </w:p>
    <w:bookmarkStart w:id="107" w:name="page108"/>
    <w:bookmarkEnd w:id="107"/>
    <w:p>
      <w:pPr>
        <w:ind w:left="568"/>
        <w:spacing w:after="0"/>
        <w:rPr>
          <w:sz w:val="20"/>
          <w:szCs w:val="20"/>
          <w:color w:val="auto"/>
        </w:rPr>
      </w:pPr>
      <w:r>
        <w:rPr>
          <w:rFonts w:ascii="Arial" w:cs="Arial" w:eastAsia="Arial" w:hAnsi="Arial"/>
          <w:sz w:val="17"/>
          <w:szCs w:val="17"/>
          <w:color w:val="auto"/>
        </w:rPr>
        <w:t>of the Company or provisions subjecting the Restricted Shares to a continuing substantial risk of forfeiture while held by any transferee).</w:t>
      </w:r>
    </w:p>
    <w:p>
      <w:pPr>
        <w:spacing w:after="0" w:line="35" w:lineRule="exact"/>
        <w:rPr>
          <w:sz w:val="20"/>
          <w:szCs w:val="20"/>
          <w:color w:val="auto"/>
        </w:rPr>
      </w:pPr>
    </w:p>
    <w:p>
      <w:pPr>
        <w:ind w:left="648" w:hanging="324"/>
        <w:spacing w:after="0" w:line="258" w:lineRule="auto"/>
        <w:tabs>
          <w:tab w:leader="none" w:pos="6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grant of Restricted Shares may specify Management Objectives that, if achieved, will result in termination or early termination of the restrictions applicable to such Restricted Shares.</w:t>
      </w:r>
    </w:p>
    <w:p>
      <w:pPr>
        <w:jc w:val="both"/>
        <w:ind w:left="648" w:hanging="324"/>
        <w:spacing w:after="0" w:line="265" w:lineRule="auto"/>
        <w:tabs>
          <w:tab w:leader="none" w:pos="648"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Plan, any grant or sale of Restricted Shares may provide for the earlier termination of restrictions on such Restricted Shares,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Restricted Shares are not continued, assumed or converted into replacement awards in a manner described in the applicable Evidence of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award of Restricted Shares intended to be a Qualified Performance-Based Award will provide for such early termination of restrictions (other than in connection with the death or disability of the Participant or a Change of Control) to the extent such provisions would result in the loss of the otherwise available exemption of the award under Section 162(m) of the Code.</w:t>
      </w:r>
    </w:p>
    <w:p>
      <w:pPr>
        <w:spacing w:after="0" w:line="1" w:lineRule="exact"/>
        <w:rPr>
          <w:rFonts w:ascii="Arial" w:cs="Arial" w:eastAsia="Arial" w:hAnsi="Arial"/>
          <w:sz w:val="17"/>
          <w:szCs w:val="17"/>
          <w:color w:val="auto"/>
        </w:rPr>
      </w:pPr>
    </w:p>
    <w:p>
      <w:pPr>
        <w:jc w:val="both"/>
        <w:ind w:left="648" w:hanging="324"/>
        <w:spacing w:after="0" w:line="250" w:lineRule="auto"/>
        <w:tabs>
          <w:tab w:leader="none" w:pos="6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Any such grant or sale of Restricted Shares may require that any or all dividends or other distributions paid thereon during the period of such restrictions be automatically deferred and/or reinvested in additional Restricted Shares, which may be subject to the same restrictions as the underlying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dividends or other distributions on Restricted Shares with restrictions that lapse as a result of the achievement of Management Objectives will be deferred until, and paid contingent upon, the achievement of the applicable Management Objectives.</w:t>
      </w:r>
    </w:p>
    <w:p>
      <w:pPr>
        <w:spacing w:after="0" w:line="2" w:lineRule="exact"/>
        <w:rPr>
          <w:rFonts w:ascii="Arial" w:cs="Arial" w:eastAsia="Arial" w:hAnsi="Arial"/>
          <w:sz w:val="18"/>
          <w:szCs w:val="18"/>
          <w:color w:val="auto"/>
        </w:rPr>
      </w:pPr>
    </w:p>
    <w:p>
      <w:pPr>
        <w:jc w:val="both"/>
        <w:ind w:left="648" w:hanging="324"/>
        <w:spacing w:after="0" w:line="281" w:lineRule="auto"/>
        <w:tabs>
          <w:tab w:leader="none" w:pos="64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grant or sale of Restricted Shares will be evidenced by an Evidence of Award and will contain such terms and provisions, consistent with this Plan, as the Committee may approve. Unless otherwise directed by the Committee, (i) all certificates representing Restricted Shares will be held in custody by the Company until all restrictions thereon will have lapsed, together with a stock power or powers executed by the Participant in whose name such certificates are registered, endorsed in blank and covering such shares, or (ii) all Restricted Shares will be held at the Company’s transfer agent in book entry form with appropriate restrictions relating to the transfer of such Restricted Shares.</w:t>
      </w:r>
    </w:p>
    <w:p>
      <w:pPr>
        <w:spacing w:after="0" w:line="3" w:lineRule="exact"/>
        <w:rPr>
          <w:rFonts w:ascii="Arial" w:cs="Arial" w:eastAsia="Arial" w:hAnsi="Arial"/>
          <w:sz w:val="16"/>
          <w:szCs w:val="16"/>
          <w:color w:val="auto"/>
        </w:rPr>
      </w:pPr>
    </w:p>
    <w:p>
      <w:pPr>
        <w:jc w:val="both"/>
        <w:ind w:left="328" w:hanging="328"/>
        <w:spacing w:after="0" w:line="250"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Committee may, from time to time and upon such terms and conditions as it may determine, authorize the granting or</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Restricted Stock Units to Participants. Each such grant or sale may utilize any or all of the authorizations and will be subject to all of the requirements contained in the following provisions:</w:t>
      </w:r>
    </w:p>
    <w:p>
      <w:pPr>
        <w:spacing w:after="0" w:line="1"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81"/>
        </w:numPr>
        <w:rPr>
          <w:rFonts w:ascii="Arial" w:cs="Arial" w:eastAsia="Arial" w:hAnsi="Arial"/>
          <w:sz w:val="17"/>
          <w:szCs w:val="17"/>
          <w:color w:val="auto"/>
        </w:rPr>
      </w:pPr>
      <w:r>
        <w:rPr>
          <w:rFonts w:ascii="Arial" w:cs="Arial" w:eastAsia="Arial" w:hAnsi="Arial"/>
          <w:sz w:val="17"/>
          <w:szCs w:val="17"/>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ind w:left="648" w:right="20" w:hanging="324"/>
        <w:spacing w:after="0" w:line="250" w:lineRule="auto"/>
        <w:tabs>
          <w:tab w:leader="none" w:pos="648"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on the Date of Grant.</w:t>
      </w:r>
    </w:p>
    <w:p>
      <w:pPr>
        <w:jc w:val="both"/>
        <w:ind w:left="648" w:hanging="324"/>
        <w:spacing w:after="0" w:line="265" w:lineRule="auto"/>
        <w:tabs>
          <w:tab w:leader="none" w:pos="648"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Plan, any grant or sale of Restricted Stock Units may provide for the earlier lapse or other modification of the Restriction Period,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Restricted Stock Units are not continued, assumed or converted into replacement awards in a manner described in the applicable Evidence of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award of Restricted Stock Units intended to be a Qualified Performance-Based Award will provide for such early lapse or modification of the Restriction Period (other than in connection with the death or disability of the Participant or a Change of Control) to the extent such provisions would result in the loss of the otherwise available exemption of the award under Section 162(m) of the Code.</w:t>
      </w:r>
    </w:p>
    <w:p>
      <w:pPr>
        <w:spacing w:after="0" w:line="1" w:lineRule="exact"/>
        <w:rPr>
          <w:rFonts w:ascii="Arial" w:cs="Arial" w:eastAsia="Arial" w:hAnsi="Arial"/>
          <w:sz w:val="17"/>
          <w:szCs w:val="17"/>
          <w:color w:val="auto"/>
        </w:rPr>
      </w:pPr>
    </w:p>
    <w:p>
      <w:pPr>
        <w:jc w:val="both"/>
        <w:ind w:left="648" w:hanging="324"/>
        <w:spacing w:after="0" w:line="281" w:lineRule="auto"/>
        <w:tabs>
          <w:tab w:leader="none" w:pos="648"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on either a current, deferred or contingent basis, either in cash or in additional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dividend equivalents or other distributions on shares of Common Stock underlying Restricted Stock Units with restrictions that lapse as a result of the achievement of Management Objectives will be deferred until, and paid contingent upon, the achievement of the applicable Management Objectives.</w:t>
      </w:r>
    </w:p>
    <w:p>
      <w:pPr>
        <w:spacing w:after="0" w:line="4" w:lineRule="exact"/>
        <w:rPr>
          <w:rFonts w:ascii="Arial" w:cs="Arial" w:eastAsia="Arial" w:hAnsi="Arial"/>
          <w:sz w:val="16"/>
          <w:szCs w:val="16"/>
          <w:color w:val="auto"/>
        </w:rPr>
      </w:pPr>
    </w:p>
    <w:p>
      <w:pPr>
        <w:jc w:val="both"/>
        <w:ind w:left="648" w:hanging="324"/>
        <w:spacing w:after="0" w:line="250" w:lineRule="auto"/>
        <w:tabs>
          <w:tab w:leader="none" w:pos="648"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and will contain such terms and provisions, consistent with this Plan, as the Committee may approve.</w:t>
      </w:r>
    </w:p>
    <w:p>
      <w:pPr>
        <w:ind w:left="328" w:right="20" w:hanging="328"/>
        <w:spacing w:after="0" w:line="261"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Cash Incentive Awards, Performance Shares and Performance Units</w:t>
      </w:r>
      <w:r>
        <w:rPr>
          <w:rFonts w:ascii="Arial" w:cs="Arial" w:eastAsia="Arial" w:hAnsi="Arial"/>
          <w:sz w:val="18"/>
          <w:szCs w:val="18"/>
          <w:color w:val="auto"/>
        </w:rPr>
        <w:t>. The Committee may, from time to time and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it may determine, authorize the granting of Cash Incentive Awards, Performance Shares</w:t>
      </w: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611" w:right="239" w:bottom="1440" w:gutter="0" w:footer="0" w:header="0"/>
        </w:sectPr>
      </w:pPr>
    </w:p>
    <w:bookmarkStart w:id="108" w:name="page109"/>
    <w:bookmarkEnd w:id="108"/>
    <w:p>
      <w:pPr>
        <w:ind w:left="328"/>
        <w:spacing w:after="0" w:line="282" w:lineRule="auto"/>
        <w:rPr>
          <w:sz w:val="20"/>
          <w:szCs w:val="20"/>
          <w:color w:val="auto"/>
        </w:rPr>
      </w:pPr>
      <w:r>
        <w:rPr>
          <w:rFonts w:ascii="Arial" w:cs="Arial" w:eastAsia="Arial" w:hAnsi="Arial"/>
          <w:sz w:val="18"/>
          <w:szCs w:val="18"/>
          <w:color w:val="auto"/>
        </w:rPr>
        <w:t>and Performance Units. Each such grant may utilize any or all of the authorizations and will be subject to all of the requirements, contained in the following provisions:</w:t>
      </w:r>
    </w:p>
    <w:p>
      <w:pPr>
        <w:spacing w:after="0" w:line="1" w:lineRule="exact"/>
        <w:rPr>
          <w:sz w:val="20"/>
          <w:szCs w:val="20"/>
          <w:color w:val="auto"/>
        </w:rPr>
      </w:pPr>
    </w:p>
    <w:p>
      <w:pPr>
        <w:jc w:val="both"/>
        <w:ind w:left="648" w:hanging="324"/>
        <w:spacing w:after="0" w:line="253" w:lineRule="auto"/>
        <w:tabs>
          <w:tab w:leader="none" w:pos="6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Each grant will specify the number or amount of Performance Shares or Performance Units, or amount payable with respect to a Cash Incentive Award, which number or amount may be subject to adjustment to reflect changes in compensation or other factors;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adjustment will be made in the case of a Qualified Performance-Based Award (other than in connection with the death or disability of the Participant or a Change of Control) where such action would result in the loss of the otherwise available exemption of the award under Section 162(m) of the Code.</w:t>
      </w:r>
    </w:p>
    <w:p>
      <w:pPr>
        <w:spacing w:after="0" w:line="2"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The Performance Period with respect to each Cash Incentive Award or grant of Performance Shares or Performance Units will be such period of time as will be determined by the Committee, which may be subject to earlier lapse or other modification, including (i) in the event of the retirement, death or disability of a Participant or (ii) in the event of a Change of Control where either (A) within a specified period the Participant experiences a qualifying termination of employment or service, as applicable, in a manner described in the applicable Evidence of Award or (B) such Cash Incentive Awards, Performance Shares and Performance Units are not continued, assumed or converted into replacement awards in a manner described in the applicable Evidence of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adjustment will be made in the case of a Qualified Performance-Based Award (other than in connection with the death or disability of the Participant or a Change of Control) where such action would result in the loss of the otherwise available exemption of the award under Section 162(m) of the Code. In such event, the Evidence of Award will specify the time and terms of delivery.</w:t>
      </w:r>
    </w:p>
    <w:p>
      <w:pPr>
        <w:spacing w:after="0" w:line="2" w:lineRule="exact"/>
        <w:rPr>
          <w:rFonts w:ascii="Arial" w:cs="Arial" w:eastAsia="Arial" w:hAnsi="Arial"/>
          <w:sz w:val="17"/>
          <w:szCs w:val="17"/>
          <w:color w:val="auto"/>
        </w:rPr>
      </w:pPr>
    </w:p>
    <w:p>
      <w:pPr>
        <w:jc w:val="both"/>
        <w:ind w:left="648" w:hanging="324"/>
        <w:spacing w:after="0" w:line="281" w:lineRule="auto"/>
        <w:tabs>
          <w:tab w:leader="none" w:pos="648"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 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w:t>
      </w:r>
    </w:p>
    <w:p>
      <w:pPr>
        <w:spacing w:after="0" w:line="3" w:lineRule="exact"/>
        <w:rPr>
          <w:rFonts w:ascii="Arial" w:cs="Arial" w:eastAsia="Arial" w:hAnsi="Arial"/>
          <w:sz w:val="16"/>
          <w:szCs w:val="16"/>
          <w:color w:val="auto"/>
        </w:rPr>
      </w:pPr>
    </w:p>
    <w:p>
      <w:pPr>
        <w:jc w:val="both"/>
        <w:ind w:left="648" w:hanging="324"/>
        <w:spacing w:after="0" w:line="250" w:lineRule="auto"/>
        <w:tabs>
          <w:tab w:leader="none" w:pos="6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Shares or Restricted Stock Units or in any combination thereof.</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grant of a Cash Incentive Award, Performance Shares or Performance Units may specify that the amount payable or the number of shares of Common Stock, Restricted Shares or Restricted Stock Units payable with respect thereto may not exceed a maximum specified by the Committee on the Date of Grant.</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Committee may, on the Date of Grant of Performance Shares, provide for the payment of dividend equivalents to the holder thereof either in cash or in additional shares of Common Stock, subject in all cases to deferral and payment on a contingent basis based on the Participant’s earning of the Performance Shares with respect to which such dividend equivalents are paid.</w:t>
      </w:r>
    </w:p>
    <w:p>
      <w:pPr>
        <w:spacing w:after="0" w:line="1"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grant of a Cash Incentive Award, Performance Shares or Performance Units will be evidenced by an Evidence of Award and will contain such terms and provisions, consistent with this Plan, as the Committee may approve.</w:t>
      </w:r>
    </w:p>
    <w:p>
      <w:pPr>
        <w:ind w:left="328" w:hanging="328"/>
        <w:spacing w:after="0"/>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48" w:hanging="324"/>
        <w:spacing w:after="0" w:line="281" w:lineRule="auto"/>
        <w:tabs>
          <w:tab w:leader="none" w:pos="648"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grant to any Participant shares of Common Stock or such other awards that may be denominated or payable in, valued in whole or in part by reference to, or otherwise based on or related to, shares of Common Stock or factors that may influence the value of such shares, including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purchased for such consideration, paid for at such time, by such methods, and in such forms, including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other awards, notes or other property, as the Committee determines.</w:t>
      </w:r>
    </w:p>
    <w:p>
      <w:pPr>
        <w:spacing w:after="0" w:line="6" w:lineRule="exact"/>
        <w:rPr>
          <w:rFonts w:ascii="Arial" w:cs="Arial" w:eastAsia="Arial" w:hAnsi="Arial"/>
          <w:sz w:val="16"/>
          <w:szCs w:val="16"/>
          <w:color w:val="auto"/>
        </w:rPr>
      </w:pPr>
    </w:p>
    <w:p>
      <w:pPr>
        <w:ind w:left="648" w:hanging="324"/>
        <w:spacing w:after="0" w:line="250"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Cash awards, or awards of other property, as an element of or supplement to any other award granted under this Plan, may also be granted pursuant to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w:t>
      </w:r>
    </w:p>
    <w:p>
      <w:pPr>
        <w:jc w:val="both"/>
        <w:ind w:left="648" w:hanging="324"/>
        <w:spacing w:after="0" w:line="277" w:lineRule="auto"/>
        <w:tabs>
          <w:tab w:leader="none" w:pos="648"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Committee may grant shares of Common Stock as a bonus or may grant other awards (including of other property)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2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8"/>
          </w:cols>
          <w:pgMar w:left="572" w:top="611" w:right="239" w:bottom="1440" w:gutter="0" w:footer="0" w:header="0"/>
        </w:sectPr>
      </w:pPr>
    </w:p>
    <w:bookmarkStart w:id="109" w:name="page110"/>
    <w:bookmarkEnd w:id="109"/>
    <w:p>
      <w:pPr>
        <w:jc w:val="both"/>
        <w:ind w:left="648" w:hanging="324"/>
        <w:spacing w:after="0" w:line="284" w:lineRule="auto"/>
        <w:tabs>
          <w:tab w:leader="none" w:pos="648"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any grant of an award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may provide for the earning or vesting of, or earlier elimination of restrictions applicable to, such award, including (i) in the event of the retirement, death or disability of the Participant or (ii) in the event of a Change of Control where either (A) within a specified period the Participant experiences a qualifying termination of employment or service, as applicable, in a manner described in the applicable Evidence of Award or (B) such awards are not continued, assumed or converted into replacement awards in a manner described in the applicable Evidence of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adjustment will be made in the case of a Qualified Performance-Based Award (other than in connection with the death or disability of the Participant or a Change of Control) where such action would result in the loss of the otherwise available exemption of the award under Section 162(m) of the Code. In such event, the Evidence of Award will specify the time and terms of delivery.</w:t>
      </w:r>
    </w:p>
    <w:p>
      <w:pPr>
        <w:spacing w:after="0" w:line="5" w:lineRule="exact"/>
        <w:rPr>
          <w:rFonts w:ascii="Arial" w:cs="Arial" w:eastAsia="Arial" w:hAnsi="Arial"/>
          <w:sz w:val="16"/>
          <w:szCs w:val="16"/>
          <w:color w:val="auto"/>
        </w:rPr>
      </w:pPr>
    </w:p>
    <w:p>
      <w:pPr>
        <w:ind w:left="328" w:hanging="328"/>
        <w:spacing w:after="0"/>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Plan will be administered by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2"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and to the extent permitted by law, authorize one or more officers of the Company to do one or both of the following on the same basis as the Committee: (i) designate employees to be recipients of awards under this Plan and (ii) determine the size of any such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Committee will not delegate such responsibilities to any such officer for awards granted to an employee who is an officer, Director or more than 10% “beneficial owner” (as such term is defined in Rule 13-d promulgated under the Exchange Act) of any class of the Company’s equity securities that is registered pursuant to Section 12 of the Exchange Act, as determined by the Committee in accordance with Section 16 of the Exchange Act, or to any Participant who is, or is determined by the Committee to likely become, a “covered employee” within the meaning of Section 162(m) of the Code (or any successor provision);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3" w:lineRule="exact"/>
        <w:rPr>
          <w:rFonts w:ascii="Arial" w:cs="Arial" w:eastAsia="Arial" w:hAnsi="Arial"/>
          <w:sz w:val="17"/>
          <w:szCs w:val="17"/>
          <w:color w:val="auto"/>
        </w:rPr>
      </w:pPr>
    </w:p>
    <w:p>
      <w:pPr>
        <w:jc w:val="both"/>
        <w:ind w:left="328" w:hanging="328"/>
        <w:spacing w:after="0" w:line="281" w:lineRule="auto"/>
        <w:tabs>
          <w:tab w:leader="none" w:pos="328"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Committee shall make or provide for such adjustments (a) in the number of, and kind of, shares of Common Stock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Option Rights, Appreciation Rights, Restricted Shares, Restricted Stock Units, Performance Shares and Performance Units granted hereunder and, if applicable, in the number of, and kind of, shares of Common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(b) in the Option Price and Base Price provided in outstanding Option Rights and Appreciation Rights, respectively and (c) in any other terms of awards granted under this Plan, in any such case, as the Committee, in its sole discretion, exercised in good faith, determines is equitably required to prevent dilution or enlargement of the rights of Participants that otherwise would result from (i) any extraordinary cash dividend, stock dividend, stock split, combination of shares, recapitalization or other change in the capital structure of the Company, (ii) any merger, consolidation, spin-off, split-off, spin-out, split-up, reorganization, partial or complete liquidation or other distribution of assets, issuance of rights or warrants to purchase securities or (iii) any other corporate transaction or event having an effect similar to any of the foregoing. Moreover, in the event of any such transaction or event or in the event of a Change of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of Control, the Committee may in its discretion elect to cancel such Option Right or Appreciation Right without any payment to the Person holding such Option Right or Appreciation Right. The Committee shall also make or provide for such adjustments in the numbers of shares of Common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adjustment to the number specified in</w:t>
      </w:r>
    </w:p>
    <w:p>
      <w:pPr>
        <w:spacing w:after="0" w:line="11"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Section 3</w:t>
      </w:r>
    </w:p>
    <w:p>
      <w:pPr>
        <w:spacing w:after="0" w:line="2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8"/>
          </w:cols>
          <w:pgMar w:left="572" w:top="580" w:right="239" w:bottom="1440" w:gutter="0" w:footer="0" w:header="0"/>
        </w:sectPr>
      </w:pPr>
    </w:p>
    <w:bookmarkStart w:id="110" w:name="page111"/>
    <w:bookmarkEnd w:id="110"/>
    <w:p>
      <w:pPr>
        <w:ind w:left="328" w:hanging="4"/>
        <w:spacing w:after="0" w:line="282" w:lineRule="auto"/>
        <w:tabs>
          <w:tab w:leader="none" w:pos="587" w:val="left"/>
        </w:tabs>
        <w:numPr>
          <w:ilvl w:val="1"/>
          <w:numId w:val="86"/>
        </w:numPr>
        <w:rPr>
          <w:rFonts w:ascii="Arial" w:cs="Arial" w:eastAsia="Arial" w:hAnsi="Arial"/>
          <w:sz w:val="18"/>
          <w:szCs w:val="18"/>
          <w:b w:val="1"/>
          <w:bCs w:val="1"/>
          <w:u w:val="single" w:color="auto"/>
          <w:color w:val="auto"/>
        </w:rPr>
      </w:pPr>
      <w:r>
        <w:rPr>
          <w:rFonts w:ascii="Arial" w:cs="Arial" w:eastAsia="Arial" w:hAnsi="Arial"/>
          <w:sz w:val="18"/>
          <w:szCs w:val="18"/>
          <w:color w:val="auto"/>
        </w:rPr>
        <w:t>of this Plan will be made only if and to the extent that such adjustment would not cause any Option Right intended to qualify as an Incentive Stock Option to fail to so qualify.</w:t>
      </w:r>
    </w:p>
    <w:p>
      <w:pPr>
        <w:ind w:left="328" w:hanging="328"/>
        <w:spacing w:after="0" w:line="258"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For purposes of this Plan, except as may be otherwise prescribed by the Committee in an Evidence of Award made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a “</w:t>
      </w:r>
      <w:r>
        <w:rPr>
          <w:rFonts w:ascii="Arial" w:cs="Arial" w:eastAsia="Arial" w:hAnsi="Arial"/>
          <w:sz w:val="18"/>
          <w:szCs w:val="18"/>
          <w:u w:val="single" w:color="auto"/>
          <w:color w:val="auto"/>
        </w:rPr>
        <w:t>Change of Control</w:t>
      </w:r>
      <w:r>
        <w:rPr>
          <w:rFonts w:ascii="Arial" w:cs="Arial" w:eastAsia="Arial" w:hAnsi="Arial"/>
          <w:sz w:val="18"/>
          <w:szCs w:val="18"/>
          <w:color w:val="auto"/>
        </w:rPr>
        <w:t>” will be deemed to have occurred upon the occurrence of any of the following events:</w:t>
      </w:r>
    </w:p>
    <w:p>
      <w:pPr>
        <w:ind w:left="648" w:hanging="324"/>
        <w:spacing w:after="0"/>
        <w:tabs>
          <w:tab w:leader="none" w:pos="648"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35% or more of either</w:t>
      </w:r>
    </w:p>
    <w:p>
      <w:pPr>
        <w:spacing w:after="0" w:line="32" w:lineRule="exact"/>
        <w:rPr>
          <w:rFonts w:ascii="Arial" w:cs="Arial" w:eastAsia="Arial" w:hAnsi="Arial"/>
          <w:sz w:val="16"/>
          <w:szCs w:val="16"/>
          <w:color w:val="auto"/>
        </w:rPr>
      </w:pPr>
    </w:p>
    <w:p>
      <w:pPr>
        <w:jc w:val="both"/>
        <w:ind w:left="648"/>
        <w:spacing w:after="0" w:line="281" w:lineRule="auto"/>
        <w:rPr>
          <w:rFonts w:ascii="Arial" w:cs="Arial" w:eastAsia="Arial" w:hAnsi="Arial"/>
          <w:sz w:val="16"/>
          <w:szCs w:val="16"/>
          <w:color w:val="auto"/>
        </w:rPr>
      </w:pPr>
      <w:r>
        <w:rPr>
          <w:rFonts w:ascii="Arial" w:cs="Arial" w:eastAsia="Arial" w:hAnsi="Arial"/>
          <w:sz w:val="16"/>
          <w:szCs w:val="16"/>
          <w:color w:val="auto"/>
        </w:rPr>
        <w:t>(i) the then-outstanding common stock of the Company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 (ii) the combined voting power of the then-outstanding voting securities of the Company entitled to vote generally in the election of Directors (the “</w:t>
      </w:r>
      <w:r>
        <w:rPr>
          <w:rFonts w:ascii="Arial" w:cs="Arial" w:eastAsia="Arial" w:hAnsi="Arial"/>
          <w:sz w:val="16"/>
          <w:szCs w:val="16"/>
          <w:u w:val="single" w:color="auto"/>
          <w:color w:val="auto"/>
        </w:rPr>
        <w:t>Outstanding Company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this </w:t>
      </w:r>
      <w:r>
        <w:rPr>
          <w:rFonts w:ascii="Arial" w:cs="Arial" w:eastAsia="Arial" w:hAnsi="Arial"/>
          <w:sz w:val="16"/>
          <w:szCs w:val="16"/>
          <w:b w:val="1"/>
          <w:bCs w:val="1"/>
          <w:u w:val="single" w:color="auto"/>
          <w:color w:val="auto"/>
        </w:rPr>
        <w:t>Section 12(a)</w:t>
      </w:r>
      <w:r>
        <w:rPr>
          <w:rFonts w:ascii="Arial" w:cs="Arial" w:eastAsia="Arial" w:hAnsi="Arial"/>
          <w:sz w:val="16"/>
          <w:szCs w:val="16"/>
          <w:color w:val="auto"/>
        </w:rPr>
        <w:t>, the following acquisitions shall not constitute a Change of Control:</w:t>
      </w:r>
    </w:p>
    <w:p>
      <w:pPr>
        <w:spacing w:after="0" w:line="2" w:lineRule="exact"/>
        <w:rPr>
          <w:rFonts w:ascii="Arial" w:cs="Arial" w:eastAsia="Arial" w:hAnsi="Arial"/>
          <w:sz w:val="16"/>
          <w:szCs w:val="16"/>
          <w:color w:val="auto"/>
        </w:rPr>
      </w:pPr>
    </w:p>
    <w:p>
      <w:pPr>
        <w:ind w:left="648"/>
        <w:spacing w:after="0"/>
        <w:rPr>
          <w:rFonts w:ascii="Arial" w:cs="Arial" w:eastAsia="Arial" w:hAnsi="Arial"/>
          <w:sz w:val="16"/>
          <w:szCs w:val="16"/>
          <w:color w:val="auto"/>
        </w:rPr>
      </w:pPr>
      <w:r>
        <w:rPr>
          <w:rFonts w:ascii="Arial" w:cs="Arial" w:eastAsia="Arial" w:hAnsi="Arial"/>
          <w:sz w:val="17"/>
          <w:szCs w:val="17"/>
          <w:color w:val="auto"/>
        </w:rPr>
        <w:t>(A)  any acquisition of Outstanding Company Common Stock or Outstanding Company Voting Securities by the Company or any Affiliate,</w:t>
      </w:r>
    </w:p>
    <w:p>
      <w:pPr>
        <w:spacing w:after="0" w:line="20" w:lineRule="exact"/>
        <w:rPr>
          <w:rFonts w:ascii="Arial" w:cs="Arial" w:eastAsia="Arial" w:hAnsi="Arial"/>
          <w:sz w:val="16"/>
          <w:szCs w:val="16"/>
          <w:color w:val="auto"/>
        </w:rPr>
      </w:pPr>
    </w:p>
    <w:p>
      <w:pPr>
        <w:jc w:val="both"/>
        <w:ind w:left="648"/>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(B) any acquisition of Outstanding Company Common Stock or Outstanding Company Voting Securities by any employee benefit plan (or related trust) sponsored or maintained by the Company or any Affiliate or (C) any acquisition pursuant to a transaction that complies with each of </w:t>
      </w:r>
      <w:r>
        <w:rPr>
          <w:rFonts w:ascii="Arial" w:cs="Arial" w:eastAsia="Arial" w:hAnsi="Arial"/>
          <w:sz w:val="18"/>
          <w:szCs w:val="18"/>
          <w:b w:val="1"/>
          <w:bCs w:val="1"/>
          <w:u w:val="single" w:color="auto"/>
          <w:color w:val="auto"/>
        </w:rPr>
        <w:t>Section 12(c)(i)</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 xml:space="preserve"> below;</w:t>
      </w:r>
    </w:p>
    <w:p>
      <w:pPr>
        <w:spacing w:after="0" w:line="1" w:lineRule="exact"/>
        <w:rPr>
          <w:rFonts w:ascii="Arial" w:cs="Arial" w:eastAsia="Arial" w:hAnsi="Arial"/>
          <w:sz w:val="16"/>
          <w:szCs w:val="16"/>
          <w:color w:val="auto"/>
        </w:rPr>
      </w:pPr>
    </w:p>
    <w:p>
      <w:pPr>
        <w:ind w:left="648" w:hanging="324"/>
        <w:spacing w:after="0"/>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majority of the Directors are not Incumbent Directors;</w:t>
      </w:r>
    </w:p>
    <w:p>
      <w:pPr>
        <w:spacing w:after="0" w:line="9"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87"/>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share sale or similar transaction involving the Company or any of the Subsidiaries, a sale or other disposition of all or substantially all of the assets of the Company or the acquisition of assets or securities of another entity by the Company or any of the Subsidiaries (each,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35%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Incumbent Directors at the time of the execution of the initial agreement or of the action of the Board providing for such Business Combination; or</w:t>
      </w:r>
    </w:p>
    <w:p>
      <w:pPr>
        <w:spacing w:after="0" w:line="4" w:lineRule="exact"/>
        <w:rPr>
          <w:rFonts w:ascii="Arial" w:cs="Arial" w:eastAsia="Arial" w:hAnsi="Arial"/>
          <w:sz w:val="17"/>
          <w:szCs w:val="17"/>
          <w:color w:val="auto"/>
        </w:rPr>
      </w:pPr>
    </w:p>
    <w:p>
      <w:pPr>
        <w:ind w:left="648" w:hanging="324"/>
        <w:spacing w:after="0"/>
        <w:tabs>
          <w:tab w:leader="none" w:pos="6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9" w:lineRule="exact"/>
        <w:rPr>
          <w:rFonts w:ascii="Arial" w:cs="Arial" w:eastAsia="Arial" w:hAnsi="Arial"/>
          <w:sz w:val="18"/>
          <w:szCs w:val="18"/>
          <w:color w:val="auto"/>
        </w:rPr>
      </w:pPr>
    </w:p>
    <w:p>
      <w:pPr>
        <w:jc w:val="both"/>
        <w:ind w:left="328" w:hanging="328"/>
        <w:spacing w:after="0" w:line="265"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Detrimental Activity and Recapture Provisions</w:t>
      </w:r>
      <w:r>
        <w:rPr>
          <w:rFonts w:ascii="Arial" w:cs="Arial" w:eastAsia="Arial" w:hAnsi="Arial"/>
          <w:sz w:val="17"/>
          <w:szCs w:val="17"/>
          <w:color w:val="auto"/>
        </w:rPr>
        <w:t>. Any Evidence of Award may provide for the cancellation or forfeiture of an award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further described in the applicable Evidence of Award). Any such detrimental activity could include malfeasance in the performance of the Participant’s duties that is discovered by the Company or any Subsidiary after termination of employment or service or the Participant’s violation of his or her obligations under a restrictive covenant agreement with the Company or any Subsidiary. In addition, notwithstanding anything to the contrary contained in this Plan, any Evidence of Award may also provide for the cancellation or forfeiture of an award or the forfeiture and repayment to the Company of any shares of Common Stock issued under, and/or any other benefit related to, an award, or other provisions intended to have a similar effect,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w:t>
      </w:r>
    </w:p>
    <w:p>
      <w:pPr>
        <w:spacing w:after="0" w:line="2" w:lineRule="exact"/>
        <w:rPr>
          <w:rFonts w:ascii="Arial" w:cs="Arial" w:eastAsia="Arial" w:hAnsi="Arial"/>
          <w:sz w:val="17"/>
          <w:szCs w:val="17"/>
          <w:color w:val="auto"/>
        </w:rPr>
      </w:pPr>
    </w:p>
    <w:p>
      <w:pPr>
        <w:jc w:val="both"/>
        <w:ind w:left="328" w:hanging="328"/>
        <w:spacing w:after="0" w:line="270"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Non-U.S. Participants</w:t>
      </w:r>
      <w:r>
        <w:rPr>
          <w:rFonts w:ascii="Arial" w:cs="Arial" w:eastAsia="Arial" w:hAnsi="Arial"/>
          <w:sz w:val="17"/>
          <w:szCs w:val="17"/>
          <w:color w:val="auto"/>
        </w:rPr>
        <w:t>. In order to facilitate the making of any grant or combination of grants under this Plan, the Committee may provide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w:t>
      </w: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8"/>
          </w:cols>
          <w:pgMar w:left="572" w:top="611" w:right="239" w:bottom="1440" w:gutter="0" w:footer="0" w:header="0"/>
        </w:sectPr>
      </w:pPr>
    </w:p>
    <w:bookmarkStart w:id="111" w:name="page112"/>
    <w:bookmarkEnd w:id="111"/>
    <w:p>
      <w:pPr>
        <w:jc w:val="both"/>
        <w:ind w:left="328"/>
        <w:spacing w:after="0" w:line="289" w:lineRule="auto"/>
        <w:rPr>
          <w:sz w:val="20"/>
          <w:szCs w:val="20"/>
          <w:color w:val="auto"/>
        </w:rPr>
      </w:pPr>
      <w:r>
        <w:rPr>
          <w:rFonts w:ascii="Arial" w:cs="Arial" w:eastAsia="Arial" w:hAnsi="Arial"/>
          <w:sz w:val="18"/>
          <w:szCs w:val="18"/>
          <w:color w:val="auto"/>
        </w:rPr>
        <w:t>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3" w:lineRule="exact"/>
        <w:rPr>
          <w:sz w:val="20"/>
          <w:szCs w:val="20"/>
          <w:color w:val="auto"/>
        </w:rPr>
      </w:pPr>
    </w:p>
    <w:p>
      <w:pPr>
        <w:ind w:left="328" w:hanging="328"/>
        <w:spacing w:after="0"/>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jc w:val="both"/>
        <w:ind w:left="648" w:hanging="324"/>
        <w:spacing w:after="0" w:line="281" w:lineRule="auto"/>
        <w:tabs>
          <w:tab w:leader="none" w:pos="64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Except as otherwise determined by the Committee, no Option Right, Appreciation Right, Restricted Shares, Restricted Stock Unit, Performance Share, Performance Unit, Cash Incentive Award, award contemplated by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4" w:lineRule="exact"/>
        <w:rPr>
          <w:rFonts w:ascii="Arial" w:cs="Arial" w:eastAsia="Arial" w:hAnsi="Arial"/>
          <w:sz w:val="16"/>
          <w:szCs w:val="16"/>
          <w:color w:val="auto"/>
        </w:rPr>
      </w:pPr>
    </w:p>
    <w:p>
      <w:pPr>
        <w:jc w:val="both"/>
        <w:ind w:left="648" w:hanging="324"/>
        <w:spacing w:after="0" w:line="281" w:lineRule="auto"/>
        <w:tabs>
          <w:tab w:leader="none" w:pos="64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The Committee may specify on the Date of Grant that part or all of the shares of Common Stock that are (i) to be issued or transferred by the Company upon the exercise of an Option Right or Appreciation Right,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will be subject to further restrictions on transfer.</w:t>
      </w:r>
    </w:p>
    <w:p>
      <w:pPr>
        <w:spacing w:after="0" w:line="2" w:lineRule="exact"/>
        <w:rPr>
          <w:rFonts w:ascii="Arial" w:cs="Arial" w:eastAsia="Arial" w:hAnsi="Arial"/>
          <w:sz w:val="16"/>
          <w:szCs w:val="16"/>
          <w:color w:val="auto"/>
        </w:rPr>
      </w:pPr>
    </w:p>
    <w:p>
      <w:pPr>
        <w:jc w:val="both"/>
        <w:ind w:left="328" w:hanging="328"/>
        <w:spacing w:after="0" w:line="265" w:lineRule="auto"/>
        <w:tabs>
          <w:tab w:leader="none" w:pos="328"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or other amounts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of Common Stock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amount that is withheld pursuant to this </w:t>
      </w:r>
      <w:r>
        <w:rPr>
          <w:rFonts w:ascii="Arial" w:cs="Arial" w:eastAsia="Arial" w:hAnsi="Arial"/>
          <w:sz w:val="17"/>
          <w:szCs w:val="17"/>
          <w:b w:val="1"/>
          <w:bCs w:val="1"/>
          <w:u w:val="single" w:color="auto"/>
          <w:color w:val="auto"/>
        </w:rPr>
        <w:t>Section 16</w:t>
      </w:r>
      <w:r>
        <w:rPr>
          <w:rFonts w:ascii="Arial" w:cs="Arial" w:eastAsia="Arial" w:hAnsi="Arial"/>
          <w:sz w:val="17"/>
          <w:szCs w:val="17"/>
          <w:color w:val="auto"/>
        </w:rPr>
        <w:t xml:space="preserve"> with respect to an employee to satisfy applicable withholding taxes in connection with the benefit exceed the maximum statutory tax rates applicable with respect to such employee regarding the applicable jurisdiction.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4" w:lineRule="exact"/>
        <w:rPr>
          <w:rFonts w:ascii="Arial" w:cs="Arial" w:eastAsia="Arial" w:hAnsi="Arial"/>
          <w:sz w:val="17"/>
          <w:szCs w:val="17"/>
          <w:color w:val="auto"/>
        </w:rPr>
      </w:pPr>
    </w:p>
    <w:p>
      <w:pPr>
        <w:ind w:left="328" w:hanging="328"/>
        <w:spacing w:after="0"/>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2"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88"/>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the Subsidiaries.</w:t>
      </w:r>
    </w:p>
    <w:p>
      <w:pPr>
        <w:spacing w:after="0" w:line="1" w:lineRule="exact"/>
        <w:rPr>
          <w:rFonts w:ascii="Arial" w:cs="Arial" w:eastAsia="Arial" w:hAnsi="Arial"/>
          <w:sz w:val="17"/>
          <w:szCs w:val="17"/>
          <w:color w:val="auto"/>
        </w:rPr>
      </w:pPr>
    </w:p>
    <w:p>
      <w:pPr>
        <w:jc w:val="both"/>
        <w:ind w:left="648" w:hanging="324"/>
        <w:spacing w:after="0" w:line="252" w:lineRule="auto"/>
        <w:tabs>
          <w:tab w:leader="none" w:pos="6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of the Code), (i) the Participant is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22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8"/>
          </w:cols>
          <w:pgMar w:left="572" w:top="611" w:right="239" w:bottom="1440" w:gutter="0" w:footer="0" w:header="0"/>
        </w:sectPr>
      </w:pPr>
    </w:p>
    <w:bookmarkStart w:id="112" w:name="page113"/>
    <w:bookmarkEnd w:id="112"/>
    <w:p>
      <w:pPr>
        <w:jc w:val="both"/>
        <w:ind w:left="648" w:hanging="324"/>
        <w:spacing w:after="0" w:line="253" w:lineRule="auto"/>
        <w:tabs>
          <w:tab w:leader="none" w:pos="6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Solely with respect to any award that constitutes nonqualified deferred compensation subject to Section 409A of the Code and that is payable on account of a Change of Control (including any installments or stream of payments that are accelerated on account of a Change of Control), a Change of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of Control for any purpose in respect of such award.</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and to the extent that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hanging="324"/>
        <w:spacing w:after="0"/>
        <w:tabs>
          <w:tab w:leader="none" w:pos="648"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The Board may at any time and from time to time amend this Plan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amendment to this Plan</w:t>
      </w:r>
    </w:p>
    <w:p>
      <w:pPr>
        <w:spacing w:after="0" w:line="20" w:lineRule="exact"/>
        <w:rPr>
          <w:rFonts w:ascii="Arial" w:cs="Arial" w:eastAsia="Arial" w:hAnsi="Arial"/>
          <w:sz w:val="17"/>
          <w:szCs w:val="17"/>
          <w:color w:val="auto"/>
        </w:rPr>
      </w:pPr>
    </w:p>
    <w:p>
      <w:pPr>
        <w:jc w:val="both"/>
        <w:ind w:left="648"/>
        <w:spacing w:after="0" w:line="250" w:lineRule="auto"/>
        <w:rPr>
          <w:rFonts w:ascii="Arial" w:cs="Arial" w:eastAsia="Arial" w:hAnsi="Arial"/>
          <w:sz w:val="17"/>
          <w:szCs w:val="17"/>
          <w:color w:val="auto"/>
        </w:rPr>
      </w:pPr>
      <w:r>
        <w:rPr>
          <w:rFonts w:ascii="Arial" w:cs="Arial" w:eastAsia="Arial" w:hAnsi="Arial"/>
          <w:sz w:val="18"/>
          <w:szCs w:val="18"/>
          <w:color w:val="auto"/>
        </w:rPr>
        <w:t>(i)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then, such amendment will be subject to Stockholder approval and will not be effective unless and until such approval has been obtained.</w:t>
      </w:r>
    </w:p>
    <w:p>
      <w:pPr>
        <w:spacing w:after="0" w:line="2" w:lineRule="exact"/>
        <w:rPr>
          <w:rFonts w:ascii="Arial" w:cs="Arial" w:eastAsia="Arial" w:hAnsi="Arial"/>
          <w:sz w:val="17"/>
          <w:szCs w:val="17"/>
          <w:color w:val="auto"/>
        </w:rPr>
      </w:pPr>
    </w:p>
    <w:p>
      <w:pPr>
        <w:jc w:val="both"/>
        <w:ind w:left="648" w:hanging="324"/>
        <w:spacing w:after="0" w:line="250" w:lineRule="auto"/>
        <w:tabs>
          <w:tab w:leader="none" w:pos="6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Except in connection with a corporate transaction or event described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or in connection with a Change of Control,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18"/>
          <w:szCs w:val="18"/>
          <w:b w:val="1"/>
          <w:bCs w:val="1"/>
          <w:u w:val="single" w:color="auto"/>
          <w:color w:val="auto"/>
        </w:rPr>
        <w:t>Section 18(b)</w:t>
      </w:r>
      <w:r>
        <w:rPr>
          <w:rFonts w:ascii="Arial" w:cs="Arial" w:eastAsia="Arial" w:hAnsi="Arial"/>
          <w:sz w:val="18"/>
          <w:szCs w:val="18"/>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Notwithstanding any provision of this Plan to the contrary, this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18(b)</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amended without approval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w:t>
      </w:r>
    </w:p>
    <w:p>
      <w:pPr>
        <w:spacing w:after="0" w:line="3"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If permitted by Section 409A of the Code and Section 162(m) of the Code, but subject to the paragraph that follows, including in the case of termination of employment or service by reason of death, disability or retirement, or in the case of unforeseeable emergency or other circumstances or in the event of a Change of Control, to the extent a Participant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other awards made pursuant to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of this Plan subject to any vesting schedule or transfer restriction, or who holds shares of Common Stock subject to any transfer restriction imposed pursuant to </w:t>
      </w:r>
      <w:r>
        <w:rPr>
          <w:rFonts w:ascii="Arial" w:cs="Arial" w:eastAsia="Arial" w:hAnsi="Arial"/>
          <w:sz w:val="17"/>
          <w:szCs w:val="17"/>
          <w:b w:val="1"/>
          <w:bCs w:val="1"/>
          <w:u w:val="single" w:color="auto"/>
          <w:color w:val="auto"/>
        </w:rPr>
        <w:t>Section 15(b)</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the Committee may, in its sole discretion, accelerate the time at which such Option Right, Appreciation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 may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 except in the case of a Qualified Performance-Based Award where such action would result in the loss of the otherwise available exemption of the award under Section 162(m) of the Code.</w:t>
      </w:r>
    </w:p>
    <w:p>
      <w:pPr>
        <w:spacing w:after="0" w:line="3" w:lineRule="exact"/>
        <w:rPr>
          <w:rFonts w:ascii="Arial" w:cs="Arial" w:eastAsia="Arial" w:hAnsi="Arial"/>
          <w:sz w:val="17"/>
          <w:szCs w:val="17"/>
          <w:color w:val="auto"/>
        </w:rPr>
      </w:pPr>
    </w:p>
    <w:p>
      <w:pPr>
        <w:jc w:val="both"/>
        <w:ind w:left="648" w:hanging="324"/>
        <w:spacing w:after="0" w:line="268" w:lineRule="auto"/>
        <w:tabs>
          <w:tab w:leader="none" w:pos="648"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of this Plan, the Committee may amend the terms of any award theretofore granted under this Plan prospectively or retroactively, except in the case of a Qualified Performance-Based Award (other than in connection with the Participant’s death or disability or a Change of Control) where such action would result in the loss of the otherwise available exemption of the award under Section 162(m) of the Code. In such case, the Committee will not make any modification of the Management Objectives or the level or levels of achievement with respect to such Qualified Performance-Based Award. Except for adjustments made pursuant to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 such amendment will impair or adversely impact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8"/>
          </w:cols>
          <w:pgMar w:left="572" w:top="584" w:right="239" w:bottom="1440" w:gutter="0" w:footer="0" w:header="0"/>
        </w:sectPr>
      </w:pPr>
    </w:p>
    <w:bookmarkStart w:id="113" w:name="page114"/>
    <w:bookmarkEnd w:id="113"/>
    <w:p>
      <w:pPr>
        <w:ind w:left="328" w:hanging="328"/>
        <w:spacing w:after="0" w:line="261" w:lineRule="auto"/>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Plan and all grants and awards and actions taken hereunder will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of the State of Delaware.</w:t>
      </w:r>
    </w:p>
    <w:p>
      <w:pPr>
        <w:jc w:val="both"/>
        <w:ind w:left="328" w:right="20" w:hanging="328"/>
        <w:spacing w:after="0" w:line="250" w:lineRule="auto"/>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Effective Date/Termination</w:t>
      </w:r>
      <w:r>
        <w:rPr>
          <w:rFonts w:ascii="Arial" w:cs="Arial" w:eastAsia="Arial" w:hAnsi="Arial"/>
          <w:sz w:val="18"/>
          <w:szCs w:val="18"/>
          <w:color w:val="auto"/>
        </w:rPr>
        <w:t>. This Plan will be effective as of the Effective Date. No grant will be made under this Plan on or after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Effective Date, but all grants made on or prior to such date will continue in effect thereafter subject to the terms thereof and of this Plan.</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shares of Common Stock pursuant to this Plan. The Committee may provide for the elimination of fractions or for the settlement of fractions in cash.</w:t>
      </w: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Except with respect to </w:t>
      </w:r>
      <w:r>
        <w:rPr>
          <w:rFonts w:ascii="Arial" w:cs="Arial" w:eastAsia="Arial" w:hAnsi="Arial"/>
          <w:sz w:val="17"/>
          <w:szCs w:val="17"/>
          <w:b w:val="1"/>
          <w:bCs w:val="1"/>
          <w:u w:val="single" w:color="auto"/>
          <w:color w:val="auto"/>
        </w:rPr>
        <w:t>Section 21(e)</w:t>
      </w:r>
      <w:r>
        <w:rPr>
          <w:rFonts w:ascii="Arial" w:cs="Arial" w:eastAsia="Arial" w:hAnsi="Arial"/>
          <w:sz w:val="17"/>
          <w:szCs w:val="17"/>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the Subsidiaries or otherwise permitted in accordance with applicable Company policies will not be considered interruption or termination of employment or service of any Participant for any purposes of this Plan or awards granted hereunder.</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 w:lineRule="exact"/>
        <w:rPr>
          <w:rFonts w:ascii="Arial" w:cs="Arial" w:eastAsia="Arial" w:hAnsi="Arial"/>
          <w:sz w:val="18"/>
          <w:szCs w:val="18"/>
          <w:color w:val="auto"/>
        </w:rPr>
      </w:pPr>
    </w:p>
    <w:p>
      <w:pPr>
        <w:jc w:val="both"/>
        <w:ind w:left="648" w:hanging="324"/>
        <w:spacing w:after="0" w:line="250"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payment or crediting of dividend equivalents or interest on the deferral amounts.</w:t>
      </w:r>
    </w:p>
    <w:p>
      <w:pPr>
        <w:spacing w:after="0" w:line="1" w:lineRule="exact"/>
        <w:rPr>
          <w:rFonts w:ascii="Arial" w:cs="Arial" w:eastAsia="Arial" w:hAnsi="Arial"/>
          <w:sz w:val="18"/>
          <w:szCs w:val="18"/>
          <w:color w:val="auto"/>
        </w:rPr>
      </w:pPr>
    </w:p>
    <w:p>
      <w:pPr>
        <w:jc w:val="both"/>
        <w:ind w:left="648" w:hanging="324"/>
        <w:spacing w:after="0" w:line="265" w:lineRule="auto"/>
        <w:tabs>
          <w:tab w:leader="none" w:pos="648"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w:t>
      </w:r>
    </w:p>
    <w:p>
      <w:pPr>
        <w:jc w:val="both"/>
        <w:ind w:left="648" w:hanging="324"/>
        <w:spacing w:after="0" w:line="265" w:lineRule="auto"/>
        <w:tabs>
          <w:tab w:leader="none" w:pos="648" w:val="left"/>
        </w:tabs>
        <w:numPr>
          <w:ilvl w:val="1"/>
          <w:numId w:val="91"/>
        </w:numPr>
        <w:rPr>
          <w:rFonts w:ascii="Arial" w:cs="Arial" w:eastAsia="Arial" w:hAnsi="Arial"/>
          <w:sz w:val="17"/>
          <w:szCs w:val="17"/>
          <w:color w:val="auto"/>
        </w:rPr>
      </w:pPr>
      <w:r>
        <w:rPr>
          <w:rFonts w:ascii="Arial" w:cs="Arial" w:eastAsia="Arial" w:hAnsi="Arial"/>
          <w:sz w:val="17"/>
          <w:szCs w:val="17"/>
          <w:color w:val="auto"/>
        </w:rPr>
        <w:t>Unless otherwise indicated to the contrary herein by the context or use thereof, for purposes of this Plan and any Evidence of Award, (i) any reference to any federal, state, local or foreign statute or law will be deemed also to refer to all rules and regulations promulgated thereunder, (ii) the meanings given to terms defined herein will be equally applicable to both the singular and plural forms of such terms and (iii) the words “include,” “includes” and “including” will be deemed to be followed by the phrase “without limitation”.</w:t>
      </w:r>
    </w:p>
    <w:p>
      <w:pPr>
        <w:ind w:left="328" w:right="20" w:hanging="328"/>
        <w:spacing w:after="0" w:line="250" w:lineRule="auto"/>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Stock-Based Awards in Substitution for Option Rights or Awards Granted by Another Company</w:t>
      </w:r>
      <w:r>
        <w:rPr>
          <w:rFonts w:ascii="Arial" w:cs="Arial" w:eastAsia="Arial" w:hAnsi="Arial"/>
          <w:sz w:val="18"/>
          <w:szCs w:val="18"/>
          <w:color w:val="auto"/>
        </w:rPr>
        <w:t>. Notwithstanding anything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Plan:</w:t>
      </w:r>
    </w:p>
    <w:p>
      <w:pPr>
        <w:jc w:val="both"/>
        <w:ind w:left="648" w:hanging="324"/>
        <w:spacing w:after="0" w:line="265" w:lineRule="auto"/>
        <w:tabs>
          <w:tab w:leader="none" w:pos="648" w:val="left"/>
        </w:tabs>
        <w:numPr>
          <w:ilvl w:val="1"/>
          <w:numId w:val="91"/>
        </w:numPr>
        <w:rPr>
          <w:rFonts w:ascii="Arial" w:cs="Arial" w:eastAsia="Arial" w:hAnsi="Arial"/>
          <w:sz w:val="17"/>
          <w:szCs w:val="17"/>
          <w:color w:val="auto"/>
        </w:rPr>
      </w:pPr>
      <w:r>
        <w:rPr>
          <w:rFonts w:ascii="Arial" w:cs="Arial" w:eastAsia="Arial" w:hAnsi="Arial"/>
          <w:sz w:val="17"/>
          <w:szCs w:val="17"/>
          <w:color w:val="auto"/>
        </w:rPr>
        <w:t>Awards may be granted under this Plan in substitution for or in conversion of, or in connection with an assumption of, stock options, stock appreciation rights, restricted shares,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of Common Stock subject to the original awards, as well as any exercise or purchase prices applicable to the original awards, adjusted to account for differences in stock prices in connection with the transaction.</w:t>
      </w:r>
    </w:p>
    <w:p>
      <w:pPr>
        <w:spacing w:after="0" w:line="1" w:lineRule="exact"/>
        <w:rPr>
          <w:rFonts w:ascii="Arial" w:cs="Arial" w:eastAsia="Arial" w:hAnsi="Arial"/>
          <w:sz w:val="17"/>
          <w:szCs w:val="17"/>
          <w:color w:val="auto"/>
        </w:rPr>
      </w:pPr>
    </w:p>
    <w:p>
      <w:pPr>
        <w:jc w:val="both"/>
        <w:ind w:left="648" w:hanging="324"/>
        <w:spacing w:after="0" w:line="292" w:lineRule="auto"/>
        <w:tabs>
          <w:tab w:leader="none" w:pos="648"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may not be made after the date awards or grants could have been made under the terms of the pre-existing plan absent the acquisition</w:t>
      </w:r>
    </w:p>
    <w:p>
      <w:pPr>
        <w:spacing w:after="0" w:line="19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8"/>
          </w:cols>
          <w:pgMar w:left="572" w:top="580" w:right="239" w:bottom="1440" w:gutter="0" w:footer="0" w:header="0"/>
        </w:sectPr>
      </w:pPr>
    </w:p>
    <w:bookmarkStart w:id="114" w:name="page115"/>
    <w:bookmarkEnd w:id="114"/>
    <w:p>
      <w:pPr>
        <w:ind w:left="324"/>
        <w:spacing w:after="0" w:line="282" w:lineRule="auto"/>
        <w:rPr>
          <w:sz w:val="20"/>
          <w:szCs w:val="20"/>
          <w:color w:val="auto"/>
        </w:rPr>
      </w:pPr>
      <w:r>
        <w:rPr>
          <w:rFonts w:ascii="Arial" w:cs="Arial" w:eastAsia="Arial" w:hAnsi="Arial"/>
          <w:sz w:val="18"/>
          <w:szCs w:val="18"/>
          <w:color w:val="auto"/>
        </w:rPr>
        <w:t>or merger and may only be made to individuals who were not employees or directors of the Company or any Subsidiary prior to such acquisition or merger.</w:t>
      </w:r>
    </w:p>
    <w:p>
      <w:pPr>
        <w:spacing w:after="0" w:line="1" w:lineRule="exact"/>
        <w:rPr>
          <w:sz w:val="20"/>
          <w:szCs w:val="20"/>
          <w:color w:val="auto"/>
        </w:rPr>
      </w:pPr>
    </w:p>
    <w:p>
      <w:pPr>
        <w:jc w:val="both"/>
        <w:ind w:left="324" w:hanging="324"/>
        <w:spacing w:after="0" w:line="271" w:lineRule="auto"/>
        <w:tabs>
          <w:tab w:leader="none" w:pos="324"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Any shares of Common Stock that are issued or transferred by, or that are subject to any awards that are granted by, or become obligations of, the Company under </w:t>
      </w:r>
      <w:r>
        <w:rPr>
          <w:rFonts w:ascii="Arial" w:cs="Arial" w:eastAsia="Arial" w:hAnsi="Arial"/>
          <w:sz w:val="17"/>
          <w:szCs w:val="17"/>
          <w:b w:val="1"/>
          <w:bCs w:val="1"/>
          <w:u w:val="single" w:color="auto"/>
          <w:color w:val="auto"/>
        </w:rPr>
        <w:t>Section 22(a)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22(b)</w:t>
      </w:r>
      <w:r>
        <w:rPr>
          <w:rFonts w:ascii="Arial" w:cs="Arial" w:eastAsia="Arial" w:hAnsi="Arial"/>
          <w:sz w:val="17"/>
          <w:szCs w:val="17"/>
          <w:color w:val="auto"/>
        </w:rPr>
        <w:t xml:space="preserve"> of this Plan will not reduce the shares of Common Stock available for issuance or transfer under this Plan or otherwise count against the limits contained in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of this Plan. In addition, no shares of Common Stock subject to an award that is granted by, or becomes an obligation of, the Company under </w:t>
      </w:r>
      <w:r>
        <w:rPr>
          <w:rFonts w:ascii="Arial" w:cs="Arial" w:eastAsia="Arial" w:hAnsi="Arial"/>
          <w:sz w:val="17"/>
          <w:szCs w:val="17"/>
          <w:b w:val="1"/>
          <w:bCs w:val="1"/>
          <w:u w:val="single" w:color="auto"/>
          <w:color w:val="auto"/>
        </w:rPr>
        <w:t>Section 22(a)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22(b)</w:t>
      </w:r>
      <w:r>
        <w:rPr>
          <w:rFonts w:ascii="Arial" w:cs="Arial" w:eastAsia="Arial" w:hAnsi="Arial"/>
          <w:sz w:val="17"/>
          <w:szCs w:val="17"/>
          <w:color w:val="auto"/>
        </w:rPr>
        <w:t xml:space="preserve"> of this Plan will be added to the aggregate limit contained in </w:t>
      </w:r>
      <w:r>
        <w:rPr>
          <w:rFonts w:ascii="Arial" w:cs="Arial" w:eastAsia="Arial" w:hAnsi="Arial"/>
          <w:sz w:val="17"/>
          <w:szCs w:val="17"/>
          <w:b w:val="1"/>
          <w:bCs w:val="1"/>
          <w:u w:val="single" w:color="auto"/>
          <w:color w:val="auto"/>
        </w:rPr>
        <w:t>Section 3(a)(i)</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in the following circumstances: (i) if such award is cancelled or forfeited, expires or is settled for cash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in part), (ii) if such shares of Common Stock are withheld by the Company, tendered or otherwise used in payment of the Option Price of an Option or to satisfy a tax withholding obligation with respect to any award or (iii) if such shares of Common Stock are not actually issued in connection with the settlement of an Appreciation Right on the exercise thereof.</w:t>
      </w:r>
    </w:p>
    <w:p>
      <w:pPr>
        <w:spacing w:after="0" w:line="200" w:lineRule="exact"/>
        <w:rPr>
          <w:sz w:val="20"/>
          <w:szCs w:val="20"/>
          <w:color w:val="auto"/>
        </w:rPr>
      </w:pPr>
    </w:p>
    <w:p>
      <w:pPr>
        <w:spacing w:after="0" w:line="2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4"/>
          </w:cols>
          <w:pgMar w:left="896" w:top="61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w:t>
      </w:r>
      <w:r>
        <w:rPr>
          <w:rFonts w:ascii="Arial" w:cs="Arial" w:eastAsia="Arial" w:hAnsi="Arial"/>
          <w:sz w:val="17"/>
          <w:szCs w:val="17"/>
          <w:b w:val="1"/>
          <w:bCs w:val="1"/>
          <w:color w:val="auto"/>
        </w:rPr>
        <w:t>[______________]</w:t>
      </w:r>
      <w:r>
        <w:rPr>
          <w:rFonts w:ascii="Arial" w:cs="Arial" w:eastAsia="Arial" w:hAnsi="Arial"/>
          <w:sz w:val="17"/>
          <w:szCs w:val="17"/>
          <w:color w:val="auto"/>
        </w:rPr>
        <w:t>, 20[ ]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between AGNC Investment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207" w:lineRule="exact"/>
        <w:rPr>
          <w:sz w:val="20"/>
          <w:szCs w:val="20"/>
          <w:color w:val="auto"/>
        </w:rPr>
      </w:pPr>
    </w:p>
    <w:p>
      <w:pPr>
        <w:ind w:left="660" w:right="640" w:hanging="328"/>
        <w:spacing w:after="0" w:line="26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Capitalized terms used, but not otherwise defined, in this Agreement will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2016 Equity and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As used in this Agreement:</w:t>
      </w:r>
    </w:p>
    <w:p>
      <w:pPr>
        <w:ind w:left="980" w:hanging="324"/>
        <w:spacing w:after="0"/>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980" w:right="520" w:hanging="324"/>
        <w:spacing w:after="0" w:line="250"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means the Amended and Restated Employment Agreement, entered into as of November 1, 2016, between the Manager and Grantee.</w:t>
      </w:r>
    </w:p>
    <w:p>
      <w:pPr>
        <w:ind w:left="980" w:hanging="324"/>
        <w:spacing w:after="0"/>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means AGNC Mortgage Management, LLC.</w:t>
      </w:r>
    </w:p>
    <w:p>
      <w:pPr>
        <w:spacing w:after="0" w:line="9" w:lineRule="exact"/>
        <w:rPr>
          <w:rFonts w:ascii="Arial" w:cs="Arial" w:eastAsia="Arial" w:hAnsi="Arial"/>
          <w:sz w:val="18"/>
          <w:szCs w:val="18"/>
          <w:color w:val="auto"/>
        </w:rPr>
      </w:pPr>
    </w:p>
    <w:p>
      <w:pPr>
        <w:ind w:left="980" w:right="380" w:hanging="324"/>
        <w:spacing w:after="0" w:line="265" w:lineRule="auto"/>
        <w:tabs>
          <w:tab w:leader="none" w:pos="9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Re-Externalization</w:t>
      </w:r>
      <w:r>
        <w:rPr>
          <w:rFonts w:ascii="Arial" w:cs="Arial" w:eastAsia="Arial" w:hAnsi="Arial"/>
          <w:sz w:val="17"/>
          <w:szCs w:val="17"/>
          <w:color w:val="auto"/>
        </w:rPr>
        <w:t>” means a sale, merger or other transaction that results in the transfer or issuance of a majority of the outstanding equity interests of the Manager or AGNC Management, LLC to a person or entity other than a Subsidiary of the Company.</w:t>
      </w:r>
    </w:p>
    <w:p>
      <w:pPr>
        <w:ind w:left="980" w:right="80" w:hanging="324"/>
        <w:spacing w:after="0" w:line="265" w:lineRule="auto"/>
        <w:tabs>
          <w:tab w:leader="none" w:pos="9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Award</w:t>
      </w:r>
      <w:r>
        <w:rPr>
          <w:rFonts w:ascii="Arial" w:cs="Arial" w:eastAsia="Arial" w:hAnsi="Arial"/>
          <w:sz w:val="17"/>
          <w:szCs w:val="17"/>
          <w:color w:val="auto"/>
        </w:rPr>
        <w:t>”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1(e) are satisfied will be made by the Committee, as constituted immediately prior to the Change of Control, in its sole discretion.</w:t>
      </w:r>
    </w:p>
    <w:p>
      <w:pPr>
        <w:spacing w:after="0" w:line="2" w:lineRule="exact"/>
        <w:rPr>
          <w:rFonts w:ascii="Arial" w:cs="Arial" w:eastAsia="Arial" w:hAnsi="Arial"/>
          <w:sz w:val="17"/>
          <w:szCs w:val="17"/>
          <w:color w:val="auto"/>
        </w:rPr>
      </w:pPr>
    </w:p>
    <w:p>
      <w:pPr>
        <w:ind w:left="980" w:hanging="324"/>
        <w:spacing w:after="0"/>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Grant of RSUs</w:t>
      </w:r>
      <w:r>
        <w:rPr>
          <w:rFonts w:ascii="Arial" w:cs="Arial" w:eastAsia="Arial" w:hAnsi="Arial"/>
          <w:sz w:val="18"/>
          <w:szCs w:val="18"/>
          <w:color w:val="auto"/>
        </w:rPr>
        <w:t>. Subject to and upon the terms, conditions and restrictions set forth in this Agreement and in the Plan, the Company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w:t>
      </w:r>
      <w:r>
        <w:rPr>
          <w:rFonts w:ascii="Arial" w:cs="Arial" w:eastAsia="Arial" w:hAnsi="Arial"/>
          <w:sz w:val="18"/>
          <w:szCs w:val="18"/>
          <w:b w:val="1"/>
          <w:bCs w:val="1"/>
          <w:color w:val="auto"/>
        </w:rPr>
        <w:t>[_____]</w:t>
      </w:r>
      <w:r>
        <w:rPr>
          <w:rFonts w:ascii="Arial" w:cs="Arial" w:eastAsia="Arial" w:hAnsi="Arial"/>
          <w:sz w:val="18"/>
          <w:szCs w:val="18"/>
          <w:color w:val="auto"/>
        </w:rPr>
        <w:t xml:space="preserve">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Each RSU shall represent the right of Grantee to receive one share of Common Stock subject to and upon the terms and conditions of this Agreement.</w:t>
      </w:r>
    </w:p>
    <w:p>
      <w:pPr>
        <w:spacing w:after="0" w:line="1"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Restrictions on Transfer of RSUs</w:t>
      </w:r>
      <w:r>
        <w:rPr>
          <w:rFonts w:ascii="Arial" w:cs="Arial" w:eastAsia="Arial" w:hAnsi="Arial"/>
          <w:sz w:val="16"/>
          <w:szCs w:val="16"/>
          <w:color w:val="auto"/>
        </w:rPr>
        <w:t>. Neither the RSUs evidenced hereby nor any interest therein or in the shares of Common Stock underlying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RSUs shall be transferable prior to payment to Grantee pursuant to Section 7 hereof, other than as described in Section 15 of the Plan.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The RSUs covered by this Agreement shall become nonforfeitable and payable to Grantee pursuant to Section 7 hereof with respect to one-</w:t>
      </w:r>
    </w:p>
    <w:p>
      <w:pPr>
        <w:spacing w:after="0" w:line="32" w:lineRule="exact"/>
        <w:rPr>
          <w:sz w:val="20"/>
          <w:szCs w:val="20"/>
          <w:color w:val="auto"/>
        </w:rPr>
      </w:pPr>
    </w:p>
    <w:p>
      <w:pPr>
        <w:ind w:left="660" w:right="120"/>
        <w:spacing w:after="0" w:line="250" w:lineRule="auto"/>
        <w:rPr>
          <w:sz w:val="20"/>
          <w:szCs w:val="20"/>
          <w:color w:val="auto"/>
        </w:rPr>
      </w:pPr>
      <w:r>
        <w:rPr>
          <w:rFonts w:ascii="Arial" w:cs="Arial" w:eastAsia="Arial" w:hAnsi="Arial"/>
          <w:sz w:val="18"/>
          <w:szCs w:val="18"/>
          <w:color w:val="auto"/>
        </w:rPr>
        <w:t>third (1/3) of the RSUs granted pursuant to this Agreement on each of [ ] if Grantee remains continuously employed by the Company or any of its Subsidiaries (or any of their successors) as of each such date.</w:t>
      </w:r>
    </w:p>
    <w:p>
      <w:pPr>
        <w:spacing w:after="0" w:line="1" w:lineRule="exact"/>
        <w:rPr>
          <w:sz w:val="20"/>
          <w:szCs w:val="20"/>
          <w:color w:val="auto"/>
        </w:rPr>
      </w:pPr>
    </w:p>
    <w:p>
      <w:pPr>
        <w:ind w:left="660" w:right="120" w:hanging="328"/>
        <w:spacing w:after="0" w:line="265"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Accelerated Vesting</w:t>
      </w:r>
      <w:r>
        <w:rPr>
          <w:rFonts w:ascii="Arial" w:cs="Arial" w:eastAsia="Arial" w:hAnsi="Arial"/>
          <w:sz w:val="17"/>
          <w:szCs w:val="17"/>
          <w:color w:val="auto"/>
        </w:rPr>
        <w:t>. Notwithstanding the provisions of Section 4 hereof, all of the RSUs covered by this Agreement that have not already vested</w:t>
      </w:r>
      <w:r>
        <w:rPr>
          <w:rFonts w:ascii="Arial" w:cs="Arial" w:eastAsia="Arial" w:hAnsi="Arial"/>
          <w:sz w:val="17"/>
          <w:szCs w:val="17"/>
          <w:b w:val="1"/>
          <w:bCs w:val="1"/>
          <w:color w:val="auto"/>
        </w:rPr>
        <w:t xml:space="preserve"> </w:t>
      </w:r>
      <w:r>
        <w:rPr>
          <w:rFonts w:ascii="Arial" w:cs="Arial" w:eastAsia="Arial" w:hAnsi="Arial"/>
          <w:sz w:val="17"/>
          <w:szCs w:val="17"/>
          <w:color w:val="auto"/>
        </w:rPr>
        <w:t>and become nonforfeitable pursuant to Section 4 hereof will become nonforfeitable and payable to Grantee pursuant to Section 7 hereof earlier than the time provided in Section 4 hereof upon the occurrence of the earliest of any of the following events:</w:t>
      </w:r>
    </w:p>
    <w:p>
      <w:pPr>
        <w:jc w:val="both"/>
        <w:ind w:left="980" w:right="20" w:hanging="324"/>
        <w:spacing w:after="0" w:line="281"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While Grantee is continuously employed by the Company or any of its Subsidiaries (or any of their successors), Grantee’s employment with the Company or any of its Subsidiaries (or any of their successors) terminates as a result of: (i) Grantee’s death, (ii) Grantee’s Disability (pursuant to subparagraph 5(b)(ii) of the Employment Agreement), (iii) a Termination Without Cause or (iv) a Termination For Good Reason.</w:t>
      </w:r>
    </w:p>
    <w:p>
      <w:pPr>
        <w:spacing w:after="0" w:line="2" w:lineRule="exact"/>
        <w:rPr>
          <w:rFonts w:ascii="Arial" w:cs="Arial" w:eastAsia="Arial" w:hAnsi="Arial"/>
          <w:sz w:val="16"/>
          <w:szCs w:val="16"/>
          <w:color w:val="auto"/>
        </w:rPr>
      </w:pPr>
    </w:p>
    <w:p>
      <w:pPr>
        <w:ind w:left="980" w:right="60" w:hanging="324"/>
        <w:spacing w:after="0" w:line="261"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While Grantee is continuously employed by the Company or any of its Subsidiaries (or any of their successors), a Change of Control occurs and a Replacement Award is not provided to Grantee on the date of such Change of Control.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16" w:name="page117"/>
    <w:bookmarkEnd w:id="116"/>
    <w:p>
      <w:pPr>
        <w:ind w:left="328" w:right="60" w:hanging="328"/>
        <w:spacing w:after="0" w:line="255"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to the extent the RSUs covered by this Agreement have become nonforfeitable pursuant to Section 4 or Section 5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Form and Time of Payment of RSUs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right="80" w:hanging="324"/>
        <w:spacing w:after="0" w:line="281" w:lineRule="auto"/>
        <w:tabs>
          <w:tab w:leader="none" w:pos="64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6"/>
          <w:szCs w:val="16"/>
          <w:color w:val="auto"/>
        </w:rPr>
      </w:pPr>
    </w:p>
    <w:p>
      <w:pPr>
        <w:ind w:left="648" w:hanging="324"/>
        <w:spacing w:after="0"/>
        <w:tabs>
          <w:tab w:leader="none" w:pos="648"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68" w:right="260" w:hanging="320"/>
        <w:spacing w:after="0" w:line="250" w:lineRule="auto"/>
        <w:tabs>
          <w:tab w:leader="none" w:pos="968" w:val="left"/>
        </w:tabs>
        <w:numPr>
          <w:ilvl w:val="2"/>
          <w:numId w:val="95"/>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4 hereof shall be paid within ten (10) days following the date on which such RSUs become nonforfeitable.</w:t>
      </w:r>
    </w:p>
    <w:p>
      <w:pPr>
        <w:ind w:left="968" w:hanging="320"/>
        <w:spacing w:after="0" w:line="250" w:lineRule="auto"/>
        <w:tabs>
          <w:tab w:leader="none" w:pos="968" w:val="left"/>
        </w:tabs>
        <w:numPr>
          <w:ilvl w:val="2"/>
          <w:numId w:val="95"/>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5(a) hereof shall be paid on the first payroll date following the 60th day after such termination of employment; provided that Grantee (or, if applicable, his estate) shall have first executed and not revoked the release described in subparagraph 6(f) of the Employment Agreement in accordance with the requirements of subparagraph 6(f) of the Employment Agreement; provided further that, for the avoidance of doubt, in no event shall such RSUs be paid to Grantee after March 15 of the calendar year following the calendar year in which such termination occurs.</w:t>
      </w:r>
    </w:p>
    <w:p>
      <w:pPr>
        <w:spacing w:after="0" w:line="2" w:lineRule="exact"/>
        <w:rPr>
          <w:rFonts w:ascii="Arial" w:cs="Arial" w:eastAsia="Arial" w:hAnsi="Arial"/>
          <w:sz w:val="18"/>
          <w:szCs w:val="18"/>
          <w:color w:val="auto"/>
        </w:rPr>
      </w:pPr>
    </w:p>
    <w:p>
      <w:pPr>
        <w:ind w:left="968" w:hanging="320"/>
        <w:spacing w:after="0"/>
        <w:tabs>
          <w:tab w:leader="none" w:pos="968" w:val="left"/>
        </w:tabs>
        <w:numPr>
          <w:ilvl w:val="2"/>
          <w:numId w:val="95"/>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5(b) shall be paid on the date of such Change of Control.</w:t>
      </w:r>
    </w:p>
    <w:p>
      <w:pPr>
        <w:spacing w:after="0" w:line="9" w:lineRule="exact"/>
        <w:rPr>
          <w:sz w:val="20"/>
          <w:szCs w:val="20"/>
          <w:color w:val="auto"/>
        </w:rPr>
      </w:pPr>
    </w:p>
    <w:p>
      <w:pPr>
        <w:ind w:left="8" w:right="320" w:firstLine="648"/>
        <w:spacing w:after="0" w:line="261" w:lineRule="auto"/>
        <w:rPr>
          <w:sz w:val="20"/>
          <w:szCs w:val="20"/>
          <w:color w:val="auto"/>
        </w:rPr>
      </w:pPr>
      <w:r>
        <w:rPr>
          <w:rFonts w:ascii="Arial" w:cs="Arial" w:eastAsia="Arial" w:hAnsi="Arial"/>
          <w:sz w:val="18"/>
          <w:szCs w:val="18"/>
          <w:color w:val="auto"/>
        </w:rPr>
        <w:t>Notwithstanding the foregoing, if Grantee has made a permitted deferral election with respect to any RSUs covered by this Agreement, such RSUs shall be paid at the time set forth in such deferral election.</w:t>
      </w:r>
    </w:p>
    <w:p>
      <w:pPr>
        <w:spacing w:after="0" w:line="180" w:lineRule="exact"/>
        <w:rPr>
          <w:sz w:val="20"/>
          <w:szCs w:val="20"/>
          <w:color w:val="auto"/>
        </w:rPr>
      </w:pPr>
    </w:p>
    <w:p>
      <w:pPr>
        <w:ind w:left="328" w:hanging="328"/>
        <w:spacing w:after="0"/>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Dividend Equivalents; Other Rights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648" w:right="20" w:hanging="324"/>
        <w:spacing w:after="0" w:line="281" w:lineRule="auto"/>
        <w:tabs>
          <w:tab w:leader="none" w:pos="648" w:val="left"/>
        </w:tabs>
        <w:numPr>
          <w:ilvl w:val="1"/>
          <w:numId w:val="96"/>
        </w:numPr>
        <w:rPr>
          <w:rFonts w:ascii="Arial" w:cs="Arial" w:eastAsia="Arial" w:hAnsi="Arial"/>
          <w:sz w:val="16"/>
          <w:szCs w:val="16"/>
          <w:color w:val="auto"/>
        </w:rPr>
      </w:pPr>
      <w:r>
        <w:rPr>
          <w:rFonts w:ascii="Arial" w:cs="Arial" w:eastAsia="Arial" w:hAnsi="Arial"/>
          <w:sz w:val="16"/>
          <w:szCs w:val="16"/>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6" w:lineRule="exact"/>
        <w:rPr>
          <w:rFonts w:ascii="Arial" w:cs="Arial" w:eastAsia="Arial" w:hAnsi="Arial"/>
          <w:sz w:val="16"/>
          <w:szCs w:val="16"/>
          <w:color w:val="auto"/>
        </w:rPr>
      </w:pPr>
    </w:p>
    <w:p>
      <w:pPr>
        <w:ind w:left="648" w:right="420" w:hanging="324"/>
        <w:spacing w:after="0" w:line="250" w:lineRule="auto"/>
        <w:tabs>
          <w:tab w:leader="none" w:pos="648" w:val="left"/>
        </w:tabs>
        <w:numPr>
          <w:ilvl w:val="1"/>
          <w:numId w:val="96"/>
        </w:numPr>
        <w:rPr>
          <w:rFonts w:ascii="Arial" w:cs="Arial" w:eastAsia="Arial" w:hAnsi="Arial"/>
          <w:sz w:val="18"/>
          <w:szCs w:val="18"/>
          <w:color w:val="auto"/>
        </w:rPr>
      </w:pPr>
      <w:r>
        <w:rPr>
          <w:rFonts w:ascii="Arial" w:cs="Arial" w:eastAsia="Arial" w:hAnsi="Arial"/>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8"/>
          <w:szCs w:val="18"/>
          <w:color w:val="auto"/>
        </w:rPr>
      </w:pPr>
    </w:p>
    <w:p>
      <w:pPr>
        <w:jc w:val="both"/>
        <w:ind w:left="648" w:right="300" w:hanging="324"/>
        <w:spacing w:after="0" w:line="281" w:lineRule="auto"/>
        <w:tabs>
          <w:tab w:leader="none" w:pos="648"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6"/>
          <w:szCs w:val="16"/>
          <w:color w:val="auto"/>
        </w:rPr>
      </w:pPr>
    </w:p>
    <w:p>
      <w:pPr>
        <w:ind w:left="328" w:right="100" w:hanging="328"/>
        <w:spacing w:after="0" w:line="250" w:lineRule="auto"/>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No Right to Future Awards or Employment</w:t>
      </w:r>
      <w:r>
        <w:rPr>
          <w:rFonts w:ascii="Arial" w:cs="Arial" w:eastAsia="Arial" w:hAnsi="Arial"/>
          <w:sz w:val="18"/>
          <w:szCs w:val="18"/>
          <w:color w:val="auto"/>
        </w:rPr>
        <w:t>. The grant of the RSUs under this Agreement to Grantee is a voluntary, discretionary award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2" w:lineRule="exact"/>
        <w:rPr>
          <w:rFonts w:ascii="Arial" w:cs="Arial" w:eastAsia="Arial" w:hAnsi="Arial"/>
          <w:sz w:val="18"/>
          <w:szCs w:val="18"/>
          <w:color w:val="auto"/>
        </w:rPr>
      </w:pPr>
    </w:p>
    <w:p>
      <w:pPr>
        <w:ind w:left="328" w:right="380" w:hanging="328"/>
        <w:spacing w:after="0" w:line="250" w:lineRule="auto"/>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number of shares of Common Stock issuable for each RSU and the other terms and conditions of the grant evidenced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adjustment as provided in Section 11 of the Plan.</w:t>
      </w:r>
    </w:p>
    <w:p>
      <w:pPr>
        <w:ind w:left="328" w:hanging="328"/>
        <w:spacing w:after="0" w:line="271" w:lineRule="auto"/>
        <w:tabs>
          <w:tab w:leader="none" w:pos="328"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or other amounts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Grantee may elect that all or any part of such withholding requirement be</w:t>
      </w:r>
    </w:p>
    <w:p>
      <w:pPr>
        <w:spacing w:after="0" w:line="20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580" w:right="259" w:bottom="1440" w:gutter="0" w:footer="0" w:header="0"/>
        </w:sectPr>
      </w:pPr>
    </w:p>
    <w:bookmarkStart w:id="117" w:name="page118"/>
    <w:bookmarkEnd w:id="117"/>
    <w:p>
      <w:pPr>
        <w:ind w:left="328" w:right="120"/>
        <w:spacing w:after="0" w:line="308" w:lineRule="auto"/>
        <w:rPr>
          <w:sz w:val="20"/>
          <w:szCs w:val="20"/>
          <w:color w:val="auto"/>
        </w:rPr>
      </w:pPr>
      <w:r>
        <w:rPr>
          <w:rFonts w:ascii="Arial" w:cs="Arial" w:eastAsia="Arial" w:hAnsi="Arial"/>
          <w:sz w:val="17"/>
          <w:szCs w:val="17"/>
          <w:color w:val="auto"/>
        </w:rPr>
        <w:t>satisfied by other means, including the retention by the Company of a portion of the shares of Common Stock to be delivered to Grantee or by delivering to the Company other shares of Common Stock held by Grantee (or proceeds from the sale thereof) or cash. If such election is made, the shares of Common Stock used for such withholding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3" w:lineRule="exact"/>
        <w:rPr>
          <w:sz w:val="20"/>
          <w:szCs w:val="20"/>
          <w:color w:val="auto"/>
        </w:rPr>
      </w:pPr>
    </w:p>
    <w:p>
      <w:pPr>
        <w:jc w:val="both"/>
        <w:ind w:left="328" w:right="440" w:hanging="328"/>
        <w:spacing w:after="0" w:line="270"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The Company shall make reasonable efforts to comply with all applicable federal and state securities laws;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Arial" w:cs="Arial" w:eastAsia="Arial" w:hAnsi="Arial"/>
          <w:sz w:val="17"/>
          <w:szCs w:val="17"/>
          <w:color w:val="auto"/>
        </w:rPr>
      </w:pPr>
    </w:p>
    <w:p>
      <w:pPr>
        <w:ind w:left="328" w:hanging="328"/>
        <w:spacing w:after="0" w:line="281" w:lineRule="auto"/>
        <w:tabs>
          <w:tab w:leader="none" w:pos="32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Clawback</w:t>
      </w:r>
      <w:r>
        <w:rPr>
          <w:rFonts w:ascii="Arial" w:cs="Arial" w:eastAsia="Arial" w:hAnsi="Arial"/>
          <w:sz w:val="16"/>
          <w:szCs w:val="16"/>
          <w:color w:val="auto"/>
        </w:rPr>
        <w:t>. The RSUs shall be subject to the Company’s Clawback Policy, as in effect on the Date of Grant, as may be amended or supplemented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In addition, in the event that Grantee breaches any provision of subparagraphs 7(a) and 7(b) of the Employment Agreement, Grantee shall forfeit any right to receive shares of Common Stock with respect to RSUs that have vested pursuant to Section 5(a)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6" w:lineRule="exact"/>
        <w:rPr>
          <w:rFonts w:ascii="Arial" w:cs="Arial" w:eastAsia="Arial" w:hAnsi="Arial"/>
          <w:sz w:val="16"/>
          <w:szCs w:val="16"/>
          <w:color w:val="auto"/>
        </w:rPr>
      </w:pPr>
    </w:p>
    <w:p>
      <w:pPr>
        <w:ind w:left="328" w:right="60" w:hanging="328"/>
        <w:spacing w:after="0" w:line="281" w:lineRule="auto"/>
        <w:tabs>
          <w:tab w:leader="none" w:pos="32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Relation to Other Benefits</w:t>
      </w:r>
      <w:r>
        <w:rPr>
          <w:rFonts w:ascii="Arial" w:cs="Arial" w:eastAsia="Arial" w:hAnsi="Arial"/>
          <w:sz w:val="16"/>
          <w:szCs w:val="16"/>
          <w:color w:val="auto"/>
        </w:rPr>
        <w:t>. Any economic or other benefit to Grantee under this Agreement or the Plan shall not be taken into account in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6"/>
          <w:szCs w:val="16"/>
          <w:color w:val="auto"/>
        </w:rPr>
      </w:pPr>
    </w:p>
    <w:p>
      <w:pPr>
        <w:ind w:left="328" w:right="80" w:hanging="328"/>
        <w:spacing w:after="0" w:line="281" w:lineRule="auto"/>
        <w:tabs>
          <w:tab w:leader="none" w:pos="32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amendment to the Plan shall be deemed to be an amendment to this Agreement to the extent that the amendment is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4(g) of the Employment Agreement.</w:t>
      </w:r>
    </w:p>
    <w:p>
      <w:pPr>
        <w:spacing w:after="0" w:line="4" w:lineRule="exact"/>
        <w:rPr>
          <w:rFonts w:ascii="Arial" w:cs="Arial" w:eastAsia="Arial" w:hAnsi="Arial"/>
          <w:sz w:val="16"/>
          <w:szCs w:val="16"/>
          <w:color w:val="auto"/>
        </w:rPr>
      </w:pPr>
    </w:p>
    <w:p>
      <w:pPr>
        <w:ind w:left="328"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8"/>
          <w:szCs w:val="18"/>
          <w:color w:val="auto"/>
        </w:rPr>
      </w:pPr>
    </w:p>
    <w:p>
      <w:pPr>
        <w:ind w:left="328" w:right="380" w:hanging="328"/>
        <w:spacing w:after="0" w:line="250"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Relation to Plan</w:t>
      </w:r>
      <w:r>
        <w:rPr>
          <w:rFonts w:ascii="Arial" w:cs="Arial" w:eastAsia="Arial" w:hAnsi="Arial"/>
          <w:sz w:val="18"/>
          <w:szCs w:val="18"/>
          <w:color w:val="auto"/>
        </w:rPr>
        <w:t>. This Agreement is subject to the terms and conditions of the Plan. To the extent not expressly set forth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Plan shall govern.</w:t>
      </w:r>
    </w:p>
    <w:p>
      <w:pPr>
        <w:ind w:left="328" w:right="200" w:hanging="328"/>
        <w:spacing w:after="0" w:line="281" w:lineRule="auto"/>
        <w:tabs>
          <w:tab w:leader="none" w:pos="328"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Grantee acknowledges that Grantee (a) has received a copy of the Plan, (b) has had an opportunity to review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(c) understands the terms and conditions of this Agreement and the Plan and (d) agrees to such terms and conditions.</w:t>
      </w:r>
    </w:p>
    <w:p>
      <w:pPr>
        <w:spacing w:after="0" w:line="1" w:lineRule="exact"/>
        <w:rPr>
          <w:rFonts w:ascii="Arial" w:cs="Arial" w:eastAsia="Arial" w:hAnsi="Arial"/>
          <w:sz w:val="16"/>
          <w:szCs w:val="16"/>
          <w:color w:val="auto"/>
        </w:rPr>
      </w:pPr>
    </w:p>
    <w:p>
      <w:pPr>
        <w:ind w:left="328" w:right="120" w:hanging="328"/>
        <w:spacing w:after="0" w:line="265"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Without limiting Section 3 hereof, the provisions of this Agreement shall inure to the benefit of, and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administrators, heirs, legal representatives and assigns of Grantee, and the successors and assigns of the Company.</w:t>
      </w:r>
    </w:p>
    <w:p>
      <w:pPr>
        <w:ind w:left="328" w:right="340" w:hanging="328"/>
        <w:spacing w:after="0" w:line="265" w:lineRule="auto"/>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in accordance with the internal substantive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giving effect to any principle of law that would result in the application of the law of any other jurisdiction.</w:t>
      </w:r>
    </w:p>
    <w:p>
      <w:pPr>
        <w:ind w:left="328" w:right="20" w:hanging="328"/>
        <w:spacing w:after="0" w:line="252"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the Company provided for herein shall be in writing (including electronically) to the Company, marked Attention: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2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8"/>
          </w:cols>
          <w:pgMar w:left="572" w:top="611" w:right="279" w:bottom="1440" w:gutter="0" w:footer="0" w:header="0"/>
        </w:sectPr>
      </w:pPr>
    </w:p>
    <w:bookmarkStart w:id="118" w:name="page119"/>
    <w:bookmarkEnd w:id="118"/>
    <w:p>
      <w:pPr>
        <w:ind w:left="328" w:hanging="328"/>
        <w:spacing w:after="0" w:line="255" w:lineRule="auto"/>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the RSUs and Grantee’s participation in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Arial" w:cs="Arial" w:eastAsia="Arial" w:hAnsi="Arial"/>
          <w:sz w:val="18"/>
          <w:szCs w:val="18"/>
          <w:color w:val="auto"/>
        </w:rPr>
      </w:pPr>
    </w:p>
    <w:p>
      <w:pPr>
        <w:ind w:left="328" w:hanging="328"/>
        <w:spacing w:after="0" w:line="281" w:lineRule="auto"/>
        <w:tabs>
          <w:tab w:leader="none" w:pos="328"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To the extent applicable, it is intended that this Agreement and the Plan comply with or be exempt from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5" w:lineRule="exact"/>
        <w:rPr>
          <w:rFonts w:ascii="Arial" w:cs="Arial" w:eastAsia="Arial" w:hAnsi="Arial"/>
          <w:sz w:val="16"/>
          <w:szCs w:val="16"/>
          <w:color w:val="auto"/>
        </w:rPr>
      </w:pPr>
    </w:p>
    <w:p>
      <w:pPr>
        <w:ind w:left="328" w:hanging="328"/>
        <w:spacing w:after="0"/>
        <w:tabs>
          <w:tab w:leader="none" w:pos="328"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one or more counterparts (including facsimile and other electronically transmitted counterparts),</w:t>
      </w:r>
    </w:p>
    <w:p>
      <w:pPr>
        <w:spacing w:after="0" w:line="3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each of which shall be deemed to be an original but all of which together will constitute one and the same agreement.</w:t>
      </w:r>
    </w:p>
    <w:p>
      <w:pPr>
        <w:spacing w:after="0" w:line="9" w:lineRule="exact"/>
        <w:rPr>
          <w:sz w:val="20"/>
          <w:szCs w:val="20"/>
          <w:color w:val="auto"/>
        </w:rPr>
      </w:pPr>
    </w:p>
    <w:p>
      <w:pPr>
        <w:ind w:left="3728"/>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580" w:right="259" w:bottom="1440" w:gutter="0" w:footer="0" w:header="0"/>
        </w:sectPr>
      </w:pPr>
    </w:p>
    <w:bookmarkStart w:id="119" w:name="page120"/>
    <w:bookmarkEnd w:id="119"/>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Grantee has executed this Agreement, as of the Date of Grant.</w:t>
      </w: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584" w:right="6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10.9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PERFORMANCE-BASED RESTRICTED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w:t>
      </w:r>
      <w:r>
        <w:rPr>
          <w:rFonts w:ascii="Arial" w:cs="Arial" w:eastAsia="Arial" w:hAnsi="Arial"/>
          <w:sz w:val="17"/>
          <w:szCs w:val="17"/>
          <w:b w:val="1"/>
          <w:bCs w:val="1"/>
          <w:color w:val="auto"/>
        </w:rPr>
        <w:t>[______________]</w:t>
      </w:r>
      <w:r>
        <w:rPr>
          <w:rFonts w:ascii="Arial" w:cs="Arial" w:eastAsia="Arial" w:hAnsi="Arial"/>
          <w:sz w:val="17"/>
          <w:szCs w:val="17"/>
          <w:color w:val="auto"/>
        </w:rPr>
        <w:t>, 20[ ]</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AGNC Investment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207" w:lineRule="exact"/>
        <w:rPr>
          <w:sz w:val="20"/>
          <w:szCs w:val="20"/>
          <w:color w:val="auto"/>
        </w:rPr>
      </w:pPr>
    </w:p>
    <w:p>
      <w:pPr>
        <w:ind w:left="660" w:right="640" w:hanging="328"/>
        <w:spacing w:after="0" w:line="261"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Capitalized terms used, but not otherwise defined, in this Agreement will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2016 Equity and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As used in this Agreement:</w:t>
      </w:r>
    </w:p>
    <w:p>
      <w:pPr>
        <w:ind w:left="980" w:hanging="324"/>
        <w:spacing w:after="0"/>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980" w:right="520" w:hanging="324"/>
        <w:spacing w:after="0" w:line="250"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means the Amended and Restated Employment Agreement, entered into as of November 1, 2016, between the Manager and Grantee.</w:t>
      </w:r>
    </w:p>
    <w:p>
      <w:pPr>
        <w:ind w:left="980" w:hanging="324"/>
        <w:spacing w:after="0"/>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means AGNC Mortgage Management, LLC.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 ].</w:t>
      </w:r>
    </w:p>
    <w:p>
      <w:pPr>
        <w:spacing w:after="0" w:line="9" w:lineRule="exact"/>
        <w:rPr>
          <w:rFonts w:ascii="Arial" w:cs="Arial" w:eastAsia="Arial" w:hAnsi="Arial"/>
          <w:sz w:val="18"/>
          <w:szCs w:val="18"/>
          <w:color w:val="auto"/>
        </w:rPr>
      </w:pPr>
    </w:p>
    <w:p>
      <w:pPr>
        <w:ind w:left="980" w:right="380" w:hanging="324"/>
        <w:spacing w:after="0" w:line="265" w:lineRule="auto"/>
        <w:tabs>
          <w:tab w:leader="none" w:pos="9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Re-Externalization</w:t>
      </w:r>
      <w:r>
        <w:rPr>
          <w:rFonts w:ascii="Arial" w:cs="Arial" w:eastAsia="Arial" w:hAnsi="Arial"/>
          <w:sz w:val="17"/>
          <w:szCs w:val="17"/>
          <w:color w:val="auto"/>
        </w:rPr>
        <w:t>” means a sale, merger or other transaction that results in the transfer or issuance of a majority of the outstanding equity interests of the Manager or AGNC Management, LLC to a person or entity other than a Subsidiary of the Company.</w:t>
      </w:r>
    </w:p>
    <w:p>
      <w:pPr>
        <w:ind w:left="980" w:right="140" w:hanging="324"/>
        <w:spacing w:after="0" w:line="281" w:lineRule="auto"/>
        <w:tabs>
          <w:tab w:leader="none" w:pos="9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Award</w:t>
      </w:r>
      <w:r>
        <w:rPr>
          <w:rFonts w:ascii="Arial" w:cs="Arial" w:eastAsia="Arial" w:hAnsi="Arial"/>
          <w:sz w:val="16"/>
          <w:szCs w:val="16"/>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day</w:t>
      </w:r>
    </w:p>
    <w:p>
      <w:pPr>
        <w:spacing w:after="0" w:line="1" w:lineRule="exact"/>
        <w:rPr>
          <w:sz w:val="20"/>
          <w:szCs w:val="20"/>
          <w:color w:val="auto"/>
        </w:rPr>
      </w:pPr>
    </w:p>
    <w:p>
      <w:pPr>
        <w:ind w:left="980" w:right="120"/>
        <w:spacing w:after="0" w:line="281" w:lineRule="auto"/>
        <w:rPr>
          <w:sz w:val="20"/>
          <w:szCs w:val="20"/>
          <w:color w:val="auto"/>
        </w:rPr>
      </w:pPr>
      <w:r>
        <w:rPr>
          <w:rFonts w:ascii="Arial" w:cs="Arial" w:eastAsia="Arial" w:hAnsi="Arial"/>
          <w:sz w:val="16"/>
          <w:szCs w:val="16"/>
          <w:color w:val="auto"/>
        </w:rPr>
        <w:t xml:space="preserve">immediately prior to the Change of Control [(in the case of [ ], with the applicable required performance levels pro-rated based on the amount of time elapsed in the Performance Period, and in the case of [ ], as determined as of the end of the most recent quarter prior to the Change of Control for which the applicable data for the Peer Group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is publicly available)] As applicable by the Board or the Committee, (ii) that vests in full on the date set forth in Section 4, (iii) that relates to publicly traded equity securities of the Company or its successor in the Change of Control or another entity that is affiliated with the Company or its successor following the Change of Control,</w:t>
      </w:r>
    </w:p>
    <w:p>
      <w:pPr>
        <w:spacing w:after="0" w:line="3" w:lineRule="exact"/>
        <w:rPr>
          <w:sz w:val="20"/>
          <w:szCs w:val="20"/>
          <w:color w:val="auto"/>
        </w:rPr>
      </w:pPr>
    </w:p>
    <w:p>
      <w:pPr>
        <w:ind w:left="980" w:right="40"/>
        <w:spacing w:after="0" w:line="281" w:lineRule="auto"/>
        <w:rPr>
          <w:sz w:val="20"/>
          <w:szCs w:val="20"/>
          <w:color w:val="auto"/>
        </w:rPr>
      </w:pPr>
      <w:r>
        <w:rPr>
          <w:rFonts w:ascii="Arial" w:cs="Arial" w:eastAsia="Arial" w:hAnsi="Arial"/>
          <w:sz w:val="16"/>
          <w:szCs w:val="16"/>
          <w:color w:val="auto"/>
        </w:rPr>
        <w:t>(iv) the tax consequences of which to Grantee under the Code are not less favorable to Grantee than the tax consequences of the RSUs covered by this Agreement and (v) the other terms and conditions of which are not less favorable to Grantee than the terms and conditions of the RSUs covered by this Agreement (including the provisions that would apply in the event of certain terminations of employment and a subsequent Change of Control or, if the surviving entity is internally managed, an externalization of management).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1(f) are satisfied will be made by the Committee, as constituted immediately prior to the Change of Control, in its sole discretion.</w:t>
      </w:r>
    </w:p>
    <w:p>
      <w:pPr>
        <w:spacing w:after="0" w:line="5" w:lineRule="exact"/>
        <w:rPr>
          <w:sz w:val="20"/>
          <w:szCs w:val="20"/>
          <w:color w:val="auto"/>
        </w:rPr>
      </w:pPr>
    </w:p>
    <w:p>
      <w:pPr>
        <w:ind w:left="980" w:hanging="324"/>
        <w:spacing w:after="0"/>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has the meaning set forth in the Employment Agreement.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Grant of RSUs</w:t>
      </w:r>
      <w:r>
        <w:rPr>
          <w:rFonts w:ascii="Arial" w:cs="Arial" w:eastAsia="Arial" w:hAnsi="Arial"/>
          <w:sz w:val="18"/>
          <w:szCs w:val="18"/>
          <w:color w:val="auto"/>
        </w:rPr>
        <w:t>. Subject to and upon the terms, conditions and restrictions set forth in this Agreement and in the Plan, the Company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a target number of </w:t>
      </w:r>
      <w:r>
        <w:rPr>
          <w:rFonts w:ascii="Arial" w:cs="Arial" w:eastAsia="Arial" w:hAnsi="Arial"/>
          <w:sz w:val="18"/>
          <w:szCs w:val="18"/>
          <w:b w:val="1"/>
          <w:bCs w:val="1"/>
          <w:color w:val="auto"/>
        </w:rPr>
        <w:t>[_____]</w:t>
      </w:r>
      <w:r>
        <w:rPr>
          <w:rFonts w:ascii="Arial" w:cs="Arial" w:eastAsia="Arial" w:hAnsi="Arial"/>
          <w:sz w:val="18"/>
          <w:szCs w:val="18"/>
          <w:color w:val="auto"/>
        </w:rPr>
        <w:t xml:space="preserve"> Restricted Stock Units (the “</w:t>
      </w:r>
      <w:r>
        <w:rPr>
          <w:rFonts w:ascii="Arial" w:cs="Arial" w:eastAsia="Arial" w:hAnsi="Arial"/>
          <w:sz w:val="18"/>
          <w:szCs w:val="18"/>
          <w:u w:val="single" w:color="auto"/>
          <w:color w:val="auto"/>
        </w:rPr>
        <w:t>Target Number of RSUs</w:t>
      </w:r>
      <w:r>
        <w:rPr>
          <w:rFonts w:ascii="Arial" w:cs="Arial" w:eastAsia="Arial" w:hAnsi="Arial"/>
          <w:sz w:val="18"/>
          <w:szCs w:val="18"/>
          <w:color w:val="auto"/>
        </w:rPr>
        <w:t xml:space="preserve">”) (with a maximum number of [_____] Restricted Stock Units to be potentially earned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Maximum Number of RSUs</w:t>
      </w:r>
      <w:r>
        <w:rPr>
          <w:rFonts w:ascii="Arial" w:cs="Arial" w:eastAsia="Arial" w:hAnsi="Arial"/>
          <w:sz w:val="18"/>
          <w:szCs w:val="18"/>
          <w:color w:val="auto"/>
        </w:rPr>
        <w:t>”, and all Restricted Stock Units covered by this Agreement, the “</w:t>
      </w:r>
      <w:r>
        <w:rPr>
          <w:rFonts w:ascii="Arial" w:cs="Arial" w:eastAsia="Arial" w:hAnsi="Arial"/>
          <w:sz w:val="18"/>
          <w:szCs w:val="18"/>
          <w:u w:val="single" w:color="auto"/>
          <w:color w:val="auto"/>
        </w:rPr>
        <w:t>RSUs</w:t>
      </w:r>
      <w:r>
        <w:rPr>
          <w:rFonts w:ascii="Arial" w:cs="Arial" w:eastAsia="Arial" w:hAnsi="Arial"/>
          <w:sz w:val="18"/>
          <w:szCs w:val="18"/>
          <w:color w:val="auto"/>
        </w:rPr>
        <w:t xml:space="preserve">”)), plus the related RSUs granted as dividend equivalents pursuant to the terms of Section 8(a), and subject to the terms and conditions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Each RSU shall represent the right of Grantee to receive one share of Common Stock subject to and upon the terms and conditions of this Agreement.</w:t>
      </w:r>
    </w:p>
    <w:p>
      <w:pPr>
        <w:spacing w:after="0" w:line="2"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Restrictions on Transfer of RSUs</w:t>
      </w:r>
      <w:r>
        <w:rPr>
          <w:rFonts w:ascii="Arial" w:cs="Arial" w:eastAsia="Arial" w:hAnsi="Arial"/>
          <w:sz w:val="16"/>
          <w:szCs w:val="16"/>
          <w:color w:val="auto"/>
        </w:rPr>
        <w:t>. Neither the RSUs evidenced hereby nor any interest therein or in the shares of Common Stock underlying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RSUs shall be transferable prior to payment to Grantee pursuant to Section 7 hereof, other than as described in Section 15 of the Plan.</w:t>
      </w:r>
    </w:p>
    <w:p>
      <w:pPr>
        <w:spacing w:after="0" w:line="1" w:lineRule="exact"/>
        <w:rPr>
          <w:sz w:val="20"/>
          <w:szCs w:val="20"/>
          <w:color w:val="auto"/>
        </w:rPr>
      </w:pPr>
    </w:p>
    <w:p>
      <w:pPr>
        <w:ind w:left="660" w:right="200" w:hanging="319"/>
        <w:spacing w:after="0" w:line="250" w:lineRule="auto"/>
        <w:tabs>
          <w:tab w:leader="none" w:pos="6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Vesting</w:t>
      </w:r>
      <w:r>
        <w:rPr>
          <w:rFonts w:ascii="Arial" w:cs="Arial" w:eastAsia="Arial" w:hAnsi="Arial"/>
          <w:sz w:val="18"/>
          <w:szCs w:val="18"/>
          <w:color w:val="auto"/>
        </w:rPr>
        <w:t>. The RSUs covered by this Agreement shall become nonforfeitable and payable to Grantee on [ ], provided that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has certified achievement of the applicable performance conditions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Grantee remains continuously employed by the Company or any of its Subsidiaries (or any of their successors) through such date.</w:t>
      </w:r>
    </w:p>
    <w:p>
      <w:pPr>
        <w:spacing w:after="0" w:line="1" w:lineRule="exact"/>
        <w:rPr>
          <w:sz w:val="20"/>
          <w:szCs w:val="20"/>
          <w:color w:val="auto"/>
        </w:rPr>
      </w:pPr>
    </w:p>
    <w:p>
      <w:pPr>
        <w:ind w:left="660" w:right="420" w:hanging="328"/>
        <w:spacing w:after="0" w:line="261"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Accelerated Vesting</w:t>
      </w:r>
      <w:r>
        <w:rPr>
          <w:rFonts w:ascii="Arial" w:cs="Arial" w:eastAsia="Arial" w:hAnsi="Arial"/>
          <w:sz w:val="18"/>
          <w:szCs w:val="18"/>
          <w:color w:val="auto"/>
        </w:rPr>
        <w:t>. Notwithstanding the provisions of Section 4 hereof, the RSUs covered by this Agreement will become nonforfeitable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Grantee upon the occurrence of the earliest of any of the following events: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21" w:name="page122"/>
    <w:bookmarkEnd w:id="121"/>
    <w:p>
      <w:pPr>
        <w:ind w:left="648" w:right="80" w:hanging="324"/>
        <w:spacing w:after="0" w:line="285" w:lineRule="auto"/>
        <w:tabs>
          <w:tab w:leader="none" w:pos="64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If, while Grantee is continuously employed by the Company or any of its Subsidiaries (or any of their successors), a Change of Control occurs and a Replacement Award is not provided to Grantee on the date of such Change of Control, the number of RSUs that will become nonforfeitable and payable to Grantee shall equal the number of RSUs that Grantee would be entitled to receive based on actual achievement of the performance conditions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day immediately prior to the Change of Control [(in the case of [ ], with the applicable required performance levels pro-rated based on the amount of time elapsed in the Performance Period, and in the case of [ ], as</w:t>
      </w:r>
    </w:p>
    <w:p>
      <w:pPr>
        <w:spacing w:after="0" w:line="2" w:lineRule="exact"/>
        <w:rPr>
          <w:sz w:val="20"/>
          <w:szCs w:val="20"/>
          <w:color w:val="auto"/>
        </w:rPr>
      </w:pPr>
    </w:p>
    <w:p>
      <w:pPr>
        <w:ind w:left="648" w:right="20"/>
        <w:spacing w:after="0" w:line="281" w:lineRule="auto"/>
        <w:rPr>
          <w:sz w:val="20"/>
          <w:szCs w:val="20"/>
          <w:color w:val="auto"/>
        </w:rPr>
      </w:pPr>
      <w:r>
        <w:rPr>
          <w:rFonts w:ascii="Arial" w:cs="Arial" w:eastAsia="Arial" w:hAnsi="Arial"/>
          <w:sz w:val="16"/>
          <w:szCs w:val="16"/>
          <w:color w:val="auto"/>
        </w:rPr>
        <w:t xml:space="preserve">determined as of the end of the most recent quarter prior to the Change of Control for which the applicable data for the Peer Group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is publicly available)] As applicable, as determined by the Board or the Committee. Such number of RSUs shall become nonforfeitable and payable to Grantee on the date of such Change of Control. Notwithstanding the foregoing, if the Change of Control occurs on</w:t>
      </w:r>
    </w:p>
    <w:p>
      <w:pPr>
        <w:sectPr>
          <w:pgSz w:w="11900" w:h="16838" w:orient="portrait"/>
          <w:cols w:equalWidth="0" w:num="1">
            <w:col w:w="11068"/>
          </w:cols>
          <w:pgMar w:left="572" w:top="584" w:right="259" w:bottom="1440" w:gutter="0" w:footer="0" w:header="0"/>
        </w:sectPr>
      </w:pPr>
    </w:p>
    <w:p>
      <w:pPr>
        <w:spacing w:after="0" w:line="2" w:lineRule="exact"/>
        <w:rPr>
          <w:sz w:val="20"/>
          <w:szCs w:val="20"/>
          <w:color w:val="auto"/>
        </w:rPr>
      </w:pPr>
    </w:p>
    <w:p>
      <w:pPr>
        <w:ind w:left="648"/>
        <w:spacing w:after="0"/>
        <w:tabs>
          <w:tab w:leader="none" w:pos="1787" w:val="left"/>
        </w:tabs>
        <w:rPr>
          <w:sz w:val="20"/>
          <w:szCs w:val="20"/>
          <w:color w:val="auto"/>
        </w:rPr>
      </w:pPr>
      <w:r>
        <w:rPr>
          <w:rFonts w:ascii="Arial" w:cs="Arial" w:eastAsia="Arial" w:hAnsi="Arial"/>
          <w:sz w:val="18"/>
          <w:szCs w:val="18"/>
          <w:color w:val="auto"/>
        </w:rPr>
        <w:t>or prior to[</w:t>
      </w:r>
      <w:r>
        <w:rPr>
          <w:sz w:val="20"/>
          <w:szCs w:val="20"/>
          <w:color w:val="auto"/>
        </w:rPr>
        <w:tab/>
      </w:r>
      <w:r>
        <w:rPr>
          <w:rFonts w:ascii="Arial" w:cs="Arial" w:eastAsia="Arial" w:hAnsi="Arial"/>
          <w:sz w:val="16"/>
          <w:szCs w:val="16"/>
          <w:color w:val="auto"/>
        </w:rPr>
        <w:t>], the number of RSUs that will become nonforfeitable and payable pursuant to this Section 5(a) shall not be less than the Target</w:t>
      </w:r>
    </w:p>
    <w:p>
      <w:pPr>
        <w:spacing w:after="0" w:line="9" w:lineRule="exact"/>
        <w:rPr>
          <w:sz w:val="20"/>
          <w:szCs w:val="20"/>
          <w:color w:val="auto"/>
        </w:rPr>
      </w:pPr>
    </w:p>
    <w:p>
      <w:pPr>
        <w:ind w:left="648"/>
        <w:spacing w:after="0"/>
        <w:rPr>
          <w:sz w:val="20"/>
          <w:szCs w:val="20"/>
          <w:color w:val="auto"/>
        </w:rPr>
      </w:pPr>
      <w:r>
        <w:rPr>
          <w:rFonts w:ascii="Arial" w:cs="Arial" w:eastAsia="Arial" w:hAnsi="Arial"/>
          <w:sz w:val="18"/>
          <w:szCs w:val="18"/>
          <w:color w:val="auto"/>
        </w:rPr>
        <w:t>Number of RSUs.</w:t>
      </w:r>
    </w:p>
    <w:p>
      <w:pPr>
        <w:spacing w:after="0" w:line="9" w:lineRule="exact"/>
        <w:rPr>
          <w:sz w:val="20"/>
          <w:szCs w:val="20"/>
          <w:color w:val="auto"/>
        </w:rPr>
      </w:pPr>
    </w:p>
    <w:p>
      <w:pPr>
        <w:ind w:left="328"/>
        <w:spacing w:after="0"/>
        <w:tabs>
          <w:tab w:leader="none" w:pos="9847" w:val="left"/>
        </w:tabs>
        <w:rPr>
          <w:sz w:val="20"/>
          <w:szCs w:val="20"/>
          <w:color w:val="auto"/>
        </w:rPr>
      </w:pPr>
      <w:r>
        <w:rPr>
          <w:rFonts w:ascii="Arial" w:cs="Arial" w:eastAsia="Arial" w:hAnsi="Arial"/>
          <w:sz w:val="18"/>
          <w:szCs w:val="18"/>
          <w:color w:val="auto"/>
        </w:rPr>
        <w:t>(b)  If Grantee’s employment with the Company or any of its Subsidiaries (or any of their successors) terminates on or prior to[</w:t>
      </w:r>
      <w:r>
        <w:rPr>
          <w:sz w:val="20"/>
          <w:szCs w:val="20"/>
          <w:color w:val="auto"/>
        </w:rPr>
        <w:tab/>
      </w:r>
      <w:r>
        <w:rPr>
          <w:rFonts w:ascii="Arial" w:cs="Arial" w:eastAsia="Arial" w:hAnsi="Arial"/>
          <w:sz w:val="16"/>
          <w:szCs w:val="16"/>
          <w:color w:val="auto"/>
        </w:rPr>
        <w:t>] as a result of:</w:t>
      </w:r>
    </w:p>
    <w:p>
      <w:pPr>
        <w:sectPr>
          <w:pgSz w:w="11900" w:h="16838" w:orient="portrait"/>
          <w:cols w:equalWidth="0" w:num="1">
            <w:col w:w="11068"/>
          </w:cols>
          <w:pgMar w:left="572" w:top="584" w:right="259" w:bottom="1440" w:gutter="0" w:footer="0" w:header="0"/>
          <w:type w:val="continuous"/>
        </w:sectPr>
      </w:pPr>
    </w:p>
    <w:p>
      <w:pPr>
        <w:spacing w:after="0" w:line="9" w:lineRule="exact"/>
        <w:rPr>
          <w:sz w:val="20"/>
          <w:szCs w:val="20"/>
          <w:color w:val="auto"/>
        </w:rPr>
      </w:pPr>
    </w:p>
    <w:p>
      <w:pPr>
        <w:ind w:left="648" w:right="100"/>
        <w:spacing w:after="0" w:line="265" w:lineRule="auto"/>
        <w:tabs>
          <w:tab w:leader="none" w:pos="86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Grantee’s death, (ii) Grantee’s Disability (pursuant to subparagraph 5(b)(ii) of the Employment Agreement), (iii) a Termination Without Cause or (iv) a Termination For Good Reason, the number of RSUs that will become nonforfeitable and payable to Grantee shall equal the greater of (A) the Target Number of RSUs and (B)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during the Performance Period, as determined by the Board or the Committee after the end of the Performance Period). Such number of RSUs shall become nonforfeitable and payable to Grantee on or before the first March 15 that follows the date on which the Board or Committee certifies achievement of the applicable performance conditions for the Performance Period.</w:t>
      </w:r>
    </w:p>
    <w:p>
      <w:pPr>
        <w:spacing w:after="0" w:line="2" w:lineRule="exact"/>
        <w:rPr>
          <w:sz w:val="20"/>
          <w:szCs w:val="20"/>
          <w:color w:val="auto"/>
        </w:rPr>
      </w:pPr>
    </w:p>
    <w:p>
      <w:pPr>
        <w:ind w:left="648" w:right="20" w:hanging="319"/>
        <w:spacing w:after="0" w:line="250" w:lineRule="auto"/>
        <w:tabs>
          <w:tab w:leader="none" w:pos="627" w:val="left"/>
        </w:tabs>
        <w:rPr>
          <w:sz w:val="20"/>
          <w:szCs w:val="20"/>
          <w:color w:val="auto"/>
        </w:rPr>
      </w:pPr>
      <w:r>
        <w:rPr>
          <w:rFonts w:ascii="Arial" w:cs="Arial" w:eastAsia="Arial" w:hAnsi="Arial"/>
          <w:sz w:val="18"/>
          <w:szCs w:val="18"/>
          <w:color w:val="auto"/>
        </w:rPr>
        <w:t>(c)</w:t>
        <w:tab/>
        <w:t xml:space="preserve">If Grantee’s employment with the Company or any of its Subsidiaries (or any of their successors) terminates at any time after [ ] as a result of: (i) Grantee’s death, (ii) Grantee’s Disability (pursuant to subparagraph 5(b)(ii) of the Employment Agreement), (iii) a Termination Without Cause or (iv) a Termination For Good Reason, the number of RSUs that will become nonforfeitable and payable to Grantee shall equal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during the Performance Period, as determined by the Board or the Committee after the end of the Performance Period). Such number of RSUs shall become nonforfeitable and payable to Grantee on or before the first March 15 that follows the date on which the Board or Committee certifies achievement of the applicable performance conditions for the Performance Period.</w:t>
      </w:r>
    </w:p>
    <w:p>
      <w:pPr>
        <w:spacing w:after="0" w:line="4" w:lineRule="exact"/>
        <w:rPr>
          <w:sz w:val="20"/>
          <w:szCs w:val="20"/>
          <w:color w:val="auto"/>
        </w:rPr>
      </w:pPr>
    </w:p>
    <w:p>
      <w:pPr>
        <w:ind w:left="328" w:right="60" w:hanging="328"/>
        <w:spacing w:after="0" w:line="250" w:lineRule="auto"/>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to the extent the RSUs covered by this Agreement have become nonforfeitable pursuant to Section 4 or Section 5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or any of its subsidiaries or any of their respective successors.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Form and Time of Payment of RSUs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right="80" w:hanging="324"/>
        <w:spacing w:after="0" w:line="281" w:lineRule="auto"/>
        <w:tabs>
          <w:tab w:leader="none" w:pos="648"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6"/>
          <w:szCs w:val="16"/>
          <w:color w:val="auto"/>
        </w:rPr>
      </w:pPr>
    </w:p>
    <w:p>
      <w:pPr>
        <w:ind w:left="648" w:hanging="324"/>
        <w:spacing w:after="0"/>
        <w:tabs>
          <w:tab w:leader="none" w:pos="648"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68" w:right="340" w:hanging="320"/>
        <w:spacing w:after="0" w:line="250" w:lineRule="auto"/>
        <w:tabs>
          <w:tab w:leader="none" w:pos="968"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RSUs that become nonforfeitable pursuant to Sections 4 hereof shall be paid within ten (10) days following the date on which such RSUs become nonforfeitable.</w:t>
      </w:r>
    </w:p>
    <w:p>
      <w:pPr>
        <w:ind w:left="968" w:hanging="320"/>
        <w:spacing w:after="0"/>
        <w:tabs>
          <w:tab w:leader="none" w:pos="968"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RSUs that become nonforfeitable pursuant to Section 5(a) hereof shall be paid on the date of such Change of Control.</w:t>
      </w:r>
    </w:p>
    <w:p>
      <w:pPr>
        <w:spacing w:after="0" w:line="9" w:lineRule="exact"/>
        <w:rPr>
          <w:rFonts w:ascii="Arial" w:cs="Arial" w:eastAsia="Arial" w:hAnsi="Arial"/>
          <w:sz w:val="18"/>
          <w:szCs w:val="18"/>
          <w:color w:val="auto"/>
        </w:rPr>
      </w:pPr>
    </w:p>
    <w:p>
      <w:pPr>
        <w:ind w:left="968" w:right="20" w:hanging="320"/>
        <w:spacing w:after="0" w:line="281" w:lineRule="auto"/>
        <w:tabs>
          <w:tab w:leader="none" w:pos="968"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RSUs that become nonforfeitable pursuant to Sections 5(b) and 5(c) hereof shall be paid on the first payroll date following the 60th day after the date such RSUs become nonforfeitable; provided that Grantee (or, if applicable, his estate) shall have first executed and not</w:t>
      </w:r>
    </w:p>
    <w:p>
      <w:pPr>
        <w:spacing w:after="0" w:line="1" w:lineRule="exact"/>
        <w:rPr>
          <w:sz w:val="20"/>
          <w:szCs w:val="20"/>
          <w:color w:val="auto"/>
        </w:rPr>
      </w:pPr>
    </w:p>
    <w:p>
      <w:pPr>
        <w:ind w:left="968"/>
        <w:spacing w:after="0" w:line="250" w:lineRule="auto"/>
        <w:rPr>
          <w:sz w:val="20"/>
          <w:szCs w:val="20"/>
          <w:color w:val="auto"/>
        </w:rPr>
      </w:pPr>
      <w:r>
        <w:rPr>
          <w:rFonts w:ascii="Arial" w:cs="Arial" w:eastAsia="Arial" w:hAnsi="Arial"/>
          <w:sz w:val="18"/>
          <w:szCs w:val="18"/>
          <w:color w:val="auto"/>
        </w:rPr>
        <w:t>revoked the release described in subparagraph 6(f) of the Employment Agreement in accordance with the requirements of subparagraph 6(f) of the Employment Agreement.</w:t>
      </w:r>
    </w:p>
    <w:p>
      <w:pPr>
        <w:spacing w:after="0" w:line="1" w:lineRule="exact"/>
        <w:rPr>
          <w:sz w:val="20"/>
          <w:szCs w:val="20"/>
          <w:color w:val="auto"/>
        </w:rPr>
      </w:pPr>
    </w:p>
    <w:p>
      <w:pPr>
        <w:ind w:left="8" w:right="320" w:firstLine="648"/>
        <w:spacing w:after="0" w:line="261" w:lineRule="auto"/>
        <w:rPr>
          <w:sz w:val="20"/>
          <w:szCs w:val="20"/>
          <w:color w:val="auto"/>
        </w:rPr>
      </w:pPr>
      <w:r>
        <w:rPr>
          <w:rFonts w:ascii="Arial" w:cs="Arial" w:eastAsia="Arial" w:hAnsi="Arial"/>
          <w:sz w:val="18"/>
          <w:szCs w:val="18"/>
          <w:color w:val="auto"/>
        </w:rPr>
        <w:t>Notwithstanding the foregoing, if Grantee has made a permitted deferral election with respect to any RSUs covered by this Agreement, such RSUs shall be paid at the time set forth in such deferral election.</w:t>
      </w:r>
    </w:p>
    <w:p>
      <w:pPr>
        <w:spacing w:after="0" w:line="180" w:lineRule="exact"/>
        <w:rPr>
          <w:sz w:val="20"/>
          <w:szCs w:val="20"/>
          <w:color w:val="auto"/>
        </w:rPr>
      </w:pPr>
    </w:p>
    <w:p>
      <w:pPr>
        <w:ind w:left="328" w:hanging="328"/>
        <w:spacing w:after="0"/>
        <w:tabs>
          <w:tab w:leader="none" w:pos="328"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Dividend Equivalents; Other Rights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648" w:right="820" w:hanging="324"/>
        <w:spacing w:after="0" w:line="261"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From and after the Date of Grant and until the earlier of (i) the time when the RSUs become nonforfeitable and are paid to Grantee in accordance with Section 7 hereof or (ii) the time when Grantee’s right to receive shares of</w:t>
      </w:r>
    </w:p>
    <w:p>
      <w:pPr>
        <w:spacing w:after="0" w:line="21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584" w:right="259" w:bottom="1440" w:gutter="0" w:footer="0" w:header="0"/>
          <w:type w:val="continuous"/>
        </w:sectPr>
      </w:pPr>
    </w:p>
    <w:bookmarkStart w:id="122" w:name="page123"/>
    <w:bookmarkEnd w:id="122"/>
    <w:p>
      <w:pPr>
        <w:ind w:left="648" w:right="100"/>
        <w:spacing w:after="0" w:line="293" w:lineRule="auto"/>
        <w:rPr>
          <w:sz w:val="20"/>
          <w:szCs w:val="20"/>
          <w:color w:val="auto"/>
        </w:rPr>
      </w:pPr>
      <w:r>
        <w:rPr>
          <w:rFonts w:ascii="Arial" w:cs="Arial" w:eastAsia="Arial" w:hAnsi="Arial"/>
          <w:sz w:val="18"/>
          <w:szCs w:val="18"/>
          <w:color w:val="auto"/>
        </w:rPr>
        <w:t>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5" w:lineRule="exact"/>
        <w:rPr>
          <w:sz w:val="20"/>
          <w:szCs w:val="20"/>
          <w:color w:val="auto"/>
        </w:rPr>
      </w:pPr>
    </w:p>
    <w:p>
      <w:pPr>
        <w:ind w:left="648" w:right="420" w:hanging="324"/>
        <w:spacing w:after="0" w:line="255" w:lineRule="auto"/>
        <w:tabs>
          <w:tab w:leader="none" w:pos="6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8"/>
          <w:szCs w:val="18"/>
          <w:color w:val="auto"/>
        </w:rPr>
      </w:pPr>
    </w:p>
    <w:p>
      <w:pPr>
        <w:jc w:val="both"/>
        <w:ind w:left="648" w:right="300" w:hanging="324"/>
        <w:spacing w:after="0" w:line="281" w:lineRule="auto"/>
        <w:tabs>
          <w:tab w:leader="none" w:pos="64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6"/>
          <w:szCs w:val="16"/>
          <w:color w:val="auto"/>
        </w:rPr>
      </w:pPr>
    </w:p>
    <w:p>
      <w:pPr>
        <w:ind w:left="328" w:right="100" w:hanging="328"/>
        <w:spacing w:after="0" w:line="250" w:lineRule="auto"/>
        <w:tabs>
          <w:tab w:leader="none" w:pos="328"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No Right to Future Awards or Employment</w:t>
      </w:r>
      <w:r>
        <w:rPr>
          <w:rFonts w:ascii="Arial" w:cs="Arial" w:eastAsia="Arial" w:hAnsi="Arial"/>
          <w:sz w:val="18"/>
          <w:szCs w:val="18"/>
          <w:color w:val="auto"/>
        </w:rPr>
        <w:t>. The grant of the RSUs under this Agreement to Grantee is a voluntary, discretionary award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2" w:lineRule="exact"/>
        <w:rPr>
          <w:rFonts w:ascii="Arial" w:cs="Arial" w:eastAsia="Arial" w:hAnsi="Arial"/>
          <w:sz w:val="18"/>
          <w:szCs w:val="18"/>
          <w:color w:val="auto"/>
        </w:rPr>
      </w:pPr>
    </w:p>
    <w:p>
      <w:pPr>
        <w:ind w:left="328" w:right="380" w:hanging="328"/>
        <w:spacing w:after="0" w:line="250" w:lineRule="auto"/>
        <w:tabs>
          <w:tab w:leader="none" w:pos="328"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number of shares of Common Stock issuable for each RSU and the other terms and conditions of the grant evidenced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adjustment as provided in Section 11 of the Plan.</w:t>
      </w:r>
    </w:p>
    <w:p>
      <w:pPr>
        <w:ind w:left="328" w:hanging="328"/>
        <w:spacing w:after="0" w:line="265" w:lineRule="auto"/>
        <w:tabs>
          <w:tab w:leader="none" w:pos="328"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or other amounts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Grantee may elect that all or any part of such withholding requirement be satisfied by other means, including the retention by the Company of a portion of the shares of Common Stock to be delivered to Grantee or by delivering to the Company other shares of Common Stock held by Grantee (or proceeds from the sale thereof) or cash. If such election is made, the shares of Common Stock used for such withholding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2" w:lineRule="exact"/>
        <w:rPr>
          <w:rFonts w:ascii="Arial" w:cs="Arial" w:eastAsia="Arial" w:hAnsi="Arial"/>
          <w:sz w:val="17"/>
          <w:szCs w:val="17"/>
          <w:color w:val="auto"/>
        </w:rPr>
      </w:pPr>
    </w:p>
    <w:p>
      <w:pPr>
        <w:jc w:val="both"/>
        <w:ind w:left="328" w:right="460" w:hanging="328"/>
        <w:spacing w:after="0" w:line="265" w:lineRule="auto"/>
        <w:tabs>
          <w:tab w:leader="none" w:pos="328"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The Company shall make reasonable efforts to comply with all applicable federal and state securities laws;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ind w:left="328" w:right="20" w:hanging="328"/>
        <w:spacing w:after="0" w:line="281" w:lineRule="auto"/>
        <w:tabs>
          <w:tab w:leader="none" w:pos="328"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Clawback</w:t>
      </w:r>
      <w:r>
        <w:rPr>
          <w:rFonts w:ascii="Arial" w:cs="Arial" w:eastAsia="Arial" w:hAnsi="Arial"/>
          <w:sz w:val="16"/>
          <w:szCs w:val="16"/>
          <w:color w:val="auto"/>
        </w:rPr>
        <w:t>. The RSUs shall be subject to the Company’s Clawback Policy, as in effect on the Date of Grant, as may be amended or supplemented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 In addition, in the event that Grantee breaches any provision of subparagraphs 7(a) and 7(b) of the Employment Agreement, Grantee shall forfeit any right to receive shares of Common Stock with respect to RSUs that have vested pursuant to Sections 5(b) or 5(c) hereof (to the extent such shares have not yet been delivered), and, in the event that such shares have been delivered, the Company shall be entitled to recoup such shares and the gross proceeds from any sale of such shares by Grantee. Such forfeiture or recoupment shall be in addition to, not in substitution of, any other remedies that the Company and its Subsidiaries may have with respect to such breach.</w:t>
      </w:r>
    </w:p>
    <w:p>
      <w:pPr>
        <w:spacing w:after="0" w:line="6" w:lineRule="exact"/>
        <w:rPr>
          <w:rFonts w:ascii="Arial" w:cs="Arial" w:eastAsia="Arial" w:hAnsi="Arial"/>
          <w:sz w:val="16"/>
          <w:szCs w:val="16"/>
          <w:color w:val="auto"/>
        </w:rPr>
      </w:pPr>
    </w:p>
    <w:p>
      <w:pPr>
        <w:ind w:left="328" w:right="80" w:hanging="328"/>
        <w:spacing w:after="0" w:line="295" w:lineRule="auto"/>
        <w:tabs>
          <w:tab w:leader="none" w:pos="328"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Relation to Other Benefits</w:t>
      </w:r>
      <w:r>
        <w:rPr>
          <w:rFonts w:ascii="Arial" w:cs="Arial" w:eastAsia="Arial" w:hAnsi="Arial"/>
          <w:sz w:val="16"/>
          <w:szCs w:val="16"/>
          <w:color w:val="auto"/>
        </w:rPr>
        <w:t>. Any economic or other benefit to Grantee under this Agreement or the Plan shall not be taken into account in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1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8"/>
          </w:cols>
          <w:pgMar w:left="572" w:top="611" w:right="259" w:bottom="1440" w:gutter="0" w:footer="0" w:header="0"/>
        </w:sectPr>
      </w:pPr>
    </w:p>
    <w:bookmarkStart w:id="123" w:name="page124"/>
    <w:bookmarkEnd w:id="123"/>
    <w:p>
      <w:pPr>
        <w:ind w:left="328" w:right="100" w:hanging="328"/>
        <w:spacing w:after="0" w:line="285" w:lineRule="auto"/>
        <w:tabs>
          <w:tab w:leader="none" w:pos="32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amendment to the Plan shall be deemed to be an amendment to this Agreement to the extent that the amendment is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 or as provided for in subparagraph 4(g) of the Employment Agreement.</w:t>
      </w:r>
    </w:p>
    <w:p>
      <w:pPr>
        <w:spacing w:after="0" w:line="1" w:lineRule="exact"/>
        <w:rPr>
          <w:rFonts w:ascii="Arial" w:cs="Arial" w:eastAsia="Arial" w:hAnsi="Arial"/>
          <w:sz w:val="16"/>
          <w:szCs w:val="16"/>
          <w:color w:val="auto"/>
        </w:rPr>
      </w:pPr>
    </w:p>
    <w:p>
      <w:pPr>
        <w:ind w:left="328" w:right="20" w:hanging="328"/>
        <w:spacing w:after="0" w:line="25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8"/>
          <w:szCs w:val="18"/>
          <w:color w:val="auto"/>
        </w:rPr>
      </w:pPr>
    </w:p>
    <w:p>
      <w:pPr>
        <w:ind w:left="328" w:right="400" w:hanging="328"/>
        <w:spacing w:after="0" w:line="25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Relation to Plan</w:t>
      </w:r>
      <w:r>
        <w:rPr>
          <w:rFonts w:ascii="Arial" w:cs="Arial" w:eastAsia="Arial" w:hAnsi="Arial"/>
          <w:sz w:val="18"/>
          <w:szCs w:val="18"/>
          <w:color w:val="auto"/>
        </w:rPr>
        <w:t>. This Agreement is subject to the terms and conditions of the Plan. To the extent not expressly set forth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Plan shall govern.</w:t>
      </w:r>
    </w:p>
    <w:p>
      <w:pPr>
        <w:ind w:left="328" w:right="220" w:hanging="328"/>
        <w:spacing w:after="0" w:line="281" w:lineRule="auto"/>
        <w:tabs>
          <w:tab w:leader="none" w:pos="32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Grantee acknowledges that Grantee (a) has received a copy of the Plan, (b) has had an opportunity to review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(c) understands the terms and conditions of this Agreement and the Plan and (d) agrees to such terms and conditions.</w:t>
      </w:r>
    </w:p>
    <w:p>
      <w:pPr>
        <w:spacing w:after="0" w:line="1" w:lineRule="exact"/>
        <w:rPr>
          <w:rFonts w:ascii="Arial" w:cs="Arial" w:eastAsia="Arial" w:hAnsi="Arial"/>
          <w:sz w:val="16"/>
          <w:szCs w:val="16"/>
          <w:color w:val="auto"/>
        </w:rPr>
      </w:pPr>
    </w:p>
    <w:p>
      <w:pPr>
        <w:ind w:left="328" w:right="140" w:hanging="328"/>
        <w:spacing w:after="0" w:line="265"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Without limiting Section 3 hereof, the provisions of this Agreement shall inure to the benefit of, and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administrators, heirs, legal representatives and assigns of Grantee, and the successors and assigns of the Company.</w:t>
      </w:r>
    </w:p>
    <w:p>
      <w:pPr>
        <w:ind w:left="328" w:right="360" w:hanging="328"/>
        <w:spacing w:after="0" w:line="265"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in accordance with the internal substantive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giving effect to any principle of law that would result in the application of the law of any other jurisdiction.</w:t>
      </w:r>
    </w:p>
    <w:p>
      <w:pPr>
        <w:ind w:left="328" w:right="40" w:hanging="328"/>
        <w:spacing w:after="0" w:line="25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the Company provided for herein shall be in writing (including electronically) to the Company, marked Attention: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the RSUs and Grantee’s participation in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 w:lineRule="exact"/>
        <w:rPr>
          <w:rFonts w:ascii="Arial" w:cs="Arial" w:eastAsia="Arial" w:hAnsi="Arial"/>
          <w:sz w:val="18"/>
          <w:szCs w:val="18"/>
          <w:color w:val="auto"/>
        </w:rPr>
      </w:pPr>
    </w:p>
    <w:p>
      <w:pPr>
        <w:ind w:left="328" w:hanging="328"/>
        <w:spacing w:after="0" w:line="281" w:lineRule="auto"/>
        <w:tabs>
          <w:tab w:leader="none" w:pos="328"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To the extent applicable, it is intended that this Agreement and the Plan comply with or be exempt from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5" w:lineRule="exact"/>
        <w:rPr>
          <w:rFonts w:ascii="Arial" w:cs="Arial" w:eastAsia="Arial" w:hAnsi="Arial"/>
          <w:sz w:val="16"/>
          <w:szCs w:val="16"/>
          <w:color w:val="auto"/>
        </w:rPr>
      </w:pPr>
    </w:p>
    <w:p>
      <w:pPr>
        <w:ind w:left="328" w:right="40" w:hanging="328"/>
        <w:spacing w:after="0" w:line="250"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(including facsimile and other electronically transmitted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be deemed to be an original but all of which together will constitute one and the same agreement.</w:t>
      </w:r>
    </w:p>
    <w:p>
      <w:pPr>
        <w:spacing w:after="0" w:line="1"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580" w:right="259" w:bottom="1440" w:gutter="0" w:footer="0" w:header="0"/>
        </w:sectPr>
      </w:pPr>
    </w:p>
    <w:bookmarkStart w:id="124" w:name="page125"/>
    <w:bookmarkEnd w:id="124"/>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Grantee has executed this Agreement, as of the Date of Grant.</w:t>
      </w: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584" w:right="6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Performance Vesting Schedule</w:t>
      </w:r>
    </w:p>
    <w:p>
      <w:pPr>
        <w:spacing w:after="0" w:line="44" w:lineRule="exact"/>
        <w:rPr>
          <w:sz w:val="20"/>
          <w:szCs w:val="20"/>
          <w:color w:val="auto"/>
        </w:rPr>
      </w:pPr>
    </w:p>
    <w:p>
      <w:pPr>
        <w:ind w:left="4540" w:hanging="109"/>
        <w:spacing w:after="0"/>
        <w:tabs>
          <w:tab w:leader="none" w:pos="4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9019"/>
          </w:cols>
          <w:pgMar w:left="1440" w:top="580"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w:t>
      </w:r>
      <w:r>
        <w:rPr>
          <w:rFonts w:ascii="Arial" w:cs="Arial" w:eastAsia="Arial" w:hAnsi="Arial"/>
          <w:sz w:val="17"/>
          <w:szCs w:val="17"/>
          <w:b w:val="1"/>
          <w:bCs w:val="1"/>
          <w:color w:val="auto"/>
        </w:rPr>
        <w:t>[______________]</w:t>
      </w:r>
      <w:r>
        <w:rPr>
          <w:rFonts w:ascii="Arial" w:cs="Arial" w:eastAsia="Arial" w:hAnsi="Arial"/>
          <w:sz w:val="17"/>
          <w:szCs w:val="17"/>
          <w:color w:val="auto"/>
        </w:rPr>
        <w:t>, 20[ ]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between AGNC Investment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207" w:lineRule="exact"/>
        <w:rPr>
          <w:sz w:val="20"/>
          <w:szCs w:val="20"/>
          <w:color w:val="auto"/>
        </w:rPr>
      </w:pPr>
    </w:p>
    <w:p>
      <w:pPr>
        <w:ind w:left="660" w:right="640" w:hanging="328"/>
        <w:spacing w:after="0" w:line="261"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Capitalized terms used, but not otherwise defined, in this Agreement will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2016 Equity and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As used in this Agreement:</w:t>
      </w:r>
    </w:p>
    <w:p>
      <w:pPr>
        <w:ind w:left="980" w:hanging="324"/>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means AGNC Mortgage Management, LLC.</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Re-Externalization</w:t>
      </w:r>
      <w:r>
        <w:rPr>
          <w:rFonts w:ascii="Arial" w:cs="Arial" w:eastAsia="Arial" w:hAnsi="Arial"/>
          <w:sz w:val="18"/>
          <w:szCs w:val="18"/>
          <w:color w:val="auto"/>
        </w:rPr>
        <w:t>” means (i) a sale, merger or other transaction that results in the transfer or issuance of a majority of the outstanding equity interests of the Manager or AGNC Management, LLC to a person or entity other than a Subsidiary of the Company (a “</w:t>
      </w:r>
      <w:r>
        <w:rPr>
          <w:rFonts w:ascii="Arial" w:cs="Arial" w:eastAsia="Arial" w:hAnsi="Arial"/>
          <w:sz w:val="18"/>
          <w:szCs w:val="18"/>
          <w:u w:val="single" w:color="auto"/>
          <w:color w:val="auto"/>
        </w:rPr>
        <w:t>Third-Party Manager</w:t>
      </w:r>
      <w:r>
        <w:rPr>
          <w:rFonts w:ascii="Arial" w:cs="Arial" w:eastAsia="Arial" w:hAnsi="Arial"/>
          <w:sz w:val="18"/>
          <w:szCs w:val="18"/>
          <w:color w:val="auto"/>
        </w:rPr>
        <w:t>”); or (ii) the Company enters into or otherwise becomes a party to a management, investment advisory and/or administrative services agreement with a Third-Party Manager pursuant to which the Third-Party Manager will provide all or substantially all of the investment advisory and administrative functions (e.g., accounting, treasury, legal, finance, investor relations, back office, or other non-investment advisory services) of the Company.</w:t>
      </w:r>
    </w:p>
    <w:p>
      <w:pPr>
        <w:spacing w:after="0" w:line="2" w:lineRule="exact"/>
        <w:rPr>
          <w:rFonts w:ascii="Arial" w:cs="Arial" w:eastAsia="Arial" w:hAnsi="Arial"/>
          <w:sz w:val="18"/>
          <w:szCs w:val="18"/>
          <w:color w:val="auto"/>
        </w:rPr>
      </w:pPr>
    </w:p>
    <w:p>
      <w:pPr>
        <w:ind w:left="980" w:hanging="324"/>
        <w:spacing w:after="0" w:line="281" w:lineRule="auto"/>
        <w:tabs>
          <w:tab w:leader="none" w:pos="9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Award”</w:t>
      </w:r>
      <w:r>
        <w:rPr>
          <w:rFonts w:ascii="Arial" w:cs="Arial" w:eastAsia="Arial" w:hAnsi="Arial"/>
          <w:sz w:val="16"/>
          <w:szCs w:val="16"/>
          <w:color w:val="auto"/>
        </w:rPr>
        <w:t xml:space="preserve"> means an award (i) of the same type (e.g., time-based restricted stock units) as the RSUs (as defined in Section 2 hereof) covered by this Agreement, (ii) that has a value at least equal to the value of the RSUs covered by this Agreement,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(v) the other terms and conditions of which are not less favorable to Grantee than the terms and conditions of the RSUs covered by this Agreement (including the provisions that would apply in the event of a subsequent Change of Control or if the surviving entity is internally managed, an externalization of management) and (vi) that provides for accelerated vesting in the event that Grantee’s employment is terminated by the Company or any of its Subsidiaries (or any of their successors) as a result of a Termination Without Cause that occurs during the 24-month period following such Change of Control (and such Replacement Award shall be paid to Grantee within ten (10) days following such Termination Without Cause).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1(c) are satisfied will be made by the Committee, as constituted immediately prior to the Change of Control, in its sole discretion.</w:t>
      </w:r>
    </w:p>
    <w:p>
      <w:pPr>
        <w:spacing w:after="0" w:line="9" w:lineRule="exact"/>
        <w:rPr>
          <w:rFonts w:ascii="Arial" w:cs="Arial" w:eastAsia="Arial" w:hAnsi="Arial"/>
          <w:sz w:val="16"/>
          <w:szCs w:val="16"/>
          <w:color w:val="auto"/>
        </w:rPr>
      </w:pPr>
    </w:p>
    <w:p>
      <w:pPr>
        <w:ind w:left="980" w:right="20" w:hanging="324"/>
        <w:spacing w:after="0" w:line="265" w:lineRule="auto"/>
        <w:tabs>
          <w:tab w:leader="none" w:pos="9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means the termination by Grantee’s employer of Grantee’s employment for any reason, other than as a result of Grantee’s death or permanent disability (as determined by the employer) or as a result of (i) the commission by Grantee of a felony or a fraud, (ii) conduct by Grantee that brings Grantee’s employer into substantial public disgrace or disrepute, (iii) gross negligence or gross misconduct by Grantee with respect to Grantee’s employer, (iv) Grantee’s abandonment of Grantee’s employment, (v) Grantee’s insubordination or failure to follow the directions of the individual(s) to whom Grantee reports, which is not cured (if curable) within three (3) days after written notice thereof to Grantee, (vi) Grantee’s breach of a material employment policy of Grantee’s employer, which is not cured (if curable) within three (3) days after written notice thereof to Grantee or (vii) any other breach by Grantee of any agreement with Grantee’s employer which is material and which is not cured (if curable) within thirty (30) days after written notice thereof to Grantee.</w:t>
      </w:r>
    </w:p>
    <w:p>
      <w:pPr>
        <w:spacing w:after="0" w:line="1" w:lineRule="exact"/>
        <w:rPr>
          <w:rFonts w:ascii="Arial" w:cs="Arial" w:eastAsia="Arial" w:hAnsi="Arial"/>
          <w:sz w:val="17"/>
          <w:szCs w:val="17"/>
          <w:color w:val="auto"/>
        </w:rPr>
      </w:pPr>
    </w:p>
    <w:p>
      <w:pPr>
        <w:ind w:left="660" w:right="40" w:hanging="328"/>
        <w:spacing w:after="0" w:line="250"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Grant of RSUs</w:t>
      </w:r>
      <w:r>
        <w:rPr>
          <w:rFonts w:ascii="Arial" w:cs="Arial" w:eastAsia="Arial" w:hAnsi="Arial"/>
          <w:sz w:val="18"/>
          <w:szCs w:val="18"/>
          <w:color w:val="auto"/>
        </w:rPr>
        <w:t>. Subject to and upon the terms, conditions and restrictions set forth in this Agreement and in the Plan, the Company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Grantee </w:t>
      </w:r>
      <w:r>
        <w:rPr>
          <w:rFonts w:ascii="Arial" w:cs="Arial" w:eastAsia="Arial" w:hAnsi="Arial"/>
          <w:sz w:val="18"/>
          <w:szCs w:val="18"/>
          <w:b w:val="1"/>
          <w:bCs w:val="1"/>
          <w:color w:val="auto"/>
        </w:rPr>
        <w:t>[_____]</w:t>
      </w:r>
      <w:r>
        <w:rPr>
          <w:rFonts w:ascii="Arial" w:cs="Arial" w:eastAsia="Arial" w:hAnsi="Arial"/>
          <w:sz w:val="18"/>
          <w:szCs w:val="18"/>
          <w:color w:val="auto"/>
        </w:rPr>
        <w:t xml:space="preserve">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Each RSU shall represent the right of Grantee to receive one share of Common Stock subject to and upon the terms and conditions of this Agreement.</w:t>
      </w:r>
    </w:p>
    <w:p>
      <w:pPr>
        <w:spacing w:after="0" w:line="1" w:lineRule="exact"/>
        <w:rPr>
          <w:rFonts w:ascii="Arial" w:cs="Arial" w:eastAsia="Arial" w:hAnsi="Arial"/>
          <w:sz w:val="18"/>
          <w:szCs w:val="18"/>
          <w:color w:val="auto"/>
        </w:rPr>
      </w:pPr>
    </w:p>
    <w:p>
      <w:pPr>
        <w:ind w:left="580" w:right="220" w:hanging="248"/>
        <w:spacing w:after="0" w:line="281" w:lineRule="auto"/>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Restrictions on Transfer of RSUs</w:t>
      </w:r>
      <w:r>
        <w:rPr>
          <w:rFonts w:ascii="Arial" w:cs="Arial" w:eastAsia="Arial" w:hAnsi="Arial"/>
          <w:sz w:val="16"/>
          <w:szCs w:val="16"/>
          <w:color w:val="auto"/>
        </w:rPr>
        <w:t>. Neither the RSUs evidenced hereby nor any interest therein or in the shares of Common Stock underlying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RSUs shall be transferable prior to payment to Grantee pursuant to Section 7 hereof, other than as described in Section 15 of the Plan.</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The RSUs covered by this Agreement shall become nonforfeitable and payable to Grantee pursuant to Section 7 hereof with respect to one-</w:t>
      </w:r>
    </w:p>
    <w:p>
      <w:pPr>
        <w:spacing w:after="0" w:line="32" w:lineRule="exact"/>
        <w:rPr>
          <w:sz w:val="20"/>
          <w:szCs w:val="20"/>
          <w:color w:val="auto"/>
        </w:rPr>
      </w:pPr>
    </w:p>
    <w:p>
      <w:pPr>
        <w:ind w:left="580"/>
        <w:spacing w:after="0"/>
        <w:tabs>
          <w:tab w:leader="none" w:pos="6060" w:val="left"/>
        </w:tabs>
        <w:rPr>
          <w:sz w:val="20"/>
          <w:szCs w:val="20"/>
          <w:color w:val="auto"/>
        </w:rPr>
      </w:pPr>
      <w:r>
        <w:rPr>
          <w:rFonts w:ascii="Arial" w:cs="Arial" w:eastAsia="Arial" w:hAnsi="Arial"/>
          <w:sz w:val="17"/>
          <w:szCs w:val="17"/>
          <w:color w:val="auto"/>
        </w:rPr>
        <w:t>third (1/3) of the RSUs granted pursuant to this Agreement on each of [</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27" w:name="page128"/>
    <w:bookmarkEnd w:id="127"/>
    <w:p>
      <w:pPr>
        <w:ind w:left="248"/>
        <w:spacing w:after="0"/>
        <w:rPr>
          <w:sz w:val="20"/>
          <w:szCs w:val="20"/>
          <w:color w:val="auto"/>
        </w:rPr>
      </w:pPr>
      <w:r>
        <w:rPr>
          <w:rFonts w:ascii="Arial" w:cs="Arial" w:eastAsia="Arial" w:hAnsi="Arial"/>
          <w:sz w:val="18"/>
          <w:szCs w:val="18"/>
          <w:color w:val="auto"/>
        </w:rPr>
        <w:t>if Grantee remains continuously employed by the Company or any of its Subsidiaries (or any of their successors) as of each such date.</w:t>
      </w:r>
    </w:p>
    <w:p>
      <w:pPr>
        <w:spacing w:after="0" w:line="23" w:lineRule="exact"/>
        <w:rPr>
          <w:sz w:val="20"/>
          <w:szCs w:val="20"/>
          <w:color w:val="auto"/>
        </w:rPr>
      </w:pPr>
    </w:p>
    <w:p>
      <w:pPr>
        <w:ind w:left="248" w:hanging="248"/>
        <w:spacing w:after="0" w:line="255" w:lineRule="auto"/>
        <w:tabs>
          <w:tab w:leader="none" w:pos="24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Accelerated Vesting</w:t>
      </w:r>
      <w:r>
        <w:rPr>
          <w:rFonts w:ascii="Arial" w:cs="Arial" w:eastAsia="Arial" w:hAnsi="Arial"/>
          <w:sz w:val="18"/>
          <w:szCs w:val="18"/>
          <w:color w:val="auto"/>
        </w:rPr>
        <w:t>. Notwithstanding the provisions of Section 4 hereof, all of the RSUs covered by this Agreement that have not already vested and</w:t>
      </w:r>
      <w:r>
        <w:rPr>
          <w:rFonts w:ascii="Arial" w:cs="Arial" w:eastAsia="Arial" w:hAnsi="Arial"/>
          <w:sz w:val="18"/>
          <w:szCs w:val="18"/>
          <w:b w:val="1"/>
          <w:bCs w:val="1"/>
          <w:color w:val="auto"/>
        </w:rPr>
        <w:t xml:space="preserve"> </w:t>
      </w:r>
      <w:r>
        <w:rPr>
          <w:rFonts w:ascii="Arial" w:cs="Arial" w:eastAsia="Arial" w:hAnsi="Arial"/>
          <w:sz w:val="18"/>
          <w:szCs w:val="18"/>
          <w:color w:val="auto"/>
        </w:rPr>
        <w:t>become nonforfeitable pursuant to Section 4 hereof will become nonforfeitable and payable to Grantee pursuant to Section 7 hereof earlier than the time provided in Section 4 hereof upon the occurrence of the earliest of any of the following events:</w:t>
      </w:r>
    </w:p>
    <w:p>
      <w:pPr>
        <w:spacing w:after="0" w:line="1" w:lineRule="exact"/>
        <w:rPr>
          <w:rFonts w:ascii="Arial" w:cs="Arial" w:eastAsia="Arial" w:hAnsi="Arial"/>
          <w:sz w:val="18"/>
          <w:szCs w:val="18"/>
          <w:color w:val="auto"/>
        </w:rPr>
      </w:pPr>
    </w:p>
    <w:p>
      <w:pPr>
        <w:ind w:left="648" w:right="40" w:hanging="324"/>
        <w:spacing w:after="0" w:line="250"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While Grantee is continuously employed by the Company or any of its Subsidiaries (or any of their successors), a Change of Control occurs and a Replacement Award is not provided to Grantee on the date of such Change of Control.</w:t>
      </w:r>
    </w:p>
    <w:p>
      <w:pPr>
        <w:ind w:left="648" w:right="40" w:hanging="324"/>
        <w:spacing w:after="0" w:line="281" w:lineRule="auto"/>
        <w:tabs>
          <w:tab w:leader="none" w:pos="64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While Grantee is continuously employed by the Company or any of its Subsidiaries (or any of their successors): (i) a Re-Externalization occurs and on the date of such Re-Externalization, or during the thirty (30) day period thereafter if as a result of such Re-Externalization, (A) Grantee’s job title, duties or responsibilities are materially and adversely changed, (B) Grantee’s annual base salary or annual cash bonus opportunity is materially reduced or (C) Grantee’s principal office is relocated to a location that is in excess of fifty (50) miles from Bethesda, Maryland; or</w:t>
      </w:r>
    </w:p>
    <w:p>
      <w:pPr>
        <w:spacing w:after="0" w:line="2" w:lineRule="exact"/>
        <w:rPr>
          <w:rFonts w:ascii="Arial" w:cs="Arial" w:eastAsia="Arial" w:hAnsi="Arial"/>
          <w:sz w:val="16"/>
          <w:szCs w:val="16"/>
          <w:color w:val="auto"/>
        </w:rPr>
      </w:pPr>
    </w:p>
    <w:p>
      <w:pPr>
        <w:ind w:left="648" w:right="80"/>
        <w:spacing w:after="0" w:line="265" w:lineRule="auto"/>
        <w:tabs>
          <w:tab w:leader="none" w:pos="913" w:val="left"/>
        </w:tabs>
        <w:numPr>
          <w:ilvl w:val="2"/>
          <w:numId w:val="112"/>
        </w:numPr>
        <w:rPr>
          <w:rFonts w:ascii="Arial" w:cs="Arial" w:eastAsia="Arial" w:hAnsi="Arial"/>
          <w:sz w:val="17"/>
          <w:szCs w:val="17"/>
          <w:color w:val="auto"/>
        </w:rPr>
      </w:pPr>
      <w:r>
        <w:rPr>
          <w:rFonts w:ascii="Arial" w:cs="Arial" w:eastAsia="Arial" w:hAnsi="Arial"/>
          <w:sz w:val="17"/>
          <w:szCs w:val="17"/>
          <w:color w:val="auto"/>
        </w:rPr>
        <w:t>a Re-Externalization occurs pursuant to Section 1(b)(ii) hereof and as of the date of such Re-Externalization, the Third-Party Manager (or any of its affiliates) has failed to provide Grantee with an offer of employment that provides for (A) a job title, duties or responsibilities that are materially no less favorable than Grantee’s job title, duties or responsibilities immediately prior to such Re-Externalization, (B) an annual base salary and an annual cash bonus opportunity that are materially no less favorable than Grantee’s annual base salary and annual cash bonus opportunity immediately prior to such Re-Externalization and (C) a principal office location that is not in excess of fifty (50) miles from Bethesda, Maryland (in any such case, as determined by the Committee, in its sole discretion).</w:t>
      </w:r>
    </w:p>
    <w:p>
      <w:pPr>
        <w:spacing w:after="0" w:line="1" w:lineRule="exact"/>
        <w:rPr>
          <w:rFonts w:ascii="Arial" w:cs="Arial" w:eastAsia="Arial" w:hAnsi="Arial"/>
          <w:sz w:val="17"/>
          <w:szCs w:val="17"/>
          <w:color w:val="auto"/>
        </w:rPr>
      </w:pPr>
    </w:p>
    <w:p>
      <w:pPr>
        <w:ind w:left="648" w:right="220" w:hanging="324"/>
        <w:spacing w:after="0" w:line="250"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During the 24-month period following a Re-Externalization, Grantee’s employment is terminated by the Manager (or any of its successors) or the Third-Party Manager (or any of its affiliates), as applicable, as a result of a Termination Without Cause.</w:t>
      </w:r>
    </w:p>
    <w:p>
      <w:pPr>
        <w:ind w:left="248" w:hanging="248"/>
        <w:spacing w:after="0" w:line="281" w:lineRule="auto"/>
        <w:tabs>
          <w:tab w:leader="none" w:pos="248"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Forfeiture</w:t>
      </w:r>
      <w:r>
        <w:rPr>
          <w:rFonts w:ascii="Arial" w:cs="Arial" w:eastAsia="Arial" w:hAnsi="Arial"/>
          <w:sz w:val="16"/>
          <w:szCs w:val="16"/>
          <w:color w:val="auto"/>
        </w:rPr>
        <w:t>. Except to the extent the RSUs covered by this Agreement have become nonforfeitable pursuant to Section 4 or Section 5 hereof, the</w:t>
      </w:r>
      <w:r>
        <w:rPr>
          <w:rFonts w:ascii="Arial" w:cs="Arial" w:eastAsia="Arial" w:hAnsi="Arial"/>
          <w:sz w:val="16"/>
          <w:szCs w:val="16"/>
          <w:b w:val="1"/>
          <w:bCs w:val="1"/>
          <w:color w:val="auto"/>
        </w:rPr>
        <w:t xml:space="preserve"> </w:t>
      </w:r>
      <w:r>
        <w:rPr>
          <w:rFonts w:ascii="Arial" w:cs="Arial" w:eastAsia="Arial" w:hAnsi="Arial"/>
          <w:sz w:val="16"/>
          <w:szCs w:val="16"/>
          <w:color w:val="auto"/>
        </w:rPr>
        <w:t>RSUs covered by this Agreement shall be forfeited automatically and without further notice, and shall no longer be considered covered by this Agreement, on the date on which Grantee ceases to be employed by the Company or any of its Subsidiaries, the Manager (including following a Re-Externalization pursuant to Section 1(b)(i) hereof) or any of its subsidiaries, the Third-Party Manager (following a Re-Externalization pursuant to Section 1(b)(ii) hereof) or any of its subsidiaries or any of their respective successors. For purposes of the preceding sentence, if Grantee commences employment with the Third-Party Manager on the date of a Re-Externalization pursuant to Section 1(b)(ii) hereof pursuant to an offer of employment made by the Third-Party Manager on or before the date of such Re-Externalization, Grantee’s termination of employment with the Company or any of its Subsidiaries on the date of such Re-Externalization shall not constitute a cessation of continuous employment for purposes of this Agreement.</w:t>
      </w:r>
    </w:p>
    <w:p>
      <w:pPr>
        <w:spacing w:after="0" w:line="5" w:lineRule="exact"/>
        <w:rPr>
          <w:rFonts w:ascii="Arial" w:cs="Arial" w:eastAsia="Arial" w:hAnsi="Arial"/>
          <w:sz w:val="16"/>
          <w:szCs w:val="16"/>
          <w:color w:val="auto"/>
        </w:rPr>
      </w:pPr>
    </w:p>
    <w:p>
      <w:pPr>
        <w:ind w:left="248" w:hanging="248"/>
        <w:spacing w:after="0"/>
        <w:tabs>
          <w:tab w:leader="none" w:pos="24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Form and Time of Payment of RSUs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8" w:right="80" w:hanging="324"/>
        <w:spacing w:after="0" w:line="281" w:lineRule="auto"/>
        <w:tabs>
          <w:tab w:leader="none" w:pos="648"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6"/>
          <w:szCs w:val="16"/>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68" w:right="260" w:hanging="320"/>
        <w:spacing w:after="0" w:line="250" w:lineRule="auto"/>
        <w:tabs>
          <w:tab w:leader="none" w:pos="96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4 hereof shall be paid within ten (10) days following the date on which such RSUs become nonforfeitable.</w:t>
      </w:r>
    </w:p>
    <w:p>
      <w:pPr>
        <w:ind w:left="968" w:hanging="320"/>
        <w:spacing w:after="0"/>
        <w:tabs>
          <w:tab w:leader="none" w:pos="96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5(a) hereof shall be paid on the date of such Change of Control.</w:t>
      </w:r>
    </w:p>
    <w:p>
      <w:pPr>
        <w:spacing w:after="0" w:line="9" w:lineRule="exact"/>
        <w:rPr>
          <w:rFonts w:ascii="Arial" w:cs="Arial" w:eastAsia="Arial" w:hAnsi="Arial"/>
          <w:sz w:val="18"/>
          <w:szCs w:val="18"/>
          <w:color w:val="auto"/>
        </w:rPr>
      </w:pPr>
    </w:p>
    <w:p>
      <w:pPr>
        <w:ind w:left="968" w:right="60" w:hanging="320"/>
        <w:spacing w:after="0" w:line="250" w:lineRule="auto"/>
        <w:tabs>
          <w:tab w:leader="none" w:pos="96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RSUs that become nonforfeitable pursuant to Section 5(b) hereof shall be paid within ten (10) days following the date on which such RSUs become nonforfeitable.</w:t>
      </w:r>
    </w:p>
    <w:p>
      <w:pPr>
        <w:ind w:left="968" w:right="120" w:hanging="320"/>
        <w:spacing w:after="0" w:line="281" w:lineRule="auto"/>
        <w:tabs>
          <w:tab w:leader="none" w:pos="968" w:val="left"/>
        </w:tabs>
        <w:numPr>
          <w:ilvl w:val="2"/>
          <w:numId w:val="113"/>
        </w:numPr>
        <w:rPr>
          <w:rFonts w:ascii="Arial" w:cs="Arial" w:eastAsia="Arial" w:hAnsi="Arial"/>
          <w:sz w:val="16"/>
          <w:szCs w:val="16"/>
          <w:color w:val="auto"/>
        </w:rPr>
      </w:pPr>
      <w:r>
        <w:rPr>
          <w:rFonts w:ascii="Arial" w:cs="Arial" w:eastAsia="Arial" w:hAnsi="Arial"/>
          <w:sz w:val="16"/>
          <w:szCs w:val="16"/>
          <w:color w:val="auto"/>
        </w:rPr>
        <w:t>RSUs that become nonforfeitable pursuant to Section 5(c) hereof shall be paid on the first payroll date following the 60th day after such termination of employment; provided that Grantee shall have first executed and not revoked a release of claims in favor of the Company and its Subsidiaries, in a form provided by the Company; provided further that, for the avoidance of doubt, in no event shall such RSUs be</w:t>
      </w:r>
    </w:p>
    <w:p>
      <w:pPr>
        <w:spacing w:after="0" w:line="2" w:lineRule="exact"/>
        <w:rPr>
          <w:sz w:val="20"/>
          <w:szCs w:val="20"/>
          <w:color w:val="auto"/>
        </w:rPr>
      </w:pPr>
    </w:p>
    <w:p>
      <w:pPr>
        <w:ind w:left="968"/>
        <w:spacing w:after="0"/>
        <w:rPr>
          <w:sz w:val="20"/>
          <w:szCs w:val="20"/>
          <w:color w:val="auto"/>
        </w:rPr>
      </w:pPr>
      <w:r>
        <w:rPr>
          <w:rFonts w:ascii="Arial" w:cs="Arial" w:eastAsia="Arial" w:hAnsi="Arial"/>
          <w:sz w:val="18"/>
          <w:szCs w:val="18"/>
          <w:color w:val="auto"/>
        </w:rPr>
        <w:t>paid to Grantee after March 15 of the calendar year following the calendar year in which such termination occurs.</w:t>
      </w:r>
    </w:p>
    <w:p>
      <w:pPr>
        <w:spacing w:after="0" w:line="9" w:lineRule="exact"/>
        <w:rPr>
          <w:sz w:val="20"/>
          <w:szCs w:val="20"/>
          <w:color w:val="auto"/>
        </w:rPr>
      </w:pPr>
    </w:p>
    <w:p>
      <w:pPr>
        <w:ind w:left="8" w:right="120"/>
        <w:spacing w:after="0" w:line="261" w:lineRule="auto"/>
        <w:rPr>
          <w:sz w:val="20"/>
          <w:szCs w:val="20"/>
          <w:color w:val="auto"/>
        </w:rPr>
      </w:pPr>
      <w:r>
        <w:rPr>
          <w:rFonts w:ascii="Arial" w:cs="Arial" w:eastAsia="Arial" w:hAnsi="Arial"/>
          <w:sz w:val="18"/>
          <w:szCs w:val="18"/>
          <w:color w:val="auto"/>
        </w:rPr>
        <w:t>Notwithstanding the foregoing, if Grantee has made a permitted deferral election with respect to any RSUs covered by this Agreement, such RSUs shall be paid at the time set forth in such deferral election.</w:t>
      </w:r>
    </w:p>
    <w:p>
      <w:pPr>
        <w:spacing w:after="0" w:line="180" w:lineRule="exact"/>
        <w:rPr>
          <w:sz w:val="20"/>
          <w:szCs w:val="20"/>
          <w:color w:val="auto"/>
        </w:rPr>
      </w:pPr>
    </w:p>
    <w:p>
      <w:pPr>
        <w:ind w:left="248" w:hanging="248"/>
        <w:spacing w:after="0"/>
        <w:tabs>
          <w:tab w:leader="none" w:pos="248"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Dividend Equivalents; Other Rights</w:t>
      </w:r>
      <w:r>
        <w:rPr>
          <w:rFonts w:ascii="Arial" w:cs="Arial" w:eastAsia="Arial" w:hAnsi="Arial"/>
          <w:sz w:val="18"/>
          <w:szCs w:val="18"/>
          <w:color w:val="auto"/>
        </w:rPr>
        <w:t>.</w:t>
      </w:r>
    </w:p>
    <w:p>
      <w:pPr>
        <w:spacing w:after="0" w:line="25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611" w:right="259" w:bottom="1440" w:gutter="0" w:footer="0" w:header="0"/>
        </w:sectPr>
      </w:pPr>
    </w:p>
    <w:bookmarkStart w:id="128" w:name="page129"/>
    <w:bookmarkEnd w:id="128"/>
    <w:p>
      <w:pPr>
        <w:ind w:left="648" w:right="40" w:hanging="324"/>
        <w:spacing w:after="0" w:line="283" w:lineRule="auto"/>
        <w:tabs>
          <w:tab w:leader="none" w:pos="64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6" w:lineRule="exact"/>
        <w:rPr>
          <w:rFonts w:ascii="Arial" w:cs="Arial" w:eastAsia="Arial" w:hAnsi="Arial"/>
          <w:sz w:val="16"/>
          <w:szCs w:val="16"/>
          <w:color w:val="auto"/>
        </w:rPr>
      </w:pPr>
    </w:p>
    <w:p>
      <w:pPr>
        <w:ind w:left="648" w:right="440" w:hanging="324"/>
        <w:spacing w:after="0" w:line="250" w:lineRule="auto"/>
        <w:tabs>
          <w:tab w:leader="none" w:pos="64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8"/>
          <w:szCs w:val="18"/>
          <w:color w:val="auto"/>
        </w:rPr>
      </w:pPr>
    </w:p>
    <w:p>
      <w:pPr>
        <w:jc w:val="both"/>
        <w:ind w:left="648" w:right="320" w:hanging="324"/>
        <w:spacing w:after="0" w:line="281" w:lineRule="auto"/>
        <w:tabs>
          <w:tab w:leader="none" w:pos="64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6"/>
          <w:szCs w:val="16"/>
          <w:color w:val="auto"/>
        </w:rPr>
      </w:pPr>
    </w:p>
    <w:p>
      <w:pPr>
        <w:ind w:left="248" w:right="200" w:hanging="248"/>
        <w:spacing w:after="0" w:line="250" w:lineRule="auto"/>
        <w:tabs>
          <w:tab w:leader="none" w:pos="24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No Right to Future Awards or Employment</w:t>
      </w:r>
      <w:r>
        <w:rPr>
          <w:rFonts w:ascii="Arial" w:cs="Arial" w:eastAsia="Arial" w:hAnsi="Arial"/>
          <w:sz w:val="18"/>
          <w:szCs w:val="18"/>
          <w:color w:val="auto"/>
        </w:rPr>
        <w:t>. The grant of the RSUs under this Agreement to Grantee is a voluntary, discretionary award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2" w:lineRule="exact"/>
        <w:rPr>
          <w:rFonts w:ascii="Arial" w:cs="Arial" w:eastAsia="Arial" w:hAnsi="Arial"/>
          <w:sz w:val="18"/>
          <w:szCs w:val="18"/>
          <w:color w:val="auto"/>
        </w:rPr>
      </w:pPr>
    </w:p>
    <w:p>
      <w:pPr>
        <w:ind w:left="248" w:right="480" w:hanging="248"/>
        <w:spacing w:after="0" w:line="265" w:lineRule="auto"/>
        <w:tabs>
          <w:tab w:leader="none" w:pos="24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The number of shares of Common Stock issuable for each RSU and the other terms and conditions of the grant evidenced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are subject to adjustment as provided in Section 11 of the Plan.</w:t>
      </w:r>
    </w:p>
    <w:p>
      <w:pPr>
        <w:ind w:left="248" w:hanging="248"/>
        <w:spacing w:after="0" w:line="265" w:lineRule="auto"/>
        <w:tabs>
          <w:tab w:leader="none" w:pos="24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that the Company is required to withhold federal, state, local or foreign taxes or other amounts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Grantee may elect that all or any part of such withholding requirement be satisfied by other means, including the retention by the Company of a portion of the shares of Common Stock to be delivered to Grantee or by delivering to the Company other shares of Common Stock held by Grantee (or proceeds from the sale thereof) or cash. If such election is made, the shares of Common Stock used for such withholding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2" w:lineRule="exact"/>
        <w:rPr>
          <w:rFonts w:ascii="Arial" w:cs="Arial" w:eastAsia="Arial" w:hAnsi="Arial"/>
          <w:sz w:val="17"/>
          <w:szCs w:val="17"/>
          <w:color w:val="auto"/>
        </w:rPr>
      </w:pPr>
    </w:p>
    <w:p>
      <w:pPr>
        <w:jc w:val="both"/>
        <w:ind w:left="248" w:right="560" w:hanging="248"/>
        <w:spacing w:after="0" w:line="265" w:lineRule="auto"/>
        <w:tabs>
          <w:tab w:leader="none" w:pos="24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The Company shall make reasonable efforts to comply with all applicable federal and state securities laws;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ind w:left="248" w:right="120" w:hanging="248"/>
        <w:spacing w:after="0" w:line="265" w:lineRule="auto"/>
        <w:tabs>
          <w:tab w:leader="none" w:pos="24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Clawback</w:t>
      </w:r>
      <w:r>
        <w:rPr>
          <w:rFonts w:ascii="Arial" w:cs="Arial" w:eastAsia="Arial" w:hAnsi="Arial"/>
          <w:sz w:val="17"/>
          <w:szCs w:val="17"/>
          <w:color w:val="auto"/>
        </w:rPr>
        <w:t>. The RSUs shall be subject to the Company’s Clawback Policy, as in effect on the Date of Grant, as may be amended or supplemented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w:t>
      </w:r>
    </w:p>
    <w:p>
      <w:pPr>
        <w:spacing w:after="0" w:line="1" w:lineRule="exact"/>
        <w:rPr>
          <w:rFonts w:ascii="Arial" w:cs="Arial" w:eastAsia="Arial" w:hAnsi="Arial"/>
          <w:sz w:val="17"/>
          <w:szCs w:val="17"/>
          <w:color w:val="auto"/>
        </w:rPr>
      </w:pPr>
    </w:p>
    <w:p>
      <w:pPr>
        <w:ind w:left="248" w:right="180" w:hanging="248"/>
        <w:spacing w:after="0" w:line="281" w:lineRule="auto"/>
        <w:tabs>
          <w:tab w:leader="none" w:pos="248"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Relation to Other Benefits</w:t>
      </w:r>
      <w:r>
        <w:rPr>
          <w:rFonts w:ascii="Arial" w:cs="Arial" w:eastAsia="Arial" w:hAnsi="Arial"/>
          <w:sz w:val="16"/>
          <w:szCs w:val="16"/>
          <w:color w:val="auto"/>
        </w:rPr>
        <w:t>. Any economic or other benefit to Grantee under this Agreement or the Plan shall not be taken into account in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6"/>
          <w:szCs w:val="16"/>
          <w:color w:val="auto"/>
        </w:rPr>
      </w:pPr>
    </w:p>
    <w:p>
      <w:pPr>
        <w:ind w:left="248" w:right="60" w:hanging="248"/>
        <w:spacing w:after="0" w:line="273" w:lineRule="auto"/>
        <w:tabs>
          <w:tab w:leader="none" w:pos="24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Any amendment to the Plan shall be deemed to be an amendment to this Agreement to the extent that the amendment is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w:t>
      </w: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584" w:right="239" w:bottom="1440" w:gutter="0" w:footer="0" w:header="0"/>
        </w:sectPr>
      </w:pPr>
    </w:p>
    <w:bookmarkStart w:id="129" w:name="page130"/>
    <w:bookmarkEnd w:id="129"/>
    <w:p>
      <w:pPr>
        <w:ind w:left="248" w:right="40"/>
        <w:spacing w:after="0" w:line="289" w:lineRule="auto"/>
        <w:rPr>
          <w:sz w:val="20"/>
          <w:szCs w:val="20"/>
          <w:color w:val="auto"/>
        </w:rPr>
      </w:pPr>
      <w:r>
        <w:rPr>
          <w:rFonts w:ascii="Arial" w:cs="Arial" w:eastAsia="Arial" w:hAnsi="Arial"/>
          <w:sz w:val="18"/>
          <w:szCs w:val="18"/>
          <w:color w:val="auto"/>
        </w:rPr>
        <w:t>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w:t>
      </w:r>
    </w:p>
    <w:p>
      <w:pPr>
        <w:spacing w:after="0" w:line="3" w:lineRule="exact"/>
        <w:rPr>
          <w:sz w:val="20"/>
          <w:szCs w:val="20"/>
          <w:color w:val="auto"/>
        </w:rPr>
      </w:pPr>
    </w:p>
    <w:p>
      <w:pPr>
        <w:ind w:left="248" w:right="120" w:hanging="248"/>
        <w:spacing w:after="0" w:line="270"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In the event that one or more of the provisions of this Agreement shall be invalidated for any reason by a court of competent</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any provision so invalidated shall be deemed to be separable from the other provisions hereof, and the remaining provisions hereof shall continue to be valid and fully enforceable.</w:t>
      </w:r>
    </w:p>
    <w:p>
      <w:pPr>
        <w:spacing w:after="0" w:line="2" w:lineRule="exact"/>
        <w:rPr>
          <w:rFonts w:ascii="Arial" w:cs="Arial" w:eastAsia="Arial" w:hAnsi="Arial"/>
          <w:sz w:val="17"/>
          <w:szCs w:val="17"/>
          <w:color w:val="auto"/>
        </w:rPr>
      </w:pPr>
    </w:p>
    <w:p>
      <w:pPr>
        <w:ind w:left="248" w:right="60"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Relation to Plan</w:t>
      </w:r>
      <w:r>
        <w:rPr>
          <w:rFonts w:ascii="Arial" w:cs="Arial" w:eastAsia="Arial" w:hAnsi="Arial"/>
          <w:sz w:val="17"/>
          <w:szCs w:val="17"/>
          <w:color w:val="auto"/>
        </w:rPr>
        <w:t>. This Agreement is subject to the terms and conditions of the Plan. To the extent not expressly set forth in this Agreement,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shall govern.</w:t>
      </w:r>
    </w:p>
    <w:p>
      <w:pPr>
        <w:ind w:left="248" w:right="320" w:hanging="248"/>
        <w:spacing w:after="0" w:line="281" w:lineRule="auto"/>
        <w:tabs>
          <w:tab w:leader="none" w:pos="248"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Grantee acknowledges that Grantee (a) has received a copy of the Plan, (b) has had an opportunity to review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(c) understands the terms and conditions of this Agreement and the Plan and (d) agrees to such terms and conditions.</w:t>
      </w:r>
    </w:p>
    <w:p>
      <w:pPr>
        <w:spacing w:after="0" w:line="1" w:lineRule="exact"/>
        <w:rPr>
          <w:rFonts w:ascii="Arial" w:cs="Arial" w:eastAsia="Arial" w:hAnsi="Arial"/>
          <w:sz w:val="16"/>
          <w:szCs w:val="16"/>
          <w:color w:val="auto"/>
        </w:rPr>
      </w:pPr>
    </w:p>
    <w:p>
      <w:pPr>
        <w:ind w:left="248" w:right="240"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Without limiting Section 3 hereof, the provisions of this Agreement shall inure to the benefit of, and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administrators, heirs, legal representatives and assigns of Grantee, and the successors and assigns of the Company.</w:t>
      </w:r>
    </w:p>
    <w:p>
      <w:pPr>
        <w:ind w:left="248" w:right="460"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in accordance with the internal substantive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giving effect to any principle of law that would result in the application of the law of any other jurisdiction.</w:t>
      </w:r>
    </w:p>
    <w:p>
      <w:pPr>
        <w:ind w:left="248" w:right="140"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to the Company provided for herein shall be in writing (including electronically) to the Company, marked Attention: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1" w:lineRule="exact"/>
        <w:rPr>
          <w:rFonts w:ascii="Arial" w:cs="Arial" w:eastAsia="Arial" w:hAnsi="Arial"/>
          <w:sz w:val="17"/>
          <w:szCs w:val="17"/>
          <w:color w:val="auto"/>
        </w:rPr>
      </w:pPr>
    </w:p>
    <w:p>
      <w:pPr>
        <w:ind w:left="248"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Electronic Delivery</w:t>
      </w:r>
      <w:r>
        <w:rPr>
          <w:rFonts w:ascii="Arial" w:cs="Arial" w:eastAsia="Arial" w:hAnsi="Arial"/>
          <w:sz w:val="17"/>
          <w:szCs w:val="17"/>
          <w:color w:val="auto"/>
        </w:rPr>
        <w:t>. The Company may, in its sole discretion, deliver any documents related to the RSUs and Grantee’s participation in the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ind w:left="248" w:right="20" w:hanging="248"/>
        <w:spacing w:after="0" w:line="281" w:lineRule="auto"/>
        <w:tabs>
          <w:tab w:leader="none" w:pos="248"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To the extent applicable, it is intended that this Agreement and the Plan comply with or be exempt from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5" w:lineRule="exact"/>
        <w:rPr>
          <w:rFonts w:ascii="Arial" w:cs="Arial" w:eastAsia="Arial" w:hAnsi="Arial"/>
          <w:sz w:val="16"/>
          <w:szCs w:val="16"/>
          <w:color w:val="auto"/>
        </w:rPr>
      </w:pPr>
    </w:p>
    <w:p>
      <w:pPr>
        <w:ind w:left="248" w:right="140" w:hanging="248"/>
        <w:spacing w:after="0" w:line="265" w:lineRule="auto"/>
        <w:tabs>
          <w:tab w:leader="none" w:pos="24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one or more counterparts (including facsimile and other electronically transmitted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which shall be deemed to be an original but all of which together will constitute one and the same agreement.</w:t>
      </w:r>
    </w:p>
    <w:p>
      <w:pPr>
        <w:jc w:val="center"/>
        <w:ind w:right="312"/>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8"/>
          </w:cols>
          <w:pgMar w:left="572" w:top="611" w:right="239" w:bottom="1440" w:gutter="0" w:footer="0" w:header="0"/>
        </w:sectPr>
      </w:pPr>
    </w:p>
    <w:bookmarkStart w:id="130" w:name="page131"/>
    <w:bookmarkEnd w:id="130"/>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Grantee has executed this Agreement, as of the Date of Grant.</w:t>
      </w: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800" w:right="6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10.11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PERFORMANCE-BASED RESTRICTED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w:t>
      </w:r>
      <w:r>
        <w:rPr>
          <w:rFonts w:ascii="Arial" w:cs="Arial" w:eastAsia="Arial" w:hAnsi="Arial"/>
          <w:sz w:val="17"/>
          <w:szCs w:val="17"/>
          <w:b w:val="1"/>
          <w:bCs w:val="1"/>
          <w:color w:val="auto"/>
        </w:rPr>
        <w:t>[______________]</w:t>
      </w:r>
      <w:r>
        <w:rPr>
          <w:rFonts w:ascii="Arial" w:cs="Arial" w:eastAsia="Arial" w:hAnsi="Arial"/>
          <w:sz w:val="17"/>
          <w:szCs w:val="17"/>
          <w:color w:val="auto"/>
        </w:rPr>
        <w:t>, 20[ ]</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AGNC Investment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207" w:lineRule="exact"/>
        <w:rPr>
          <w:sz w:val="20"/>
          <w:szCs w:val="20"/>
          <w:color w:val="auto"/>
        </w:rPr>
      </w:pPr>
    </w:p>
    <w:p>
      <w:pPr>
        <w:ind w:left="660" w:right="640" w:hanging="328"/>
        <w:spacing w:after="0" w:line="261"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Capitalized terms used, but not otherwise defined, in this Agreement will have the meanings given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2016 Equity and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As used in this Agreement:</w:t>
      </w:r>
    </w:p>
    <w:p>
      <w:pPr>
        <w:ind w:left="980" w:hanging="324"/>
        <w:spacing w:after="0"/>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means AGNC Mortgage Management, LLC.</w:t>
      </w:r>
    </w:p>
    <w:p>
      <w:pPr>
        <w:spacing w:after="0" w:line="9"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980" w:right="100" w:hanging="324"/>
        <w:spacing w:after="0" w:line="250" w:lineRule="auto"/>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Re-Externalization</w:t>
      </w:r>
      <w:r>
        <w:rPr>
          <w:rFonts w:ascii="Arial" w:cs="Arial" w:eastAsia="Arial" w:hAnsi="Arial"/>
          <w:sz w:val="18"/>
          <w:szCs w:val="18"/>
          <w:color w:val="auto"/>
        </w:rPr>
        <w:t>” means (i) a sale, merger or other transaction that results in the transfer or issuance of a majority of the outstanding equity interests of the Manager or AGNC Management, LLC to a person or entity other than a Subsidiary of the Company (a “</w:t>
      </w:r>
      <w:r>
        <w:rPr>
          <w:rFonts w:ascii="Arial" w:cs="Arial" w:eastAsia="Arial" w:hAnsi="Arial"/>
          <w:sz w:val="18"/>
          <w:szCs w:val="18"/>
          <w:u w:val="single" w:color="auto"/>
          <w:color w:val="auto"/>
        </w:rPr>
        <w:t>Third-Party Manager</w:t>
      </w:r>
      <w:r>
        <w:rPr>
          <w:rFonts w:ascii="Arial" w:cs="Arial" w:eastAsia="Arial" w:hAnsi="Arial"/>
          <w:sz w:val="18"/>
          <w:szCs w:val="18"/>
          <w:color w:val="auto"/>
        </w:rPr>
        <w:t>”); or (ii) the Company enters into or otherwise becomes a party to a management, investment advisory and/or administrative services agreement with a Third-Party Manager pursuant to which the Third-Party Manager will provide all or substantially all of the investment advisory and administrative functions (e.g., accounting, treasury, legal, finance, investor relations, back office, or other non-investment advisory services) of the Company.</w:t>
      </w:r>
    </w:p>
    <w:p>
      <w:pPr>
        <w:spacing w:after="0" w:line="2" w:lineRule="exact"/>
        <w:rPr>
          <w:rFonts w:ascii="Arial" w:cs="Arial" w:eastAsia="Arial" w:hAnsi="Arial"/>
          <w:sz w:val="18"/>
          <w:szCs w:val="18"/>
          <w:color w:val="auto"/>
        </w:rPr>
      </w:pPr>
    </w:p>
    <w:p>
      <w:pPr>
        <w:ind w:left="980" w:right="80" w:hanging="324"/>
        <w:spacing w:after="0" w:line="281" w:lineRule="auto"/>
        <w:tabs>
          <w:tab w:leader="none" w:pos="9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Award</w:t>
      </w:r>
      <w:r>
        <w:rPr>
          <w:rFonts w:ascii="Arial" w:cs="Arial" w:eastAsia="Arial" w:hAnsi="Arial"/>
          <w:sz w:val="16"/>
          <w:szCs w:val="16"/>
          <w:color w:val="auto"/>
        </w:rPr>
        <w:t xml:space="preserve">” means an award (i) of time-based RSUs (as defined in Section 2 hereof) with a value at least equal to the value of the RSUs covered by this Agreement, determined based on actual achievement of the performance conditions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day immediately prior to the Change of Control [(in the case of [ ], with the applicable required performance levels pro-rated based on the amount</w:t>
      </w:r>
    </w:p>
    <w:p>
      <w:pPr>
        <w:spacing w:after="0" w:line="2" w:lineRule="exact"/>
        <w:rPr>
          <w:rFonts w:ascii="Arial" w:cs="Arial" w:eastAsia="Arial" w:hAnsi="Arial"/>
          <w:sz w:val="16"/>
          <w:szCs w:val="16"/>
          <w:color w:val="auto"/>
        </w:rPr>
      </w:pPr>
    </w:p>
    <w:p>
      <w:pPr>
        <w:ind w:left="980"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of time elapsed in the Performance Period, and in the case of [ ], as determined as of the end of the most recent quarter prior to the Change of Control for which the applicable data for the Peer Group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is publicly available)] As applicable by the Board or the Committee, (ii) that vests in full on the date set forth in Section 4, (iii) that relates to publicly traded equity securities of the Company or its successor in the Change of Control or another entity that is affiliated with the Company or its successor following the Change of Control, (iv) the tax consequences of which to Grantee under the Code are not less favorable to Grantee than the tax consequences of the RSUs covered by this Agreement, (v) the other terms and conditions of which are not less favorable to Grantee than the terms and conditions of the RSUs covered by this Agreement (including the provisions that would apply in the event of a subsequent Change of Control or, if the surviving entity is internally managed, an externalization of management), and (vi) that provides for accelerated vesting in the event that Grantee’s employment is terminated by the Company or any of its Subsidiaries (or any of their successors) as a result of a Termination Without Cause that occurs during the 24-month period following such Change of Control (and such Replacement Award shall be paid to Grantee within ten (10) days following such Termination Without Cause). A Replacement Award may be granted only to the extent it does not result in the RSUs covered by this Agreement or the Replacement Award failing to comply with or be exempt from Section 409A of the Code. Without limiting the generality of the foregoing, the Replacement Award may take the form of a continuation of the RSUs covered by this Agreement if the requirements of the two preceding sentences are satisfied. The determination of whether the conditions of this Section 1(d) are satisfied will be made by the Committee, as constituted immediately prior to the Change of Control, in its sole discretion.</w:t>
      </w:r>
    </w:p>
    <w:p>
      <w:pPr>
        <w:spacing w:after="0" w:line="10" w:lineRule="exact"/>
        <w:rPr>
          <w:rFonts w:ascii="Arial" w:cs="Arial" w:eastAsia="Arial" w:hAnsi="Arial"/>
          <w:sz w:val="16"/>
          <w:szCs w:val="16"/>
          <w:color w:val="auto"/>
        </w:rPr>
      </w:pPr>
    </w:p>
    <w:p>
      <w:pPr>
        <w:ind w:left="980" w:right="20" w:hanging="324"/>
        <w:spacing w:after="0" w:line="265" w:lineRule="auto"/>
        <w:tabs>
          <w:tab w:leader="none" w:pos="9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means the termination by Grantee’s employer of Grantee’s employment for any reason, other than as a result of Grantee’s death or permanent disability (as determined by the employer) or as a result of (i) the commission by Grantee of a felony or a fraud, (ii) conduct by Grantee that brings Grantee’s employer into substantial public disgrace or disrepute, (iii) gross negligence or gross misconduct by Grantee with respect to Grantee’s employer, (iv) Grantee’s abandonment of Grantee’s employment, (v) Grantee’s insubordination or failure to follow the directions of the individual(s) to whom Grantee reports, which is not cured (if curable) within three (3) days after written notice thereof to Grantee, (vi) Grantee’s breach of a material employment policy of Grantee’s employer, which is not cured (if curable) within three (3) days after written notice thereof to Grantee or (vii) any other breach by Grantee of any agreement with Grantee’s employer which is material and which is not cured (if curable) within thirty (30) days after written notice thereof to Grantee.</w:t>
      </w:r>
    </w:p>
    <w:p>
      <w:pPr>
        <w:spacing w:after="0" w:line="1" w:lineRule="exact"/>
        <w:rPr>
          <w:rFonts w:ascii="Arial" w:cs="Arial" w:eastAsia="Arial" w:hAnsi="Arial"/>
          <w:sz w:val="17"/>
          <w:szCs w:val="17"/>
          <w:color w:val="auto"/>
        </w:rPr>
      </w:pPr>
    </w:p>
    <w:p>
      <w:pPr>
        <w:ind w:left="660" w:right="40" w:hanging="328"/>
        <w:spacing w:after="0" w:line="295"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Grant of RSUs</w:t>
      </w:r>
      <w:r>
        <w:rPr>
          <w:rFonts w:ascii="Arial" w:cs="Arial" w:eastAsia="Arial" w:hAnsi="Arial"/>
          <w:sz w:val="16"/>
          <w:szCs w:val="16"/>
          <w:color w:val="auto"/>
        </w:rPr>
        <w:t>. Subject to and upon the terms, conditions and restrictions set forth in this Agreement and in the Plan, the Company hereby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a target number of [_____] Restricted Stock Units (the “</w:t>
      </w:r>
      <w:r>
        <w:rPr>
          <w:rFonts w:ascii="Arial" w:cs="Arial" w:eastAsia="Arial" w:hAnsi="Arial"/>
          <w:sz w:val="16"/>
          <w:szCs w:val="16"/>
          <w:u w:val="single" w:color="auto"/>
          <w:color w:val="auto"/>
        </w:rPr>
        <w:t>Target Number of RSUs</w:t>
      </w:r>
      <w:r>
        <w:rPr>
          <w:rFonts w:ascii="Arial" w:cs="Arial" w:eastAsia="Arial" w:hAnsi="Arial"/>
          <w:sz w:val="16"/>
          <w:szCs w:val="16"/>
          <w:color w:val="auto"/>
        </w:rPr>
        <w:t xml:space="preserve">”) (with a maximum number of [_____] Restricted Stock Units to be potentially earned pursuant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Maximum Number of RSUs</w:t>
      </w:r>
      <w:r>
        <w:rPr>
          <w:rFonts w:ascii="Arial" w:cs="Arial" w:eastAsia="Arial" w:hAnsi="Arial"/>
          <w:sz w:val="16"/>
          <w:szCs w:val="16"/>
          <w:color w:val="auto"/>
        </w:rPr>
        <w:t>”, and all Restricted Stock Units covered by this Agreement, the “</w:t>
      </w:r>
      <w:r>
        <w:rPr>
          <w:rFonts w:ascii="Arial" w:cs="Arial" w:eastAsia="Arial" w:hAnsi="Arial"/>
          <w:sz w:val="16"/>
          <w:szCs w:val="16"/>
          <w:u w:val="single" w:color="auto"/>
          <w:color w:val="auto"/>
        </w:rPr>
        <w:t>RSUs</w:t>
      </w:r>
      <w:r>
        <w:rPr>
          <w:rFonts w:ascii="Arial" w:cs="Arial" w:eastAsia="Arial" w:hAnsi="Arial"/>
          <w:sz w:val="16"/>
          <w:szCs w:val="16"/>
          <w:color w:val="auto"/>
        </w:rPr>
        <w:t>”)), plus the related RSUs granted as dividend equivalents pursuant to the terms of Section 8(a), and subject to the terms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32" w:name="page133"/>
    <w:bookmarkEnd w:id="132"/>
    <w:p>
      <w:pPr>
        <w:ind w:left="328"/>
        <w:spacing w:after="0" w:line="282" w:lineRule="auto"/>
        <w:rPr>
          <w:sz w:val="20"/>
          <w:szCs w:val="20"/>
          <w:color w:val="auto"/>
        </w:rPr>
      </w:pPr>
      <w:r>
        <w:rPr>
          <w:rFonts w:ascii="Arial" w:cs="Arial" w:eastAsia="Arial" w:hAnsi="Arial"/>
          <w:sz w:val="18"/>
          <w:szCs w:val="18"/>
          <w:color w:val="auto"/>
        </w:rPr>
        <w:t xml:space="preserve">conditions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Each RSU shall represent the right of Grantee to receive one share of Common Stock subject to and upon the terms and conditions of this Agreement.</w:t>
      </w:r>
    </w:p>
    <w:p>
      <w:pPr>
        <w:spacing w:after="0" w:line="1" w:lineRule="exact"/>
        <w:rPr>
          <w:sz w:val="20"/>
          <w:szCs w:val="20"/>
          <w:color w:val="auto"/>
        </w:rPr>
      </w:pPr>
    </w:p>
    <w:p>
      <w:pPr>
        <w:ind w:left="328" w:right="140" w:hanging="328"/>
        <w:spacing w:after="0" w:line="290" w:lineRule="auto"/>
        <w:tabs>
          <w:tab w:leader="none" w:pos="328"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Restrictions on Transfer of RSUs</w:t>
      </w:r>
      <w:r>
        <w:rPr>
          <w:rFonts w:ascii="Arial" w:cs="Arial" w:eastAsia="Arial" w:hAnsi="Arial"/>
          <w:sz w:val="16"/>
          <w:szCs w:val="16"/>
          <w:color w:val="auto"/>
        </w:rPr>
        <w:t>. Neither the RSUs evidenced hereby nor any interest therein or in the shares of Common Stock underlying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RSUs shall be transferable prior to payment to Grantee pursuant to Section 7 hereof, other than as described in Section 15 of the Plan.</w:t>
      </w:r>
    </w:p>
    <w:p>
      <w:pPr>
        <w:spacing w:after="0" w:line="1" w:lineRule="exact"/>
        <w:rPr>
          <w:sz w:val="20"/>
          <w:szCs w:val="20"/>
          <w:color w:val="auto"/>
        </w:rPr>
      </w:pPr>
    </w:p>
    <w:p>
      <w:pPr>
        <w:ind w:left="328" w:right="200" w:hanging="319"/>
        <w:spacing w:after="0" w:line="250" w:lineRule="auto"/>
        <w:tabs>
          <w:tab w:leader="none" w:pos="307"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Vesting</w:t>
      </w:r>
      <w:r>
        <w:rPr>
          <w:rFonts w:ascii="Arial" w:cs="Arial" w:eastAsia="Arial" w:hAnsi="Arial"/>
          <w:sz w:val="18"/>
          <w:szCs w:val="18"/>
          <w:color w:val="auto"/>
        </w:rPr>
        <w:t>. The RSUs covered by this Agreement shall become nonforfeitable and payable to Grantee on [ ], provided that the Board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has certified achievement of the applicable performance conditions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Grantee remains continuously employed by the Company or any of its Subsidiaries (or any of their successors) through such date.</w:t>
      </w:r>
    </w:p>
    <w:p>
      <w:pPr>
        <w:spacing w:after="0" w:line="1" w:lineRule="exact"/>
        <w:rPr>
          <w:sz w:val="20"/>
          <w:szCs w:val="20"/>
          <w:color w:val="auto"/>
        </w:rPr>
      </w:pPr>
    </w:p>
    <w:p>
      <w:pPr>
        <w:ind w:left="328" w:right="420" w:hanging="328"/>
        <w:spacing w:after="0" w:line="250" w:lineRule="auto"/>
        <w:tabs>
          <w:tab w:leader="none" w:pos="328"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Accelerated Vesting</w:t>
      </w:r>
      <w:r>
        <w:rPr>
          <w:rFonts w:ascii="Arial" w:cs="Arial" w:eastAsia="Arial" w:hAnsi="Arial"/>
          <w:sz w:val="18"/>
          <w:szCs w:val="18"/>
          <w:color w:val="auto"/>
        </w:rPr>
        <w:t>. Notwithstanding the provisions of Section 4 hereof, the RSUs covered by this Agreement will become nonforfeitable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Grantee upon the occurrence of the earliest of any of the following events:</w:t>
      </w:r>
    </w:p>
    <w:p>
      <w:pPr>
        <w:ind w:left="648" w:right="180" w:hanging="324"/>
        <w:spacing w:after="0" w:line="281" w:lineRule="auto"/>
        <w:tabs>
          <w:tab w:leader="none" w:pos="64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while Grantee is continuously employed by the Company or any of its Subsidiaries (or any of their successors), a Change of Control occurs and a Replacement Award is not provided to Grantee on the date of such Change of Control, the number of RSUs that will become</w:t>
      </w:r>
    </w:p>
    <w:p>
      <w:pPr>
        <w:spacing w:after="0" w:line="1" w:lineRule="exact"/>
        <w:rPr>
          <w:sz w:val="20"/>
          <w:szCs w:val="20"/>
          <w:color w:val="auto"/>
        </w:rPr>
      </w:pPr>
    </w:p>
    <w:p>
      <w:pPr>
        <w:ind w:left="648" w:right="100"/>
        <w:spacing w:after="0" w:line="265" w:lineRule="auto"/>
        <w:rPr>
          <w:sz w:val="20"/>
          <w:szCs w:val="20"/>
          <w:color w:val="auto"/>
        </w:rPr>
      </w:pPr>
      <w:r>
        <w:rPr>
          <w:rFonts w:ascii="Arial" w:cs="Arial" w:eastAsia="Arial" w:hAnsi="Arial"/>
          <w:sz w:val="17"/>
          <w:szCs w:val="17"/>
          <w:color w:val="auto"/>
        </w:rPr>
        <w:t xml:space="preserve">nonforfeitable and payable to Grantee shall equal the number of RSUs that Grantee would be entitled to receive based on actual achievement of the performance conditions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of the day immediately prior to the Change of Control [(in the case of [ ], with the applicable required performance levels pro-rated based on the amount of time elapsed in the Performance Period, and in the case of [ ], as determined as of the end of the most recent quarter prior to the Change of Control for which the applicable data for the Peer Group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is publicly available)] As applicable, as determined by the Board or the Committee. Such number of RSUs shall become nonforfeitable and payable to Grantee on the date of such Change of Control.</w:t>
      </w:r>
    </w:p>
    <w:p>
      <w:pPr>
        <w:spacing w:after="0" w:line="1" w:lineRule="exact"/>
        <w:rPr>
          <w:sz w:val="20"/>
          <w:szCs w:val="20"/>
          <w:color w:val="auto"/>
        </w:rPr>
      </w:pPr>
    </w:p>
    <w:p>
      <w:pPr>
        <w:ind w:left="648" w:right="20" w:hanging="324"/>
        <w:spacing w:after="0" w:line="281" w:lineRule="auto"/>
        <w:tabs>
          <w:tab w:leader="none" w:pos="64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while Grantee is continuously employed by the Company or any of its Subsidiaries (or any of their successors), (i) a Re-Externalization occurs and on the date of such Re-Externalization or during the thirty (30) day period thereafter if as a result of such Re-Externalization, (A) Grantee’s job title, duties or responsibilities are materially and adversely changed, (B) Grantee’s annual base salary or annual cash bonus opportunity is materially reduced or (C) Grantee’s principal office is relocated to a location that is in excess of fifty (50) miles from Bethesda, Maryland; or (ii) a Re-Externalization occurs pursuant to Section 1(c)(ii) hereof and as of the date of such Re-Externalization, the Third-Party Manager (or any of its affiliates) has failed to provide Grantee with an offer of employment that provides for (A) a job title, duties or responsibilities that are materially no less favorable than Grantee’s job title, duties or responsibilities immediately prior to such Re-Externalization, (B) an annual base salary and an annual cash bonus opportunity that are materially no less favorable than Grantee’s annual base salary and annual cash bonus opportunity immediately prior to such Re-Externalization and (C) a principal office location that is not in excess of fifty (50) miles from Bethesda, Maryland (in any such case, as determined by the Committee, in its sole discretion), the number of RSUs that will become nonforfeitable and payable to Grantee shall equal (x) the number of RSUs that Grantee would have been entitled to receive if Grantee had remained employed until the last day of the Performance Period (based on actual achievement of the performance conditions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during the Performance Period, as determined by the Board or the Committee after the end of the Performance Period). Such number of RSUs shall become nonforfeitable and payable to Grantee on or before the first March 15 that follows the date on which the Board or Committee certifies achievement of the applicable performance conditions for the Performance Period.</w:t>
      </w:r>
    </w:p>
    <w:p>
      <w:pPr>
        <w:spacing w:after="0" w:line="10" w:lineRule="exact"/>
        <w:rPr>
          <w:rFonts w:ascii="Arial" w:cs="Arial" w:eastAsia="Arial" w:hAnsi="Arial"/>
          <w:sz w:val="16"/>
          <w:szCs w:val="16"/>
          <w:color w:val="auto"/>
        </w:rPr>
      </w:pPr>
    </w:p>
    <w:p>
      <w:pPr>
        <w:ind w:left="648" w:right="20" w:hanging="324"/>
        <w:spacing w:after="0" w:line="265" w:lineRule="auto"/>
        <w:tabs>
          <w:tab w:leader="none" w:pos="64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the event that Grantee’s employment is terminated by the Company or any of its Subsidiaries (or any of their successors) as a result of a Termination Without Cause that occurs more than 12 months after the Date of Grant, the number of RSUs that will become nonforfeitable and payable to Grantee shall equal (x) the number of RSUs that Grantee would have been entitled to receive if Grantee had remained employed until the last day of the Performance Period (based on actual achievement of the performance conditions described on Exhibit A during the Performance Period, as determined by the Board or the Committee after the end of the Performance Period), multiplied by (y) a fraction, the numerator of which shall be the number of full calendar months that had elapsed since the Date of Grant, and the denominator of which shall be 36; provided, however, that if such termination occurs more than 12 months after the Date of Grant and during the 24-month period following a Re-Externalization, the fraction will equal one (i.e., the RSUs will not be pro-rated). Such number of RSUs shall become nonforfeitable and payable to Grantee on or before the first March 15 that follows the date on which the Board or Committee certifies achievement of the applicable performance conditions for the Performance Period. For the avoidance of doubt, in the event that Grantee’s employment is terminated by the Company or any of its Subsidiaries (or any of their successors) as a result of a Termination Without Cause that occurs on or prior to the 12 month anniversary of the Date of Grant, other than following a Re-Externalization, the RSUs covered by this Agreement shall be forfeited automatically pursuant to Section 6.</w:t>
      </w:r>
    </w:p>
    <w:p>
      <w:pPr>
        <w:spacing w:after="0" w:line="3" w:lineRule="exact"/>
        <w:rPr>
          <w:rFonts w:ascii="Arial" w:cs="Arial" w:eastAsia="Arial" w:hAnsi="Arial"/>
          <w:sz w:val="17"/>
          <w:szCs w:val="17"/>
          <w:color w:val="auto"/>
        </w:rPr>
      </w:pPr>
    </w:p>
    <w:p>
      <w:pPr>
        <w:ind w:left="328" w:right="380" w:hanging="328"/>
        <w:spacing w:after="0" w:line="255"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Except to the extent the RSUs covered by this Agreement have become nonforfeitable pursuant to Section 4 or Section 5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covered by this Agreement shall be forfeited automatically and without further notice, and shall no longer be considered covered by this Agreement, on the date on which Grantee ceases to be</w:t>
      </w: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611" w:right="239" w:bottom="1440" w:gutter="0" w:footer="0" w:header="0"/>
        </w:sectPr>
      </w:pPr>
    </w:p>
    <w:bookmarkStart w:id="133" w:name="page134"/>
    <w:bookmarkEnd w:id="133"/>
    <w:p>
      <w:pPr>
        <w:ind w:left="328" w:right="40"/>
        <w:spacing w:after="0" w:line="309" w:lineRule="auto"/>
        <w:rPr>
          <w:sz w:val="20"/>
          <w:szCs w:val="20"/>
          <w:color w:val="auto"/>
        </w:rPr>
      </w:pPr>
      <w:r>
        <w:rPr>
          <w:rFonts w:ascii="Arial" w:cs="Arial" w:eastAsia="Arial" w:hAnsi="Arial"/>
          <w:sz w:val="17"/>
          <w:szCs w:val="17"/>
          <w:color w:val="auto"/>
        </w:rPr>
        <w:t>employed by the Company or any of its Subsidiaries, the Manager (including following a Re-Externalization pursuant to Section 1(c)(i) hereof) or any of its subsidiaries, the Third-Party Manager (following a Re-Externalization pursuant to Section 1(c)(ii) hereof) or any of its subsidiaries or any of their respective successors. For purposes of the preceding sentence, if Grantee commences employment with the Third-Party Manager on the date of a Re-Externalization pursuant to Section 1(c)(ii) hereof pursuant to an offer of employment made by the Third-Party Manager on or before the date of such Re-Externalization, Grantee’s termination of employment with the Company or any of its Subsidiaries on the date of such Re-Externalization shall not constitute a cessation of continuous employment for purposes of this Agreement.</w:t>
      </w:r>
    </w:p>
    <w:p>
      <w:pPr>
        <w:spacing w:after="0" w:line="3" w:lineRule="exact"/>
        <w:rPr>
          <w:sz w:val="20"/>
          <w:szCs w:val="20"/>
          <w:color w:val="auto"/>
        </w:rPr>
      </w:pPr>
    </w:p>
    <w:p>
      <w:pPr>
        <w:ind w:left="328" w:hanging="328"/>
        <w:spacing w:after="0"/>
        <w:tabs>
          <w:tab w:leader="none" w:pos="328"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Form and Time of Payment of RSUs</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648" w:right="80" w:hanging="324"/>
        <w:spacing w:after="0" w:line="281"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w:t>
      </w:r>
    </w:p>
    <w:p>
      <w:pPr>
        <w:spacing w:after="0" w:line="2" w:lineRule="exact"/>
        <w:rPr>
          <w:rFonts w:ascii="Arial" w:cs="Arial" w:eastAsia="Arial" w:hAnsi="Arial"/>
          <w:sz w:val="16"/>
          <w:szCs w:val="16"/>
          <w:color w:val="auto"/>
        </w:rPr>
      </w:pPr>
    </w:p>
    <w:p>
      <w:pPr>
        <w:ind w:left="648" w:hanging="324"/>
        <w:spacing w:after="0"/>
        <w:tabs>
          <w:tab w:leader="none" w:pos="648"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68" w:right="340" w:hanging="320"/>
        <w:spacing w:after="0" w:line="250" w:lineRule="auto"/>
        <w:tabs>
          <w:tab w:leader="none" w:pos="96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RSUs that become nonforfeitable pursuant to Sections 4 hereof shall be paid within ten (10) days following the date on which such RSUs become nonforfeitable.</w:t>
      </w:r>
    </w:p>
    <w:p>
      <w:pPr>
        <w:ind w:left="968" w:hanging="320"/>
        <w:spacing w:after="0"/>
        <w:tabs>
          <w:tab w:leader="none" w:pos="96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RSUs that become nonforfeitable pursuant to Section 5(a) hereof shall be paid on the date of such Change of Control.</w:t>
      </w:r>
    </w:p>
    <w:p>
      <w:pPr>
        <w:spacing w:after="0" w:line="9" w:lineRule="exact"/>
        <w:rPr>
          <w:rFonts w:ascii="Arial" w:cs="Arial" w:eastAsia="Arial" w:hAnsi="Arial"/>
          <w:sz w:val="18"/>
          <w:szCs w:val="18"/>
          <w:color w:val="auto"/>
        </w:rPr>
      </w:pPr>
    </w:p>
    <w:p>
      <w:pPr>
        <w:jc w:val="both"/>
        <w:ind w:left="968" w:hanging="320"/>
        <w:spacing w:after="0" w:line="250" w:lineRule="auto"/>
        <w:tabs>
          <w:tab w:leader="none" w:pos="96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RSUs that become nonforfeitable pursuant to Sections 5(b) and 5(c) hereof shall be paid on the first payroll date following the 60th day after the date such RSUs become nonforfeitable; provided that Grantee shall have first executed and not revoked a release of claims in favor of the Company and its Subsidiaries, in a form provided by the Company.</w:t>
      </w:r>
    </w:p>
    <w:p>
      <w:pPr>
        <w:spacing w:after="0" w:line="1" w:lineRule="exact"/>
        <w:rPr>
          <w:sz w:val="20"/>
          <w:szCs w:val="20"/>
          <w:color w:val="auto"/>
        </w:rPr>
      </w:pPr>
    </w:p>
    <w:p>
      <w:pPr>
        <w:ind w:left="328" w:right="180"/>
        <w:spacing w:after="0" w:line="261" w:lineRule="auto"/>
        <w:rPr>
          <w:sz w:val="20"/>
          <w:szCs w:val="20"/>
          <w:color w:val="auto"/>
        </w:rPr>
      </w:pPr>
      <w:r>
        <w:rPr>
          <w:rFonts w:ascii="Arial" w:cs="Arial" w:eastAsia="Arial" w:hAnsi="Arial"/>
          <w:sz w:val="18"/>
          <w:szCs w:val="18"/>
          <w:color w:val="auto"/>
        </w:rPr>
        <w:t>Notwithstanding the foregoing, if Grantee has made a permitted deferral election with respect to any RSUs covered by this Agreement, such RSUs shall be paid at the time set forth in such deferral election.</w:t>
      </w:r>
    </w:p>
    <w:p>
      <w:pPr>
        <w:spacing w:after="0" w:line="180" w:lineRule="exact"/>
        <w:rPr>
          <w:sz w:val="20"/>
          <w:szCs w:val="20"/>
          <w:color w:val="auto"/>
        </w:rPr>
      </w:pPr>
    </w:p>
    <w:p>
      <w:pPr>
        <w:ind w:left="328" w:hanging="328"/>
        <w:spacing w:after="0"/>
        <w:tabs>
          <w:tab w:leader="none" w:pos="328"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Dividend Equivalents; Other Rights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648" w:right="20" w:hanging="324"/>
        <w:spacing w:after="0" w:line="281" w:lineRule="auto"/>
        <w:tabs>
          <w:tab w:leader="none" w:pos="64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 date. Such dividend equivalents (if any) shall be subject to the same applicable terms and conditions (including vesting, forfeitability, dividend equivalents and payment) as apply to the RSUs as to which the dividend equivalents were credited.</w:t>
      </w:r>
    </w:p>
    <w:p>
      <w:pPr>
        <w:spacing w:after="0" w:line="6" w:lineRule="exact"/>
        <w:rPr>
          <w:rFonts w:ascii="Arial" w:cs="Arial" w:eastAsia="Arial" w:hAnsi="Arial"/>
          <w:sz w:val="16"/>
          <w:szCs w:val="16"/>
          <w:color w:val="auto"/>
        </w:rPr>
      </w:pPr>
    </w:p>
    <w:p>
      <w:pPr>
        <w:ind w:left="648" w:right="420" w:hanging="324"/>
        <w:spacing w:after="0" w:line="250" w:lineRule="auto"/>
        <w:tabs>
          <w:tab w:leader="none" w:pos="64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Arial" w:cs="Arial" w:eastAsia="Arial" w:hAnsi="Arial"/>
          <w:sz w:val="18"/>
          <w:szCs w:val="18"/>
          <w:color w:val="auto"/>
        </w:rPr>
      </w:pPr>
    </w:p>
    <w:p>
      <w:pPr>
        <w:jc w:val="both"/>
        <w:ind w:left="648" w:right="300" w:hanging="324"/>
        <w:spacing w:after="0" w:line="281" w:lineRule="auto"/>
        <w:tabs>
          <w:tab w:leader="none" w:pos="64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Arial" w:cs="Arial" w:eastAsia="Arial" w:hAnsi="Arial"/>
          <w:sz w:val="16"/>
          <w:szCs w:val="16"/>
          <w:color w:val="auto"/>
        </w:rPr>
      </w:pPr>
    </w:p>
    <w:p>
      <w:pPr>
        <w:ind w:left="328" w:right="100" w:hanging="328"/>
        <w:spacing w:after="0" w:line="250" w:lineRule="auto"/>
        <w:tabs>
          <w:tab w:leader="none" w:pos="328"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No Right to Future Awards or Employment</w:t>
      </w:r>
      <w:r>
        <w:rPr>
          <w:rFonts w:ascii="Arial" w:cs="Arial" w:eastAsia="Arial" w:hAnsi="Arial"/>
          <w:sz w:val="18"/>
          <w:szCs w:val="18"/>
          <w:color w:val="auto"/>
        </w:rPr>
        <w:t>. The grant of the RSUs under this Agreement to Grantee is a voluntary, discretionary award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2" w:lineRule="exact"/>
        <w:rPr>
          <w:rFonts w:ascii="Arial" w:cs="Arial" w:eastAsia="Arial" w:hAnsi="Arial"/>
          <w:sz w:val="18"/>
          <w:szCs w:val="18"/>
          <w:color w:val="auto"/>
        </w:rPr>
      </w:pPr>
    </w:p>
    <w:p>
      <w:pPr>
        <w:ind w:left="328" w:right="380" w:hanging="328"/>
        <w:spacing w:after="0" w:line="250" w:lineRule="auto"/>
        <w:tabs>
          <w:tab w:leader="none" w:pos="328"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number of shares of Common Stock issuable for each RSU and the other terms and conditions of the grant evidenced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adjustment as provided in Section 11 of the Plan.</w:t>
      </w:r>
    </w:p>
    <w:p>
      <w:pPr>
        <w:ind w:left="328" w:hanging="328"/>
        <w:spacing w:after="0" w:line="295" w:lineRule="auto"/>
        <w:tabs>
          <w:tab w:leader="none" w:pos="328"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To the extent that the Company is required to withhold federal, state, local or foreign taxes or other amounts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w:t>
      </w:r>
    </w:p>
    <w:p>
      <w:pPr>
        <w:spacing w:after="0" w:line="1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8"/>
          </w:cols>
          <w:pgMar w:left="572" w:top="611" w:right="259" w:bottom="1440" w:gutter="0" w:footer="0" w:header="0"/>
        </w:sectPr>
      </w:pPr>
    </w:p>
    <w:bookmarkStart w:id="134" w:name="page135"/>
    <w:bookmarkEnd w:id="134"/>
    <w:p>
      <w:pPr>
        <w:ind w:left="328"/>
        <w:spacing w:after="0" w:line="292" w:lineRule="auto"/>
        <w:rPr>
          <w:sz w:val="20"/>
          <w:szCs w:val="20"/>
          <w:color w:val="auto"/>
        </w:rPr>
      </w:pPr>
      <w:r>
        <w:rPr>
          <w:rFonts w:ascii="Arial" w:cs="Arial" w:eastAsia="Arial" w:hAnsi="Arial"/>
          <w:sz w:val="18"/>
          <w:szCs w:val="18"/>
          <w:color w:val="auto"/>
        </w:rPr>
        <w:t>other amounts required to be withheld. Grantee may elect that all or any part of such withholding requirement be satisfied by other means, including the retention by the Company of a portion of the shares of Common Stock to be delivered to Grantee or by delivering to the Company other shares of Common Stock held by Grantee (or proceeds from the sale thereof) or cash. If such election is made, the shares of Common Stock used for such withholding will be valued at an amount equal to the Market Value per Share of such shares of Common Stock on the date of payment pursuant to Section 7 hereof. In no event will the amount that is withheld pursuant to this Section 11 to satisfy applicable withholding taxes exceed the maximum statutory tax rates applicable with respect to Grantee.</w:t>
      </w:r>
    </w:p>
    <w:p>
      <w:pPr>
        <w:spacing w:after="0" w:line="2" w:lineRule="exact"/>
        <w:rPr>
          <w:sz w:val="20"/>
          <w:szCs w:val="20"/>
          <w:color w:val="auto"/>
        </w:rPr>
      </w:pPr>
    </w:p>
    <w:p>
      <w:pPr>
        <w:jc w:val="both"/>
        <w:ind w:left="328" w:right="460" w:hanging="328"/>
        <w:spacing w:after="0" w:line="270" w:lineRule="auto"/>
        <w:tabs>
          <w:tab w:leader="none" w:pos="328"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Compliance With Law</w:t>
      </w:r>
      <w:r>
        <w:rPr>
          <w:rFonts w:ascii="Arial" w:cs="Arial" w:eastAsia="Arial" w:hAnsi="Arial"/>
          <w:sz w:val="17"/>
          <w:szCs w:val="17"/>
          <w:color w:val="auto"/>
        </w:rPr>
        <w:t>. The Company shall make reasonable efforts to comply with all applicable federal and state securities laws;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Arial" w:cs="Arial" w:eastAsia="Arial" w:hAnsi="Arial"/>
          <w:sz w:val="17"/>
          <w:szCs w:val="17"/>
          <w:color w:val="auto"/>
        </w:rPr>
      </w:pPr>
    </w:p>
    <w:p>
      <w:pPr>
        <w:ind w:left="328" w:right="20" w:hanging="328"/>
        <w:spacing w:after="0" w:line="250"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Clawback</w:t>
      </w:r>
      <w:r>
        <w:rPr>
          <w:rFonts w:ascii="Arial" w:cs="Arial" w:eastAsia="Arial" w:hAnsi="Arial"/>
          <w:sz w:val="18"/>
          <w:szCs w:val="18"/>
          <w:color w:val="auto"/>
        </w:rPr>
        <w:t>. The RSUs shall be subject to the Company’s Clawback Policy, as in effect on the Date of Grant, as may be amended or supplemented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as a result of the Board’s good faith anticipation of (and in accordance with the proposed rules regarding), or in order to comply with, the final rules or regulations adopted by the U.S. Securities and Exchange Commission and the NASDAQ Stock Market that implement the incentive-based compensation recovery requirements set forth in Section 10D of the Exchange Act, as added by Section 954 of the Dodd-Frank Wall Street Reform and Consumer Protection Act, and any other applicable legal requirements or listing standards that may be enacted and in effect from time to time.</w:t>
      </w:r>
    </w:p>
    <w:p>
      <w:pPr>
        <w:spacing w:after="0" w:line="2" w:lineRule="exact"/>
        <w:rPr>
          <w:rFonts w:ascii="Arial" w:cs="Arial" w:eastAsia="Arial" w:hAnsi="Arial"/>
          <w:sz w:val="18"/>
          <w:szCs w:val="18"/>
          <w:color w:val="auto"/>
        </w:rPr>
      </w:pPr>
    </w:p>
    <w:p>
      <w:pPr>
        <w:ind w:left="328" w:right="80" w:hanging="328"/>
        <w:spacing w:after="0" w:line="281" w:lineRule="auto"/>
        <w:tabs>
          <w:tab w:leader="none" w:pos="328"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Relation to Other Benefits</w:t>
      </w:r>
      <w:r>
        <w:rPr>
          <w:rFonts w:ascii="Arial" w:cs="Arial" w:eastAsia="Arial" w:hAnsi="Arial"/>
          <w:sz w:val="16"/>
          <w:szCs w:val="16"/>
          <w:color w:val="auto"/>
        </w:rPr>
        <w:t>. Any economic or other benefit to Grantee under this Agreement or the Plan shall not be taken into account in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pacing w:after="0" w:line="2" w:lineRule="exact"/>
        <w:rPr>
          <w:rFonts w:ascii="Arial" w:cs="Arial" w:eastAsia="Arial" w:hAnsi="Arial"/>
          <w:sz w:val="16"/>
          <w:szCs w:val="16"/>
          <w:color w:val="auto"/>
        </w:rPr>
      </w:pPr>
    </w:p>
    <w:p>
      <w:pPr>
        <w:ind w:left="328" w:right="100" w:hanging="328"/>
        <w:spacing w:after="0" w:line="265" w:lineRule="auto"/>
        <w:tabs>
          <w:tab w:leader="none" w:pos="328"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Any amendment to the Plan shall be deemed to be an amendment to this Agreement to the extent that the amendment is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 including as a result of the implementation of, or modification to, any clawback policy the Company adopts, or has adopted, to comply with the requirements set forth in Section 10D of the Exchange Act.</w:t>
      </w:r>
    </w:p>
    <w:p>
      <w:pPr>
        <w:spacing w:after="0" w:line="1" w:lineRule="exact"/>
        <w:rPr>
          <w:rFonts w:ascii="Arial" w:cs="Arial" w:eastAsia="Arial" w:hAnsi="Arial"/>
          <w:sz w:val="17"/>
          <w:szCs w:val="17"/>
          <w:color w:val="auto"/>
        </w:rPr>
      </w:pPr>
    </w:p>
    <w:p>
      <w:pPr>
        <w:ind w:left="328" w:right="20" w:hanging="328"/>
        <w:spacing w:after="0" w:line="250"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 w:lineRule="exact"/>
        <w:rPr>
          <w:rFonts w:ascii="Arial" w:cs="Arial" w:eastAsia="Arial" w:hAnsi="Arial"/>
          <w:sz w:val="18"/>
          <w:szCs w:val="18"/>
          <w:color w:val="auto"/>
        </w:rPr>
      </w:pPr>
    </w:p>
    <w:p>
      <w:pPr>
        <w:ind w:left="328" w:right="400" w:hanging="328"/>
        <w:spacing w:after="0" w:line="250"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Relation to Plan</w:t>
      </w:r>
      <w:r>
        <w:rPr>
          <w:rFonts w:ascii="Arial" w:cs="Arial" w:eastAsia="Arial" w:hAnsi="Arial"/>
          <w:sz w:val="18"/>
          <w:szCs w:val="18"/>
          <w:color w:val="auto"/>
        </w:rPr>
        <w:t>. This Agreement is subject to the terms and conditions of the Plan. To the extent not expressly set forth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Plan shall govern.</w:t>
      </w:r>
    </w:p>
    <w:p>
      <w:pPr>
        <w:ind w:left="328" w:right="220" w:hanging="328"/>
        <w:spacing w:after="0" w:line="281" w:lineRule="auto"/>
        <w:tabs>
          <w:tab w:leader="none" w:pos="328"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Acknowledgement</w:t>
      </w:r>
      <w:r>
        <w:rPr>
          <w:rFonts w:ascii="Arial" w:cs="Arial" w:eastAsia="Arial" w:hAnsi="Arial"/>
          <w:sz w:val="16"/>
          <w:szCs w:val="16"/>
          <w:color w:val="auto"/>
        </w:rPr>
        <w:t>. Grantee acknowledges that Grantee (a) has received a copy of the Plan, (b) has had an opportunity to review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(c) understands the terms and conditions of this Agreement and the Plan and (d) agrees to such terms and conditions.</w:t>
      </w:r>
    </w:p>
    <w:p>
      <w:pPr>
        <w:spacing w:after="0" w:line="1" w:lineRule="exact"/>
        <w:rPr>
          <w:rFonts w:ascii="Arial" w:cs="Arial" w:eastAsia="Arial" w:hAnsi="Arial"/>
          <w:sz w:val="16"/>
          <w:szCs w:val="16"/>
          <w:color w:val="auto"/>
        </w:rPr>
      </w:pPr>
    </w:p>
    <w:p>
      <w:pPr>
        <w:ind w:left="328" w:right="140" w:hanging="328"/>
        <w:spacing w:after="0" w:line="265" w:lineRule="auto"/>
        <w:tabs>
          <w:tab w:leader="none" w:pos="328"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Successors and Assigns</w:t>
      </w:r>
      <w:r>
        <w:rPr>
          <w:rFonts w:ascii="Arial" w:cs="Arial" w:eastAsia="Arial" w:hAnsi="Arial"/>
          <w:sz w:val="17"/>
          <w:szCs w:val="17"/>
          <w:color w:val="auto"/>
        </w:rPr>
        <w:t>. Without limiting Section 3 hereof, the provisions of this Agreement shall inure to the benefit of, and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administrators, heirs, legal representatives and assigns of Grantee, and the successors and assigns of the Company.</w:t>
      </w:r>
    </w:p>
    <w:p>
      <w:pPr>
        <w:ind w:left="328" w:right="360" w:hanging="328"/>
        <w:spacing w:after="0" w:line="265" w:lineRule="auto"/>
        <w:tabs>
          <w:tab w:leader="none" w:pos="328"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shall be governed by and construed in accordance with the internal substantive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giving effect to any principle of law that would result in the application of the law of any other jurisdiction.</w:t>
      </w:r>
    </w:p>
    <w:p>
      <w:pPr>
        <w:ind w:left="328" w:right="40" w:hanging="328"/>
        <w:spacing w:after="0" w:line="250"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the Company provided for herein shall be in writing (including electronically) to the Company, marked Attention: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deliver any documents related to the RSUs and Grantee’s participation in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 To the extent applicable, it is intended that this Agreement and the Plan comply with or be exempt from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This Agreement and the Plan shall be administered in a</w:t>
      </w:r>
    </w:p>
    <w:p>
      <w:pPr>
        <w:spacing w:after="0" w:line="21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611" w:right="259" w:bottom="1440" w:gutter="0" w:footer="0" w:header="0"/>
        </w:sectPr>
      </w:pPr>
    </w:p>
    <w:bookmarkStart w:id="135" w:name="page136"/>
    <w:bookmarkEnd w:id="135"/>
    <w:p>
      <w:pPr>
        <w:ind w:left="320" w:right="60"/>
        <w:spacing w:after="0" w:line="310" w:lineRule="auto"/>
        <w:rPr>
          <w:sz w:val="20"/>
          <w:szCs w:val="20"/>
          <w:color w:val="auto"/>
        </w:rPr>
      </w:pPr>
      <w:r>
        <w:rPr>
          <w:rFonts w:ascii="Arial" w:cs="Arial" w:eastAsia="Arial" w:hAnsi="Arial"/>
          <w:sz w:val="17"/>
          <w:szCs w:val="17"/>
          <w:color w:val="auto"/>
        </w:rPr>
        <w:t>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 §1.409A-1(b)(4).</w:t>
      </w:r>
    </w:p>
    <w:p>
      <w:pPr>
        <w:spacing w:after="0" w:line="3" w:lineRule="exact"/>
        <w:rPr>
          <w:sz w:val="20"/>
          <w:szCs w:val="20"/>
          <w:color w:val="auto"/>
        </w:rPr>
      </w:pPr>
    </w:p>
    <w:p>
      <w:pPr>
        <w:ind w:left="320" w:hanging="319"/>
        <w:spacing w:after="0" w:line="258" w:lineRule="auto"/>
        <w:tabs>
          <w:tab w:leader="none" w:pos="3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(including facsimile and other electronically transmitted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be deemed to be an original but all of which together will constitute one and the same agreement.</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580" w:top="611" w:right="29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Grantee has executed this Agreement, as of the Date of Grant.</w:t>
      </w: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_________________</w:t>
      </w:r>
    </w:p>
    <w:p>
      <w:pPr>
        <w:spacing w:after="0" w:line="200" w:lineRule="exact"/>
        <w:rPr>
          <w:sz w:val="20"/>
          <w:szCs w:val="20"/>
          <w:color w:val="auto"/>
        </w:rPr>
      </w:pPr>
    </w:p>
    <w:p>
      <w:pPr>
        <w:spacing w:after="0" w:line="26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584" w:right="6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Performance Vesting Schedule</w:t>
      </w:r>
    </w:p>
    <w:p>
      <w:pPr>
        <w:spacing w:after="0" w:line="44" w:lineRule="exact"/>
        <w:rPr>
          <w:sz w:val="20"/>
          <w:szCs w:val="20"/>
          <w:color w:val="auto"/>
        </w:rPr>
      </w:pPr>
    </w:p>
    <w:p>
      <w:pPr>
        <w:ind w:left="4540" w:hanging="109"/>
        <w:spacing w:after="0"/>
        <w:tabs>
          <w:tab w:leader="none" w:pos="4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9019"/>
          </w:cols>
          <w:pgMar w:left="1440" w:top="580" w:right="1440" w:bottom="1440" w:gutter="0" w:footer="0" w:header="0"/>
        </w:sectPr>
      </w:pPr>
    </w:p>
    <w:bookmarkStart w:id="138" w:name="page139"/>
    <w:bookmarkEnd w:id="138"/>
    <w:p>
      <w:pPr>
        <w:ind w:left="10440"/>
        <w:spacing w:after="0"/>
        <w:rPr>
          <w:sz w:val="20"/>
          <w:szCs w:val="20"/>
          <w:color w:val="auto"/>
        </w:rPr>
      </w:pPr>
      <w:r>
        <w:rPr>
          <w:rFonts w:ascii="Arial" w:cs="Arial" w:eastAsia="Arial" w:hAnsi="Arial"/>
          <w:sz w:val="16"/>
          <w:szCs w:val="16"/>
          <w:color w:val="auto"/>
        </w:rPr>
        <w:t>Exhibit 10.13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Acceptance Agreement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To</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[Ÿ]</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From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AGNC Mortgage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1140" w:type="dxa"/>
            <w:vAlign w:val="bottom"/>
          </w:tcPr>
          <w:p>
            <w:pPr>
              <w:ind w:left="440"/>
              <w:spacing w:after="0"/>
              <w:rPr>
                <w:sz w:val="20"/>
                <w:szCs w:val="20"/>
                <w:color w:val="auto"/>
              </w:rPr>
            </w:pPr>
            <w:r>
              <w:rPr>
                <w:rFonts w:ascii="Arial" w:cs="Arial" w:eastAsia="Arial" w:hAnsi="Arial"/>
                <w:sz w:val="18"/>
                <w:szCs w:val="18"/>
                <w:color w:val="auto"/>
                <w:w w:val="94"/>
              </w:rPr>
              <w:t>[Ÿ], 2017</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Re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Performance Incentive Plan - MTGE Award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are pleased to inform you that on [Ÿ], 2017, AGNC Mortgage Management, LLC (the “</w:t>
      </w:r>
      <w:r>
        <w:rPr>
          <w:rFonts w:ascii="Arial" w:cs="Arial" w:eastAsia="Arial" w:hAnsi="Arial"/>
          <w:sz w:val="16"/>
          <w:szCs w:val="16"/>
          <w:b w:val="1"/>
          <w:bCs w:val="1"/>
          <w:color w:val="auto"/>
        </w:rPr>
        <w:t>Company</w:t>
      </w:r>
      <w:r>
        <w:rPr>
          <w:rFonts w:ascii="Arial" w:cs="Arial" w:eastAsia="Arial" w:hAnsi="Arial"/>
          <w:sz w:val="16"/>
          <w:szCs w:val="16"/>
          <w:color w:val="auto"/>
        </w:rPr>
        <w:t>”) granted you an Incentive Award (the “</w:t>
      </w:r>
      <w:r>
        <w:rPr>
          <w:rFonts w:ascii="Arial" w:cs="Arial" w:eastAsia="Arial" w:hAnsi="Arial"/>
          <w:sz w:val="16"/>
          <w:szCs w:val="16"/>
          <w:b w:val="1"/>
          <w:bCs w:val="1"/>
          <w:color w:val="auto"/>
        </w:rPr>
        <w:t>Award</w:t>
      </w:r>
      <w:r>
        <w:rPr>
          <w:rFonts w:ascii="Arial" w:cs="Arial" w:eastAsia="Arial" w:hAnsi="Arial"/>
          <w:sz w:val="16"/>
          <w:szCs w:val="16"/>
          <w:color w:val="auto"/>
        </w:rPr>
        <w:t>”) under the terms of the AGNC Mortgage Management, LLC Performance Incentive Plan - MTGE (the “</w:t>
      </w:r>
      <w:r>
        <w:rPr>
          <w:rFonts w:ascii="Arial" w:cs="Arial" w:eastAsia="Arial" w:hAnsi="Arial"/>
          <w:sz w:val="16"/>
          <w:szCs w:val="16"/>
          <w:b w:val="1"/>
          <w:bCs w:val="1"/>
          <w:color w:val="auto"/>
        </w:rPr>
        <w:t>Plan</w:t>
      </w:r>
      <w:r>
        <w:rPr>
          <w:rFonts w:ascii="Arial" w:cs="Arial" w:eastAsia="Arial" w:hAnsi="Arial"/>
          <w:sz w:val="16"/>
          <w:szCs w:val="16"/>
          <w:color w:val="auto"/>
        </w:rPr>
        <w:t>”) in the amount of $[Ÿ] (allocated to notional MTGE shares), subject to your acceptance of and agreement to the terms and conditions described in this Memorandum and Acceptance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As your Award vests, it will be paid pursuant to Section 6 of the Plan, subject to the terms of any valid deferral election between you and the Company. Capitalized terms used in this Agreement that are not otherwise defined herein shall have the meanings ascribed to such terms in the Plan.</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Your Award consists of three (3) equal installments (each, an “</w:t>
      </w:r>
      <w:r>
        <w:rPr>
          <w:rFonts w:ascii="Arial" w:cs="Arial" w:eastAsia="Arial" w:hAnsi="Arial"/>
          <w:sz w:val="18"/>
          <w:szCs w:val="18"/>
          <w:b w:val="1"/>
          <w:bCs w:val="1"/>
          <w:color w:val="auto"/>
        </w:rPr>
        <w:t>Installment</w:t>
      </w:r>
      <w:r>
        <w:rPr>
          <w:rFonts w:ascii="Arial" w:cs="Arial" w:eastAsia="Arial" w:hAnsi="Arial"/>
          <w:sz w:val="18"/>
          <w:szCs w:val="18"/>
          <w:color w:val="auto"/>
        </w:rPr>
        <w:t>”), each of which shall be considered a separate payment for purposes of Section 409A of the Code. Your Installments shall vest pursuant to the following vesting schedule, subject to your continued service with the Company and/or an Affiliate and the conditions set forth in the Plan:</w:t>
      </w:r>
    </w:p>
    <w:p>
      <w:pPr>
        <w:spacing w:after="0" w:line="342" w:lineRule="exact"/>
        <w:rPr>
          <w:sz w:val="20"/>
          <w:szCs w:val="20"/>
          <w:color w:val="auto"/>
        </w:rPr>
      </w:pPr>
    </w:p>
    <w:p>
      <w:pPr>
        <w:ind w:left="2980"/>
        <w:spacing w:after="0"/>
        <w:tabs>
          <w:tab w:leader="none" w:pos="6640" w:val="left"/>
        </w:tabs>
        <w:rPr>
          <w:sz w:val="20"/>
          <w:szCs w:val="20"/>
          <w:color w:val="auto"/>
        </w:rPr>
      </w:pPr>
      <w:r>
        <w:rPr>
          <w:rFonts w:ascii="Arial" w:cs="Arial" w:eastAsia="Arial" w:hAnsi="Arial"/>
          <w:sz w:val="18"/>
          <w:szCs w:val="18"/>
          <w:u w:val="single" w:color="auto"/>
          <w:color w:val="auto"/>
        </w:rPr>
        <w:t>Date</w:t>
      </w:r>
      <w:r>
        <w:rPr>
          <w:sz w:val="20"/>
          <w:szCs w:val="20"/>
          <w:color w:val="auto"/>
        </w:rPr>
        <w:tab/>
      </w:r>
      <w:r>
        <w:rPr>
          <w:rFonts w:ascii="Arial" w:cs="Arial" w:eastAsia="Arial" w:hAnsi="Arial"/>
          <w:sz w:val="18"/>
          <w:szCs w:val="18"/>
          <w:u w:val="single" w:color="auto"/>
          <w:color w:val="auto"/>
        </w:rPr>
        <w:t>Vested Percentage</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33.33%</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33.33%</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33.34%</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Notwithstanding the foregoing, your Award will become fully vested if, while you are continuously employed by the Company, AGNC or any of their Affiliates (or any of their successors), your employment with the Company, AGNC or any of their Affiliates (or any of their successors) terminates as a result of: (i) your death, (ii) your Disability (pursuant to subparagraph 5(b)(ii) of the Employment Agreement), (iii) a Termination Without Cause (as defined in the Employment Agreement) or (iv) a Termination For Good Reason (as defined in the Employment Agreement). For purposes of this paragraph, “</w:t>
      </w:r>
      <w:r>
        <w:rPr>
          <w:rFonts w:ascii="Arial" w:cs="Arial" w:eastAsia="Arial" w:hAnsi="Arial"/>
          <w:sz w:val="16"/>
          <w:szCs w:val="16"/>
          <w:b w:val="1"/>
          <w:bCs w:val="1"/>
          <w:color w:val="auto"/>
        </w:rPr>
        <w:t>Employment Agreement</w:t>
      </w:r>
      <w:r>
        <w:rPr>
          <w:rFonts w:ascii="Arial" w:cs="Arial" w:eastAsia="Arial" w:hAnsi="Arial"/>
          <w:sz w:val="16"/>
          <w:szCs w:val="16"/>
          <w:color w:val="auto"/>
        </w:rPr>
        <w:t>” means the Amended and Restated Employment Agreement, entered into as of [ ], between you and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please contact your Human Resources representative.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Otherwise, please sign below and return to [Ÿ] by [Ÿ], 2017 to accept and agree to the terms of the Award, including your agreement that the Award is fully subject to, and governed by, the terms of the Plan (as specifically modified herein), a copy of which the Company has previously provided to you.</w:t>
      </w:r>
    </w:p>
    <w:p>
      <w:pPr>
        <w:spacing w:after="0" w:line="1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AGNC Mortgage Management,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_____ day of 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400685</wp:posOffset>
            </wp:positionV>
            <wp:extent cx="57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[Ÿ]</w:t>
      </w:r>
    </w:p>
    <w:p>
      <w:pPr>
        <w:sectPr>
          <w:pgSz w:w="11900" w:h="16838" w:orient="portrait"/>
          <w:cols w:equalWidth="0" w:num="1">
            <w:col w:w="11420"/>
          </w:cols>
          <w:pgMar w:left="240" w:top="58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10.14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Acceptance Agreement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To</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[Ÿ]</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From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AGNC Mortgage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1140" w:type="dxa"/>
            <w:vAlign w:val="bottom"/>
          </w:tcPr>
          <w:p>
            <w:pPr>
              <w:ind w:left="440"/>
              <w:spacing w:after="0"/>
              <w:rPr>
                <w:sz w:val="20"/>
                <w:szCs w:val="20"/>
                <w:color w:val="auto"/>
              </w:rPr>
            </w:pPr>
            <w:r>
              <w:rPr>
                <w:rFonts w:ascii="Arial" w:cs="Arial" w:eastAsia="Arial" w:hAnsi="Arial"/>
                <w:sz w:val="18"/>
                <w:szCs w:val="18"/>
                <w:color w:val="auto"/>
                <w:w w:val="94"/>
              </w:rPr>
              <w:t>[Ÿ], 2017</w:t>
            </w: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Re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Performance Incentive Plan - MTGE Award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are pleased to inform you that on [Ÿ], 2017, AGNC Mortgage Management, LLC (the “</w:t>
      </w:r>
      <w:r>
        <w:rPr>
          <w:rFonts w:ascii="Arial" w:cs="Arial" w:eastAsia="Arial" w:hAnsi="Arial"/>
          <w:sz w:val="16"/>
          <w:szCs w:val="16"/>
          <w:b w:val="1"/>
          <w:bCs w:val="1"/>
          <w:color w:val="auto"/>
        </w:rPr>
        <w:t>Company</w:t>
      </w:r>
      <w:r>
        <w:rPr>
          <w:rFonts w:ascii="Arial" w:cs="Arial" w:eastAsia="Arial" w:hAnsi="Arial"/>
          <w:sz w:val="16"/>
          <w:szCs w:val="16"/>
          <w:color w:val="auto"/>
        </w:rPr>
        <w:t>”) granted you an Incentive Award (the “</w:t>
      </w:r>
      <w:r>
        <w:rPr>
          <w:rFonts w:ascii="Arial" w:cs="Arial" w:eastAsia="Arial" w:hAnsi="Arial"/>
          <w:sz w:val="16"/>
          <w:szCs w:val="16"/>
          <w:b w:val="1"/>
          <w:bCs w:val="1"/>
          <w:color w:val="auto"/>
        </w:rPr>
        <w:t>Award</w:t>
      </w:r>
      <w:r>
        <w:rPr>
          <w:rFonts w:ascii="Arial" w:cs="Arial" w:eastAsia="Arial" w:hAnsi="Arial"/>
          <w:sz w:val="16"/>
          <w:szCs w:val="16"/>
          <w:color w:val="auto"/>
        </w:rPr>
        <w:t>”) under the terms of the AGNC Mortgage Management, LLC Performance Incentive Plan - MTGE (the “</w:t>
      </w:r>
      <w:r>
        <w:rPr>
          <w:rFonts w:ascii="Arial" w:cs="Arial" w:eastAsia="Arial" w:hAnsi="Arial"/>
          <w:sz w:val="16"/>
          <w:szCs w:val="16"/>
          <w:b w:val="1"/>
          <w:bCs w:val="1"/>
          <w:color w:val="auto"/>
        </w:rPr>
        <w:t>Plan</w:t>
      </w:r>
      <w:r>
        <w:rPr>
          <w:rFonts w:ascii="Arial" w:cs="Arial" w:eastAsia="Arial" w:hAnsi="Arial"/>
          <w:sz w:val="16"/>
          <w:szCs w:val="16"/>
          <w:color w:val="auto"/>
        </w:rPr>
        <w:t>”) in the amount of $[Ÿ] (allocated to notional MTGE shares), subject to your acceptance of and agreement to the terms and conditions described in this Memorandum and Acceptance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As your Award vests, it will be paid pursuant to Section 6 of the Plan, subject to the terms of any valid deferral election between you and the Company. Capitalized terms used in this Agreement that are not otherwise defined herein shall have the meanings ascribed to such terms in the Plan.</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Your Award consists of three (3) equal installments (each, an “</w:t>
      </w:r>
      <w:r>
        <w:rPr>
          <w:rFonts w:ascii="Arial" w:cs="Arial" w:eastAsia="Arial" w:hAnsi="Arial"/>
          <w:sz w:val="18"/>
          <w:szCs w:val="18"/>
          <w:b w:val="1"/>
          <w:bCs w:val="1"/>
          <w:color w:val="auto"/>
        </w:rPr>
        <w:t>Installment</w:t>
      </w:r>
      <w:r>
        <w:rPr>
          <w:rFonts w:ascii="Arial" w:cs="Arial" w:eastAsia="Arial" w:hAnsi="Arial"/>
          <w:sz w:val="18"/>
          <w:szCs w:val="18"/>
          <w:color w:val="auto"/>
        </w:rPr>
        <w:t>”), each of which shall be considered a separate payment for purposes of Section 409A of the Code. Your Installments shall vest pursuant to the following vesting schedule, subject to your continued service with the Company and/or an Affiliate and the conditions set forth in the Plan:</w:t>
      </w:r>
    </w:p>
    <w:p>
      <w:pPr>
        <w:spacing w:after="0" w:line="342" w:lineRule="exact"/>
        <w:rPr>
          <w:sz w:val="20"/>
          <w:szCs w:val="20"/>
          <w:color w:val="auto"/>
        </w:rPr>
      </w:pPr>
    </w:p>
    <w:p>
      <w:pPr>
        <w:ind w:left="2980"/>
        <w:spacing w:after="0"/>
        <w:tabs>
          <w:tab w:leader="none" w:pos="6640" w:val="left"/>
        </w:tabs>
        <w:rPr>
          <w:sz w:val="20"/>
          <w:szCs w:val="20"/>
          <w:color w:val="auto"/>
        </w:rPr>
      </w:pPr>
      <w:r>
        <w:rPr>
          <w:rFonts w:ascii="Arial" w:cs="Arial" w:eastAsia="Arial" w:hAnsi="Arial"/>
          <w:sz w:val="18"/>
          <w:szCs w:val="18"/>
          <w:u w:val="single" w:color="auto"/>
          <w:color w:val="auto"/>
        </w:rPr>
        <w:t>Date</w:t>
      </w:r>
      <w:r>
        <w:rPr>
          <w:sz w:val="20"/>
          <w:szCs w:val="20"/>
          <w:color w:val="auto"/>
        </w:rPr>
        <w:tab/>
      </w:r>
      <w:r>
        <w:rPr>
          <w:rFonts w:ascii="Arial" w:cs="Arial" w:eastAsia="Arial" w:hAnsi="Arial"/>
          <w:sz w:val="18"/>
          <w:szCs w:val="18"/>
          <w:u w:val="single" w:color="auto"/>
          <w:color w:val="auto"/>
        </w:rPr>
        <w:t>Vested Percentage</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33.33%</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33.33%</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33.34%</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a Re-Externalization (as defined below), your Award will become fully vested upon the occurrence of the earliest of any of the following events:</w:t>
      </w:r>
    </w:p>
    <w:p>
      <w:pPr>
        <w:spacing w:after="0" w:line="170" w:lineRule="exact"/>
        <w:rPr>
          <w:sz w:val="20"/>
          <w:szCs w:val="20"/>
          <w:color w:val="auto"/>
        </w:rPr>
      </w:pPr>
    </w:p>
    <w:p>
      <w:pPr>
        <w:jc w:val="both"/>
        <w:ind w:left="660" w:hanging="328"/>
        <w:spacing w:after="0" w:line="267"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While you are continuously employed by the AGNC or an Affiliate (or any of their successors): (i) a Re-Externalization occurs and on the date of such Re-Externalization, or during the thirty (30) day period thereafter if as a result of such Re-Externalization, (A) your job title, duties or responsibilities are materially and adversely changed, (B) your annual base salary or annual cash bonus opportunity is materially reduced or (C) your principal office is relocated to a location that is in excess of fifty (50) miles from Bethesda, Maryland; or (ii) a Re-Externalization occurs pursuant to prong (ii) of the definition below and as of the date of such Re-Externalization, the Third-Party Manager (as defined below) (or any of its affiliates) has failed to provide you with an offer of employment that provides for (A) a job title, duties or responsibilities that are materially no less favorable than your job title, duties or responsibilities immediately prior to such Re-Externalization, (B) an annual base salary and an annual cash bonus opportunity that are materially no less favorable than your annual base salary and annual cash bonus opportunity immediately prior to such Re-Externalization and (C) a principal office location that is not in excess of fifty (50) miles from Bethesda, Maryland (in any such case, as determined by the Committee, in its sole discretion); or</w:t>
      </w:r>
    </w:p>
    <w:p>
      <w:pPr>
        <w:ind w:left="660" w:hanging="328"/>
        <w:spacing w:after="0" w:line="250"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During the 24-month period following completion of a Re-Externalization, your employment is terminated by the Company (or any of its successors) or the Third-Party Manager (or any of its affiliates), as applicable, as a result of your termination without Cause.</w:t>
      </w:r>
    </w:p>
    <w:p>
      <w:pPr>
        <w:ind w:left="660"/>
        <w:spacing w:after="0"/>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06"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Re-Externalization</w:t>
      </w:r>
      <w:r>
        <w:rPr>
          <w:rFonts w:ascii="Arial" w:cs="Arial" w:eastAsia="Arial" w:hAnsi="Arial"/>
          <w:sz w:val="17"/>
          <w:szCs w:val="17"/>
          <w:color w:val="auto"/>
        </w:rPr>
        <w:t>” means (i) a sale, merger or other transaction that results in the transfer or issuance of a majority of the equity interests of the Company or AGNC Management, LLC to a third-party that is not an Affiliate of such entities (other than as a result of such transaction and the transfer or issuance of such equity interests) (a “</w:t>
      </w:r>
      <w:r>
        <w:rPr>
          <w:rFonts w:ascii="Arial" w:cs="Arial" w:eastAsia="Arial" w:hAnsi="Arial"/>
          <w:sz w:val="17"/>
          <w:szCs w:val="17"/>
          <w:b w:val="1"/>
          <w:bCs w:val="1"/>
          <w:color w:val="auto"/>
        </w:rPr>
        <w:t>Third-Party Manager</w:t>
      </w:r>
      <w:r>
        <w:rPr>
          <w:rFonts w:ascii="Arial" w:cs="Arial" w:eastAsia="Arial" w:hAnsi="Arial"/>
          <w:sz w:val="17"/>
          <w:szCs w:val="17"/>
          <w:color w:val="auto"/>
        </w:rPr>
        <w:t>”); or (ii) AGNC enters into, or otherwise becomes a party, to a management, investment advisory and/or administrative services agreement with Third-Party Manager pursuant to which the Third-Party Manager will provide all or substantially all of the investment advisory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40" w:name="page141"/>
    <w:bookmarkEnd w:id="140"/>
    <w:p>
      <w:pPr>
        <w:ind w:left="1300" w:right="640"/>
        <w:spacing w:after="0" w:line="324" w:lineRule="auto"/>
        <w:rPr>
          <w:sz w:val="20"/>
          <w:szCs w:val="20"/>
          <w:color w:val="auto"/>
        </w:rPr>
      </w:pPr>
      <w:r>
        <w:rPr>
          <w:rFonts w:ascii="Arial" w:cs="Arial" w:eastAsia="Arial" w:hAnsi="Arial"/>
          <w:sz w:val="18"/>
          <w:szCs w:val="18"/>
          <w:color w:val="auto"/>
        </w:rPr>
        <w:t>administrative functions (e.g., accounting, treasury, legal, finance, investor relations, back office and other non-investment advisory services) of AGNC.</w:t>
      </w:r>
    </w:p>
    <w:p>
      <w:pPr>
        <w:spacing w:after="0" w:line="143" w:lineRule="exact"/>
        <w:rPr>
          <w:sz w:val="20"/>
          <w:szCs w:val="20"/>
          <w:color w:val="auto"/>
        </w:rPr>
      </w:pPr>
    </w:p>
    <w:p>
      <w:pPr>
        <w:jc w:val="both"/>
        <w:ind w:left="1300" w:hanging="320"/>
        <w:spacing w:after="0" w:line="256"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you commence employment with the Third-Party Manager pursuant to an offer of employment made on or before the date of a Re-Externalization, your termination of employment with the Company (or any of its successors) on the date of such Re-Externalization shall not constitute a cessation of continuous employment for purposes of this Agreement.</w:t>
      </w:r>
    </w:p>
    <w:p>
      <w:pPr>
        <w:ind w:left="660"/>
        <w:spacing w:after="0"/>
        <w:rPr>
          <w:sz w:val="20"/>
          <w:szCs w:val="20"/>
          <w:color w:val="auto"/>
        </w:rPr>
      </w:pPr>
      <w:r>
        <w:rPr>
          <w:rFonts w:ascii="Arial" w:cs="Arial" w:eastAsia="Arial" w:hAnsi="Arial"/>
          <w:sz w:val="18"/>
          <w:szCs w:val="18"/>
          <w:color w:val="auto"/>
        </w:rPr>
        <w:t>If you have any questions, please contact your Human Resources representative.</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Otherwise, please sign below and return to [Ÿ] by [Ÿ], 2017 to accept and agree to the terms of the Award, including your agreement that the Award is fully subject to, and governed by, the terms of the Plan (as specifically modified herein), a copy of which the Company has previously provided to you.</w:t>
      </w:r>
    </w:p>
    <w:p>
      <w:pPr>
        <w:spacing w:after="0" w:line="1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AGNC Mortgage Management,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_____ day of 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400685</wp:posOffset>
            </wp:positionV>
            <wp:extent cx="571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[Ÿ]</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12.1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Stock Dividends</w:t>
      </w:r>
    </w:p>
    <w:p>
      <w:pPr>
        <w:spacing w:after="0" w:line="200" w:lineRule="exact"/>
        <w:rPr>
          <w:sz w:val="20"/>
          <w:szCs w:val="20"/>
          <w:color w:val="auto"/>
        </w:rPr>
      </w:pPr>
    </w:p>
    <w:p>
      <w:pPr>
        <w:spacing w:after="0" w:line="2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calculation of our ratio of earnings to fixed charges and our ratio of earnings to combined fixed charges and preferred stock dividends for the periods shown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512</w:t>
            </w:r>
          </w:p>
        </w:tc>
      </w:tr>
      <w:tr>
        <w:trPr>
          <w:trHeight w:val="22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 available (attributable) to common shareholders before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r>
      <w:tr>
        <w:trPr>
          <w:trHeight w:val="28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1,779</w:t>
            </w:r>
          </w:p>
        </w:tc>
      </w:tr>
      <w:tr>
        <w:trPr>
          <w:trHeight w:val="311"/>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9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Ratio of earnings to fixed charges</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w:t>
            </w:r>
          </w:p>
        </w:tc>
      </w:tr>
      <w:tr>
        <w:trPr>
          <w:trHeight w:val="487"/>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w w:val="95"/>
              </w:rPr>
              <w:t>Ratio of earnings to combined fixed charges and preferred stock dividends: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r>
      <w:tr>
        <w:trPr>
          <w:trHeight w:val="237"/>
        </w:trPr>
        <w:tc>
          <w:tcPr>
            <w:tcW w:w="5580" w:type="dxa"/>
            <w:vAlign w:val="bottom"/>
          </w:tcPr>
          <w:p>
            <w:pPr>
              <w:ind w:left="120"/>
              <w:spacing w:after="0"/>
              <w:rPr>
                <w:sz w:val="20"/>
                <w:szCs w:val="20"/>
                <w:color w:val="auto"/>
              </w:rPr>
            </w:pPr>
            <w:r>
              <w:rPr>
                <w:rFonts w:ascii="Arial" w:cs="Arial" w:eastAsia="Arial" w:hAnsi="Arial"/>
                <w:sz w:val="16"/>
                <w:szCs w:val="16"/>
                <w:color w:val="auto"/>
              </w:rPr>
              <w:t>Preferred stock dividends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Combined fixed charges and preferred stock dividends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20"/>
        </w:trPr>
        <w:tc>
          <w:tcPr>
            <w:tcW w:w="5580" w:type="dxa"/>
            <w:vAlign w:val="bottom"/>
          </w:tcPr>
          <w:p>
            <w:pPr>
              <w:ind w:left="120"/>
              <w:spacing w:after="0"/>
              <w:rPr>
                <w:sz w:val="20"/>
                <w:szCs w:val="20"/>
                <w:color w:val="auto"/>
              </w:rPr>
            </w:pPr>
            <w:r>
              <w:rPr>
                <w:rFonts w:ascii="Arial" w:cs="Arial" w:eastAsia="Arial" w:hAnsi="Arial"/>
                <w:sz w:val="16"/>
                <w:szCs w:val="16"/>
                <w:color w:val="auto"/>
              </w:rPr>
              <w:t>Net income (loss) available (attributable) to common shareholders before</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580" w:type="dxa"/>
            <w:vAlign w:val="bottom"/>
          </w:tcPr>
          <w:p>
            <w:pPr>
              <w:ind w:left="2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1,267</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1,789</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Ratio of earnings to combined fixed charges and preferred stock dividends</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2"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Fixed charges consist of interest expense, as defined under U.S. generally accepted accounting principles, on all indebtedness.</w:t>
      </w:r>
    </w:p>
    <w:p>
      <w:pPr>
        <w:sectPr>
          <w:pgSz w:w="11900" w:h="16838" w:orient="portrait"/>
          <w:cols w:equalWidth="0" w:num="1">
            <w:col w:w="11420"/>
          </w:cols>
          <w:pgMar w:left="240" w:top="584"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 CODE OF ETHICS AND CONDUCT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October 18, 2016</w:t>
      </w:r>
    </w:p>
    <w:p>
      <w:pPr>
        <w:spacing w:after="0" w:line="225"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7" w:lineRule="exact"/>
        <w:rPr>
          <w:rFonts w:ascii="Arial" w:cs="Arial" w:eastAsia="Arial" w:hAnsi="Arial"/>
          <w:sz w:val="18"/>
          <w:szCs w:val="18"/>
          <w:color w:val="auto"/>
        </w:rPr>
      </w:pPr>
    </w:p>
    <w:p>
      <w:pPr>
        <w:ind w:left="660"/>
        <w:spacing w:after="0" w:line="290" w:lineRule="auto"/>
        <w:rPr>
          <w:rFonts w:ascii="Arial" w:cs="Arial" w:eastAsia="Arial" w:hAnsi="Arial"/>
          <w:sz w:val="18"/>
          <w:szCs w:val="18"/>
          <w:color w:val="auto"/>
        </w:rPr>
      </w:pPr>
      <w:r>
        <w:rPr>
          <w:rFonts w:ascii="Arial" w:cs="Arial" w:eastAsia="Arial" w:hAnsi="Arial"/>
          <w:sz w:val="17"/>
          <w:szCs w:val="17"/>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161"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181"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Observing all laws and regulations</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Maintaining accurate and complete company records</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Protecting confidential information</w:t>
      </w:r>
    </w:p>
    <w:p>
      <w:pPr>
        <w:spacing w:after="0" w:line="2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18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183"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OBSERVING ALL LAWS, RULES AND REGULATIONS</w:t>
      </w:r>
    </w:p>
    <w:p>
      <w:pPr>
        <w:spacing w:after="0" w:line="27"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GENERALLY</w:t>
      </w:r>
    </w:p>
    <w:p>
      <w:pPr>
        <w:spacing w:after="0" w:line="9"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190" w:lineRule="exact"/>
        <w:rPr>
          <w:rFonts w:ascii="Arial" w:cs="Arial" w:eastAsia="Arial" w:hAnsi="Arial"/>
          <w:sz w:val="18"/>
          <w:szCs w:val="18"/>
          <w:color w:val="auto"/>
        </w:rPr>
      </w:pPr>
    </w:p>
    <w:p>
      <w:pPr>
        <w:jc w:val="both"/>
        <w:ind w:left="1300"/>
        <w:spacing w:after="0" w:line="293" w:lineRule="auto"/>
        <w:rPr>
          <w:rFonts w:ascii="Arial" w:cs="Arial" w:eastAsia="Arial" w:hAnsi="Arial"/>
          <w:sz w:val="18"/>
          <w:szCs w:val="18"/>
          <w:color w:val="auto"/>
        </w:rPr>
      </w:pPr>
      <w:r>
        <w:rPr>
          <w:rFonts w:ascii="Arial" w:cs="Arial" w:eastAsia="Arial" w:hAnsi="Arial"/>
          <w:sz w:val="16"/>
          <w:szCs w:val="16"/>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BRIBES AND KICKBACKS</w:t>
      </w:r>
    </w:p>
    <w:p>
      <w:pPr>
        <w:spacing w:after="0" w:line="27"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8"/>
          <w:szCs w:val="18"/>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43" w:name="page144"/>
    <w:bookmarkEnd w:id="143"/>
    <w:p>
      <w:pPr>
        <w:jc w:val="both"/>
        <w:ind w:left="644"/>
        <w:spacing w:after="0" w:line="312" w:lineRule="auto"/>
        <w:rPr>
          <w:sz w:val="20"/>
          <w:szCs w:val="20"/>
          <w:color w:val="auto"/>
        </w:rPr>
      </w:pPr>
      <w:r>
        <w:rPr>
          <w:rFonts w:ascii="Arial" w:cs="Arial" w:eastAsia="Arial" w:hAnsi="Arial"/>
          <w:sz w:val="16"/>
          <w:szCs w:val="16"/>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147" w:lineRule="exact"/>
        <w:rPr>
          <w:sz w:val="20"/>
          <w:szCs w:val="20"/>
          <w:color w:val="auto"/>
        </w:rPr>
      </w:pPr>
    </w:p>
    <w:p>
      <w:pPr>
        <w:jc w:val="both"/>
        <w:ind w:left="644"/>
        <w:spacing w:after="0" w:line="308" w:lineRule="auto"/>
        <w:rPr>
          <w:sz w:val="20"/>
          <w:szCs w:val="20"/>
          <w:color w:val="auto"/>
        </w:rPr>
      </w:pPr>
      <w:r>
        <w:rPr>
          <w:rFonts w:ascii="Arial" w:cs="Arial" w:eastAsia="Arial" w:hAnsi="Arial"/>
          <w:sz w:val="17"/>
          <w:szCs w:val="17"/>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143" w:lineRule="exact"/>
        <w:rPr>
          <w:sz w:val="20"/>
          <w:szCs w:val="20"/>
          <w:color w:val="auto"/>
        </w:rPr>
      </w:pPr>
    </w:p>
    <w:p>
      <w:pPr>
        <w:ind w:left="644" w:hanging="644"/>
        <w:spacing w:after="0"/>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INTERNATIONAL ISSUES</w:t>
      </w:r>
    </w:p>
    <w:p>
      <w:pPr>
        <w:spacing w:after="0" w:line="27" w:lineRule="exact"/>
        <w:rPr>
          <w:rFonts w:ascii="Arial" w:cs="Arial" w:eastAsia="Arial" w:hAnsi="Arial"/>
          <w:sz w:val="18"/>
          <w:szCs w:val="18"/>
          <w:color w:val="auto"/>
        </w:rPr>
      </w:pPr>
    </w:p>
    <w:p>
      <w:pPr>
        <w:ind w:left="644"/>
        <w:spacing w:after="0" w:line="261" w:lineRule="auto"/>
        <w:rPr>
          <w:rFonts w:ascii="Arial" w:cs="Arial" w:eastAsia="Arial" w:hAnsi="Arial"/>
          <w:sz w:val="18"/>
          <w:szCs w:val="18"/>
          <w:color w:val="auto"/>
        </w:rPr>
      </w:pPr>
      <w:r>
        <w:rPr>
          <w:rFonts w:ascii="Arial" w:cs="Arial" w:eastAsia="Arial" w:hAnsi="Arial"/>
          <w:sz w:val="18"/>
          <w:szCs w:val="18"/>
          <w:color w:val="auto"/>
        </w:rPr>
        <w:t>You are expected to comply with the legal requirements and ethical standards of each country in which you conduct AGNC business, as well as with all U.S. laws applicable in other countries.</w:t>
      </w:r>
    </w:p>
    <w:p>
      <w:pPr>
        <w:spacing w:after="0" w:line="183" w:lineRule="exact"/>
        <w:rPr>
          <w:rFonts w:ascii="Arial" w:cs="Arial" w:eastAsia="Arial" w:hAnsi="Arial"/>
          <w:sz w:val="18"/>
          <w:szCs w:val="18"/>
          <w:color w:val="auto"/>
        </w:rPr>
      </w:pPr>
    </w:p>
    <w:p>
      <w:pPr>
        <w:jc w:val="both"/>
        <w:ind w:left="644"/>
        <w:spacing w:after="0" w:line="255" w:lineRule="auto"/>
        <w:rPr>
          <w:rFonts w:ascii="Arial" w:cs="Arial" w:eastAsia="Arial" w:hAnsi="Arial"/>
          <w:sz w:val="18"/>
          <w:szCs w:val="18"/>
          <w:color w:val="auto"/>
        </w:rPr>
      </w:pPr>
      <w:r>
        <w:rPr>
          <w:rFonts w:ascii="Arial" w:cs="Arial" w:eastAsia="Arial" w:hAnsi="Arial"/>
          <w:sz w:val="18"/>
          <w:szCs w:val="18"/>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statutes that may affect our international investments include, but are not limited to, the Anti-Bribery and Fair Competition Act and the Export Administration Act. If you have any questions regarding these legal requirements, please contact a member of our Legal team.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644" w:hanging="644"/>
        <w:spacing w:after="0"/>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POLITICAL ACTIVITY</w:t>
      </w:r>
    </w:p>
    <w:p>
      <w:pPr>
        <w:spacing w:after="0" w:line="27" w:lineRule="exact"/>
        <w:rPr>
          <w:rFonts w:ascii="Arial" w:cs="Arial" w:eastAsia="Arial" w:hAnsi="Arial"/>
          <w:sz w:val="18"/>
          <w:szCs w:val="18"/>
          <w:color w:val="auto"/>
        </w:rPr>
      </w:pPr>
    </w:p>
    <w:p>
      <w:pPr>
        <w:jc w:val="both"/>
        <w:ind w:left="644"/>
        <w:spacing w:after="0" w:line="252" w:lineRule="auto"/>
        <w:rPr>
          <w:rFonts w:ascii="Arial" w:cs="Arial" w:eastAsia="Arial" w:hAnsi="Arial"/>
          <w:sz w:val="18"/>
          <w:szCs w:val="18"/>
          <w:color w:val="auto"/>
        </w:rPr>
      </w:pPr>
      <w:r>
        <w:rPr>
          <w:rFonts w:ascii="Arial" w:cs="Arial" w:eastAsia="Arial" w:hAnsi="Arial"/>
          <w:sz w:val="18"/>
          <w:szCs w:val="18"/>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190" w:lineRule="exact"/>
        <w:rPr>
          <w:rFonts w:ascii="Arial" w:cs="Arial" w:eastAsia="Arial" w:hAnsi="Arial"/>
          <w:sz w:val="18"/>
          <w:szCs w:val="18"/>
          <w:color w:val="auto"/>
        </w:rPr>
      </w:pPr>
    </w:p>
    <w:p>
      <w:pPr>
        <w:ind w:left="644" w:hanging="644"/>
        <w:spacing w:after="0"/>
        <w:tabs>
          <w:tab w:leader="none" w:pos="64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ANTITRUST</w:t>
      </w:r>
    </w:p>
    <w:p>
      <w:pPr>
        <w:spacing w:after="0" w:line="27"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7"/>
          <w:szCs w:val="17"/>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174" w:lineRule="exact"/>
        <w:rPr>
          <w:rFonts w:ascii="Arial" w:cs="Arial" w:eastAsia="Arial" w:hAnsi="Arial"/>
          <w:sz w:val="18"/>
          <w:szCs w:val="18"/>
          <w:color w:val="auto"/>
        </w:rPr>
      </w:pPr>
    </w:p>
    <w:p>
      <w:pPr>
        <w:ind w:left="1304" w:hanging="655"/>
        <w:spacing w:after="0"/>
        <w:tabs>
          <w:tab w:leader="none" w:pos="1304"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Agreements with Competitors</w:t>
      </w:r>
    </w:p>
    <w:p>
      <w:pPr>
        <w:spacing w:after="0" w:line="27" w:lineRule="exact"/>
        <w:rPr>
          <w:rFonts w:ascii="Arial" w:cs="Arial" w:eastAsia="Arial" w:hAnsi="Arial"/>
          <w:sz w:val="18"/>
          <w:szCs w:val="18"/>
          <w:color w:val="auto"/>
        </w:rPr>
      </w:pPr>
    </w:p>
    <w:p>
      <w:pPr>
        <w:ind w:left="1304"/>
        <w:spacing w:after="0" w:line="261" w:lineRule="auto"/>
        <w:rPr>
          <w:rFonts w:ascii="Arial" w:cs="Arial" w:eastAsia="Arial" w:hAnsi="Arial"/>
          <w:sz w:val="18"/>
          <w:szCs w:val="18"/>
          <w:color w:val="auto"/>
        </w:rPr>
      </w:pPr>
      <w:r>
        <w:rPr>
          <w:rFonts w:ascii="Arial" w:cs="Arial" w:eastAsia="Arial" w:hAnsi="Arial"/>
          <w:sz w:val="18"/>
          <w:szCs w:val="18"/>
          <w:color w:val="auto"/>
        </w:rPr>
        <w:t>The following agreements, arrangements or understandings between AGNC and its competitors (whether oral or in writing) should be avoided:</w:t>
      </w:r>
    </w:p>
    <w:p>
      <w:pPr>
        <w:spacing w:after="0" w:line="183" w:lineRule="exact"/>
        <w:rPr>
          <w:rFonts w:ascii="Arial" w:cs="Arial" w:eastAsia="Arial" w:hAnsi="Arial"/>
          <w:sz w:val="18"/>
          <w:szCs w:val="18"/>
          <w:color w:val="auto"/>
        </w:rPr>
      </w:pPr>
    </w:p>
    <w:p>
      <w:pPr>
        <w:ind w:left="1624" w:hanging="327"/>
        <w:spacing w:after="0"/>
        <w:tabs>
          <w:tab w:leader="none" w:pos="162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Agreements that affect the price or other terms or conditions of sale of products or the terms on which we invest;</w:t>
      </w:r>
    </w:p>
    <w:p>
      <w:pPr>
        <w:spacing w:after="0" w:line="23" w:lineRule="exact"/>
        <w:rPr>
          <w:rFonts w:ascii="Arial" w:cs="Arial" w:eastAsia="Arial" w:hAnsi="Arial"/>
          <w:sz w:val="18"/>
          <w:szCs w:val="18"/>
          <w:color w:val="auto"/>
        </w:rPr>
      </w:pPr>
    </w:p>
    <w:p>
      <w:pPr>
        <w:ind w:left="1624" w:right="340" w:hanging="327"/>
        <w:spacing w:after="0" w:line="250" w:lineRule="auto"/>
        <w:tabs>
          <w:tab w:leader="none" w:pos="162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Agreements regarding the companies in which AGNC or its managed companies will, or will not, invest or sell or provide services;</w:t>
      </w:r>
    </w:p>
    <w:p>
      <w:pPr>
        <w:ind w:left="1624" w:hanging="327"/>
        <w:spacing w:after="0"/>
        <w:tabs>
          <w:tab w:leader="none" w:pos="1624" w:val="left"/>
        </w:tabs>
        <w:numPr>
          <w:ilvl w:val="2"/>
          <w:numId w:val="134"/>
        </w:numPr>
        <w:rPr>
          <w:rFonts w:ascii="Arial" w:cs="Arial" w:eastAsia="Arial" w:hAnsi="Arial"/>
          <w:sz w:val="17"/>
          <w:szCs w:val="17"/>
          <w:color w:val="auto"/>
        </w:rPr>
      </w:pPr>
      <w:r>
        <w:rPr>
          <w:rFonts w:ascii="Arial" w:cs="Arial" w:eastAsia="Arial" w:hAnsi="Arial"/>
          <w:sz w:val="17"/>
          <w:szCs w:val="17"/>
          <w:color w:val="auto"/>
        </w:rPr>
        <w:t>Agreements to refuse to invest in or sell to particular businesses or to refuse to buy from particular businesses; and</w:t>
      </w:r>
    </w:p>
    <w:p>
      <w:pPr>
        <w:spacing w:after="0" w:line="20" w:lineRule="exact"/>
        <w:rPr>
          <w:rFonts w:ascii="Arial" w:cs="Arial" w:eastAsia="Arial" w:hAnsi="Arial"/>
          <w:sz w:val="17"/>
          <w:szCs w:val="17"/>
          <w:color w:val="auto"/>
        </w:rPr>
      </w:pPr>
    </w:p>
    <w:p>
      <w:pPr>
        <w:ind w:left="1624" w:hanging="327"/>
        <w:spacing w:after="0"/>
        <w:tabs>
          <w:tab w:leader="none" w:pos="162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Agreements that limit the types of investments that AGNC will make.</w:t>
      </w:r>
    </w:p>
    <w:p>
      <w:pPr>
        <w:spacing w:after="0" w:line="9" w:lineRule="exact"/>
        <w:rPr>
          <w:sz w:val="20"/>
          <w:szCs w:val="20"/>
          <w:color w:val="auto"/>
        </w:rPr>
      </w:pPr>
    </w:p>
    <w:p>
      <w:pPr>
        <w:jc w:val="both"/>
        <w:ind w:left="1304"/>
        <w:spacing w:after="0" w:line="273" w:lineRule="auto"/>
        <w:rPr>
          <w:sz w:val="20"/>
          <w:szCs w:val="20"/>
          <w:color w:val="auto"/>
        </w:rPr>
      </w:pPr>
      <w:r>
        <w:rPr>
          <w:rFonts w:ascii="Arial" w:cs="Arial" w:eastAsia="Arial" w:hAnsi="Arial"/>
          <w:sz w:val="17"/>
          <w:szCs w:val="17"/>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pacing w:after="0" w:line="200" w:lineRule="exact"/>
        <w:rPr>
          <w:sz w:val="20"/>
          <w:szCs w:val="20"/>
          <w:color w:val="auto"/>
        </w:rPr>
      </w:pPr>
    </w:p>
    <w:p>
      <w:pPr>
        <w:spacing w:after="0" w:line="22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84" w:right="239" w:bottom="1440" w:gutter="0" w:footer="0" w:header="0"/>
        </w:sectPr>
      </w:pPr>
    </w:p>
    <w:bookmarkStart w:id="144" w:name="page145"/>
    <w:bookmarkEnd w:id="144"/>
    <w:p>
      <w:pPr>
        <w:ind w:left="1304"/>
        <w:spacing w:after="0" w:line="277" w:lineRule="auto"/>
        <w:rPr>
          <w:sz w:val="20"/>
          <w:szCs w:val="20"/>
          <w:color w:val="auto"/>
        </w:rPr>
      </w:pPr>
      <w:r>
        <w:rPr>
          <w:rFonts w:ascii="Arial" w:cs="Arial" w:eastAsia="Arial" w:hAnsi="Arial"/>
          <w:sz w:val="18"/>
          <w:szCs w:val="18"/>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200" w:lineRule="exact"/>
        <w:rPr>
          <w:sz w:val="20"/>
          <w:szCs w:val="20"/>
          <w:color w:val="auto"/>
        </w:rPr>
      </w:pPr>
    </w:p>
    <w:p>
      <w:pPr>
        <w:spacing w:after="0" w:line="399" w:lineRule="exact"/>
        <w:rPr>
          <w:sz w:val="20"/>
          <w:szCs w:val="20"/>
          <w:color w:val="auto"/>
        </w:rPr>
      </w:pPr>
    </w:p>
    <w:p>
      <w:pPr>
        <w:ind w:left="644" w:hanging="644"/>
        <w:spacing w:after="0"/>
        <w:tabs>
          <w:tab w:leader="none" w:pos="644"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SECURITIES LAWS AND INSIDER TRADING</w:t>
      </w:r>
    </w:p>
    <w:p>
      <w:pPr>
        <w:spacing w:after="0" w:line="27" w:lineRule="exact"/>
        <w:rPr>
          <w:rFonts w:ascii="Arial" w:cs="Arial" w:eastAsia="Arial" w:hAnsi="Arial"/>
          <w:sz w:val="18"/>
          <w:szCs w:val="18"/>
          <w:color w:val="auto"/>
        </w:rPr>
      </w:pPr>
    </w:p>
    <w:p>
      <w:pPr>
        <w:jc w:val="both"/>
        <w:ind w:left="644"/>
        <w:spacing w:after="0" w:line="255" w:lineRule="auto"/>
        <w:rPr>
          <w:rFonts w:ascii="Arial" w:cs="Arial" w:eastAsia="Arial" w:hAnsi="Arial"/>
          <w:sz w:val="18"/>
          <w:szCs w:val="18"/>
          <w:color w:val="auto"/>
        </w:rPr>
      </w:pPr>
      <w:r>
        <w:rPr>
          <w:rFonts w:ascii="Arial" w:cs="Arial" w:eastAsia="Arial" w:hAnsi="Arial"/>
          <w:sz w:val="18"/>
          <w:szCs w:val="18"/>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190" w:lineRule="exact"/>
        <w:rPr>
          <w:rFonts w:ascii="Arial" w:cs="Arial" w:eastAsia="Arial" w:hAnsi="Arial"/>
          <w:sz w:val="18"/>
          <w:szCs w:val="18"/>
          <w:color w:val="auto"/>
        </w:rPr>
      </w:pPr>
    </w:p>
    <w:p>
      <w:pPr>
        <w:jc w:val="both"/>
        <w:ind w:left="644"/>
        <w:spacing w:after="0" w:line="257" w:lineRule="auto"/>
        <w:rPr>
          <w:rFonts w:ascii="Arial" w:cs="Arial" w:eastAsia="Arial" w:hAnsi="Arial"/>
          <w:sz w:val="18"/>
          <w:szCs w:val="18"/>
          <w:color w:val="auto"/>
        </w:rPr>
      </w:pPr>
      <w:r>
        <w:rPr>
          <w:rFonts w:ascii="Arial" w:cs="Arial" w:eastAsia="Arial" w:hAnsi="Arial"/>
          <w:sz w:val="18"/>
          <w:szCs w:val="18"/>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spacing w:after="0" w:line="184" w:lineRule="exact"/>
        <w:rPr>
          <w:rFonts w:ascii="Arial" w:cs="Arial" w:eastAsia="Arial" w:hAnsi="Arial"/>
          <w:sz w:val="18"/>
          <w:szCs w:val="18"/>
          <w:color w:val="auto"/>
        </w:rPr>
      </w:pPr>
    </w:p>
    <w:p>
      <w:pPr>
        <w:ind w:left="1304" w:hanging="655"/>
        <w:spacing w:after="0"/>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Policy Statement</w:t>
      </w:r>
    </w:p>
    <w:p>
      <w:pPr>
        <w:spacing w:after="0" w:line="27" w:lineRule="exact"/>
        <w:rPr>
          <w:rFonts w:ascii="Arial" w:cs="Arial" w:eastAsia="Arial" w:hAnsi="Arial"/>
          <w:sz w:val="18"/>
          <w:szCs w:val="18"/>
          <w:color w:val="auto"/>
        </w:rPr>
      </w:pPr>
    </w:p>
    <w:p>
      <w:pPr>
        <w:jc w:val="both"/>
        <w:ind w:left="1304"/>
        <w:spacing w:after="0" w:line="295" w:lineRule="auto"/>
        <w:rPr>
          <w:rFonts w:ascii="Arial" w:cs="Arial" w:eastAsia="Arial" w:hAnsi="Arial"/>
          <w:sz w:val="18"/>
          <w:szCs w:val="18"/>
          <w:color w:val="auto"/>
        </w:rPr>
      </w:pPr>
      <w:r>
        <w:rPr>
          <w:rFonts w:ascii="Arial" w:cs="Arial" w:eastAsia="Arial" w:hAnsi="Arial"/>
          <w:sz w:val="16"/>
          <w:szCs w:val="16"/>
          <w:color w:val="auto"/>
        </w:rPr>
        <w:t>AGNC people who have material, nonpublic (i.e., inside) information about AGNC should not buy or sell AGNC securities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w:t>
      </w:r>
    </w:p>
    <w:p>
      <w:pPr>
        <w:spacing w:after="0" w:line="161" w:lineRule="exact"/>
        <w:rPr>
          <w:rFonts w:ascii="Arial" w:cs="Arial" w:eastAsia="Arial" w:hAnsi="Arial"/>
          <w:sz w:val="18"/>
          <w:szCs w:val="18"/>
          <w:color w:val="auto"/>
        </w:rPr>
      </w:pPr>
    </w:p>
    <w:p>
      <w:pPr>
        <w:ind w:left="1304"/>
        <w:spacing w:after="0" w:line="277" w:lineRule="auto"/>
        <w:rPr>
          <w:rFonts w:ascii="Arial" w:cs="Arial" w:eastAsia="Arial" w:hAnsi="Arial"/>
          <w:sz w:val="18"/>
          <w:szCs w:val="18"/>
          <w:color w:val="auto"/>
        </w:rPr>
      </w:pPr>
      <w:r>
        <w:rPr>
          <w:rFonts w:ascii="Arial" w:cs="Arial" w:eastAsia="Arial" w:hAnsi="Arial"/>
          <w:sz w:val="18"/>
          <w:szCs w:val="18"/>
          <w:color w:val="auto"/>
        </w:rPr>
        <w:t>We further believe that it is highly inappropriate for any AGNC person to sell short AGNC stock or engage in other transactions where the person will earn a profit based on a decline in AGNC’s stock price.</w:t>
      </w:r>
    </w:p>
    <w:p>
      <w:pPr>
        <w:spacing w:after="0" w:line="170" w:lineRule="exact"/>
        <w:rPr>
          <w:rFonts w:ascii="Arial" w:cs="Arial" w:eastAsia="Arial" w:hAnsi="Arial"/>
          <w:sz w:val="18"/>
          <w:szCs w:val="18"/>
          <w:color w:val="auto"/>
        </w:rPr>
      </w:pPr>
    </w:p>
    <w:p>
      <w:pPr>
        <w:ind w:left="1304"/>
        <w:spacing w:after="0" w:line="277" w:lineRule="auto"/>
        <w:rPr>
          <w:rFonts w:ascii="Arial" w:cs="Arial" w:eastAsia="Arial" w:hAnsi="Arial"/>
          <w:sz w:val="18"/>
          <w:szCs w:val="18"/>
          <w:color w:val="auto"/>
        </w:rPr>
      </w:pPr>
      <w:r>
        <w:rPr>
          <w:rFonts w:ascii="Arial" w:cs="Arial" w:eastAsia="Arial" w:hAnsi="Arial"/>
          <w:sz w:val="18"/>
          <w:szCs w:val="18"/>
          <w:color w:val="auto"/>
        </w:rPr>
        <w:t>These rules also apply to the use of material, nonpublic information about other companies (including, for example, our clients, competitors and potential business partners).</w:t>
      </w:r>
    </w:p>
    <w:p>
      <w:pPr>
        <w:spacing w:after="0" w:line="170"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7"/>
          <w:szCs w:val="17"/>
          <w:color w:val="auto"/>
        </w:rPr>
        <w:t>In addition to you, these rules apply to your spouse, children and any other family members living with you in your household.</w:t>
      </w:r>
    </w:p>
    <w:p>
      <w:pPr>
        <w:spacing w:after="0" w:line="232" w:lineRule="exact"/>
        <w:rPr>
          <w:rFonts w:ascii="Arial" w:cs="Arial" w:eastAsia="Arial" w:hAnsi="Arial"/>
          <w:sz w:val="18"/>
          <w:szCs w:val="18"/>
          <w:color w:val="auto"/>
        </w:rPr>
      </w:pPr>
    </w:p>
    <w:p>
      <w:pPr>
        <w:ind w:left="1304" w:hanging="655"/>
        <w:spacing w:after="0"/>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Further Explanation</w:t>
      </w:r>
    </w:p>
    <w:p>
      <w:pPr>
        <w:spacing w:after="0" w:line="27" w:lineRule="exact"/>
        <w:rPr>
          <w:rFonts w:ascii="Arial" w:cs="Arial" w:eastAsia="Arial" w:hAnsi="Arial"/>
          <w:sz w:val="18"/>
          <w:szCs w:val="18"/>
          <w:color w:val="auto"/>
        </w:rPr>
      </w:pPr>
    </w:p>
    <w:p>
      <w:pPr>
        <w:jc w:val="both"/>
        <w:ind w:left="1944" w:hanging="647"/>
        <w:spacing w:after="0" w:line="250" w:lineRule="auto"/>
        <w:tabs>
          <w:tab w:leader="none" w:pos="1944"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What is inside information? </w:t>
      </w:r>
      <w:r>
        <w:rPr>
          <w:rFonts w:ascii="Arial" w:cs="Arial" w:eastAsia="Arial" w:hAnsi="Arial"/>
          <w:sz w:val="18"/>
          <w:szCs w:val="18"/>
          <w:color w:val="auto"/>
        </w:rPr>
        <w:t>Inside information is material information about an entity, including AGNC, that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been publicly disclosed. For instance, this information could relate to AGNC’s investments, financial condition, earnings or business, or to any important development in which we may be involved.</w:t>
      </w:r>
    </w:p>
    <w:p>
      <w:pPr>
        <w:spacing w:after="0" w:line="1" w:lineRule="exact"/>
        <w:rPr>
          <w:rFonts w:ascii="Arial" w:cs="Arial" w:eastAsia="Arial" w:hAnsi="Arial"/>
          <w:sz w:val="18"/>
          <w:szCs w:val="18"/>
          <w:color w:val="auto"/>
        </w:rPr>
      </w:pPr>
    </w:p>
    <w:p>
      <w:pPr>
        <w:jc w:val="both"/>
        <w:ind w:left="1944" w:hanging="647"/>
        <w:spacing w:after="0" w:line="250" w:lineRule="auto"/>
        <w:tabs>
          <w:tab w:leader="none" w:pos="1944"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What information is material? </w:t>
      </w:r>
      <w:r>
        <w:rPr>
          <w:rFonts w:ascii="Arial" w:cs="Arial" w:eastAsia="Arial" w:hAnsi="Arial"/>
          <w:sz w:val="18"/>
          <w:szCs w:val="18"/>
          <w:color w:val="auto"/>
        </w:rPr>
        <w:t>Information is material if it is information that a reasonable investor might consider</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in deciding whether to buy, sell or hold securities. Examples of information that may be material include: financial results or forecasts; a significant proposed acquisition or sale of a business; a stock split; significant litigation; and changes in customary earnings trends.</w:t>
      </w:r>
    </w:p>
    <w:p>
      <w:pPr>
        <w:spacing w:after="0" w:line="1" w:lineRule="exact"/>
        <w:rPr>
          <w:rFonts w:ascii="Arial" w:cs="Arial" w:eastAsia="Arial" w:hAnsi="Arial"/>
          <w:sz w:val="18"/>
          <w:szCs w:val="18"/>
          <w:color w:val="auto"/>
        </w:rPr>
      </w:pPr>
    </w:p>
    <w:p>
      <w:pPr>
        <w:jc w:val="both"/>
        <w:ind w:left="1944" w:hanging="647"/>
        <w:spacing w:after="0" w:line="281" w:lineRule="auto"/>
        <w:tabs>
          <w:tab w:leader="none" w:pos="1944" w:val="left"/>
        </w:tabs>
        <w:numPr>
          <w:ilvl w:val="2"/>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What information is nonpublic? </w:t>
      </w:r>
      <w:r>
        <w:rPr>
          <w:rFonts w:ascii="Arial" w:cs="Arial" w:eastAsia="Arial" w:hAnsi="Arial"/>
          <w:sz w:val="16"/>
          <w:szCs w:val="16"/>
          <w:color w:val="auto"/>
        </w:rPr>
        <w:t>Information is nonpublic until the time it has been effectively disclosed to the public.</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disclosure generally occurs when information is included in a press release, is revealed during a conference call to which the general public has been invited to participate or is included in our public filings with the U.S. Securities and Exchange Commission. Under certain circumstances, effective disclosure may occur by other means.</w:t>
      </w:r>
    </w:p>
    <w:p>
      <w:pPr>
        <w:spacing w:after="0" w:line="2" w:lineRule="exact"/>
        <w:rPr>
          <w:rFonts w:ascii="Arial" w:cs="Arial" w:eastAsia="Arial" w:hAnsi="Arial"/>
          <w:sz w:val="16"/>
          <w:szCs w:val="16"/>
          <w:color w:val="auto"/>
        </w:rPr>
      </w:pPr>
    </w:p>
    <w:p>
      <w:pPr>
        <w:jc w:val="both"/>
        <w:ind w:left="1944" w:hanging="647"/>
        <w:spacing w:after="0" w:line="250" w:lineRule="auto"/>
        <w:tabs>
          <w:tab w:leader="none" w:pos="1944"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What is a reasonable waiting period before purchases and sales can be made? </w:t>
      </w:r>
      <w:r>
        <w:rPr>
          <w:rFonts w:ascii="Arial" w:cs="Arial" w:eastAsia="Arial" w:hAnsi="Arial"/>
          <w:sz w:val="18"/>
          <w:szCs w:val="18"/>
          <w:color w:val="auto"/>
        </w:rPr>
        <w:t>The investing public must have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time to analyze the information that has been disclosed before those possessing previously nonpublic information can trade. For matters disclosed in an AGNC press release or conference call, a good rule of thumb is that purchases and sales can be made beginning 24 hours after the disclosure.</w:t>
      </w:r>
    </w:p>
    <w:p>
      <w:pPr>
        <w:spacing w:after="0" w:line="1" w:lineRule="exact"/>
        <w:rPr>
          <w:rFonts w:ascii="Arial" w:cs="Arial" w:eastAsia="Arial" w:hAnsi="Arial"/>
          <w:sz w:val="18"/>
          <w:szCs w:val="18"/>
          <w:color w:val="auto"/>
        </w:rPr>
      </w:pPr>
    </w:p>
    <w:p>
      <w:pPr>
        <w:ind w:left="1944" w:hanging="647"/>
        <w:spacing w:after="0" w:line="261" w:lineRule="auto"/>
        <w:tabs>
          <w:tab w:leader="none" w:pos="1944"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What transactions are prohibited? </w:t>
      </w:r>
      <w:r>
        <w:rPr>
          <w:rFonts w:ascii="Arial" w:cs="Arial" w:eastAsia="Arial" w:hAnsi="Arial"/>
          <w:sz w:val="18"/>
          <w:szCs w:val="18"/>
          <w:color w:val="auto"/>
        </w:rPr>
        <w:t>An AGNC person who has inside information about AGNC or another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from: (a) trading in AGNC’s or the other company’s</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4" w:right="239" w:bottom="1440" w:gutter="0" w:footer="0" w:header="0"/>
        </w:sectPr>
      </w:pPr>
    </w:p>
    <w:bookmarkStart w:id="145" w:name="page146"/>
    <w:bookmarkEnd w:id="145"/>
    <w:p>
      <w:pPr>
        <w:jc w:val="both"/>
        <w:ind w:left="2600"/>
        <w:spacing w:after="0" w:line="304" w:lineRule="auto"/>
        <w:rPr>
          <w:sz w:val="20"/>
          <w:szCs w:val="20"/>
          <w:color w:val="auto"/>
        </w:rPr>
      </w:pPr>
      <w:r>
        <w:rPr>
          <w:rFonts w:ascii="Arial" w:cs="Arial" w:eastAsia="Arial" w:hAnsi="Arial"/>
          <w:sz w:val="17"/>
          <w:szCs w:val="17"/>
          <w:color w:val="auto"/>
        </w:rPr>
        <w:t>securities (including derivative securities such as put and call options); (b) having others trade in AGNC’s or the other company’s securities for your benefit; and (c) disclosing the inside information to (or tipping) anyone else who might then trade. These prohibitions continue for as long as the information remains material and nonpublic.</w:t>
      </w:r>
    </w:p>
    <w:p>
      <w:pPr>
        <w:spacing w:after="0" w:line="1" w:lineRule="exact"/>
        <w:rPr>
          <w:sz w:val="20"/>
          <w:szCs w:val="20"/>
          <w:color w:val="auto"/>
        </w:rPr>
      </w:pPr>
    </w:p>
    <w:p>
      <w:pPr>
        <w:jc w:val="both"/>
        <w:ind w:left="2600" w:hanging="647"/>
        <w:spacing w:after="0" w:line="267" w:lineRule="auto"/>
        <w:tabs>
          <w:tab w:leader="none" w:pos="2600" w:val="left"/>
        </w:tabs>
        <w:numPr>
          <w:ilvl w:val="3"/>
          <w:numId w:val="136"/>
        </w:numPr>
        <w:rPr>
          <w:rFonts w:ascii="Arial" w:cs="Arial" w:eastAsia="Arial" w:hAnsi="Arial"/>
          <w:sz w:val="17"/>
          <w:szCs w:val="17"/>
          <w:color w:val="auto"/>
        </w:rPr>
      </w:pPr>
      <w:r>
        <w:rPr>
          <w:rFonts w:ascii="Arial" w:cs="Arial" w:eastAsia="Arial" w:hAnsi="Arial"/>
          <w:sz w:val="17"/>
          <w:szCs w:val="17"/>
          <w:b w:val="1"/>
          <w:bCs w:val="1"/>
          <w:color w:val="auto"/>
        </w:rPr>
        <w:t xml:space="preserve">What transactions are allowed? </w:t>
      </w:r>
      <w:r>
        <w:rPr>
          <w:rFonts w:ascii="Arial" w:cs="Arial" w:eastAsia="Arial" w:hAnsi="Arial"/>
          <w:sz w:val="17"/>
          <w:szCs w:val="17"/>
          <w:color w:val="auto"/>
        </w:rPr>
        <w:t>An AGNC person who has inside information about AGNC may, nonetheless, usually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AGNC stock options for cash (but may not sell the option shares he or she receives upon the exercise). These cash option exercise purchases are allowed because the other party to the transactions is AGNC itself, and because the option exercise purchase price does not vary with the market, but, rather, is fixed in advance under the terms of the option plan. Additionally, certain transactions that occur under an automatic investment plan, such as a dividend reinvestment plan or a company approved Rule 10b5-1 plan, if any, are permitted in such circumstances. You should contact the Chief Compliance Officer or a member of our Legal team with any questions.</w:t>
      </w:r>
    </w:p>
    <w:p>
      <w:pPr>
        <w:spacing w:after="0" w:line="3" w:lineRule="exact"/>
        <w:rPr>
          <w:rFonts w:ascii="Arial" w:cs="Arial" w:eastAsia="Arial" w:hAnsi="Arial"/>
          <w:sz w:val="17"/>
          <w:szCs w:val="17"/>
          <w:color w:val="auto"/>
        </w:rPr>
      </w:pPr>
    </w:p>
    <w:p>
      <w:pPr>
        <w:ind w:left="1960" w:hanging="655"/>
        <w:spacing w:after="0"/>
        <w:tabs>
          <w:tab w:leader="none" w:pos="1960" w:val="left"/>
        </w:tabs>
        <w:numPr>
          <w:ilvl w:val="2"/>
          <w:numId w:val="137"/>
        </w:numPr>
        <w:rPr>
          <w:rFonts w:ascii="Arial" w:cs="Arial" w:eastAsia="Arial" w:hAnsi="Arial"/>
          <w:sz w:val="18"/>
          <w:szCs w:val="18"/>
          <w:color w:val="auto"/>
        </w:rPr>
      </w:pPr>
      <w:r>
        <w:rPr>
          <w:rFonts w:ascii="Arial" w:cs="Arial" w:eastAsia="Arial" w:hAnsi="Arial"/>
          <w:sz w:val="18"/>
          <w:szCs w:val="18"/>
          <w:b w:val="1"/>
          <w:bCs w:val="1"/>
          <w:color w:val="auto"/>
        </w:rPr>
        <w:t>Blackout Period for Trading in AGNC Securities</w:t>
      </w:r>
    </w:p>
    <w:p>
      <w:pPr>
        <w:spacing w:after="0" w:line="9" w:lineRule="exact"/>
        <w:rPr>
          <w:rFonts w:ascii="Arial" w:cs="Arial" w:eastAsia="Arial" w:hAnsi="Arial"/>
          <w:sz w:val="18"/>
          <w:szCs w:val="18"/>
          <w:color w:val="auto"/>
        </w:rPr>
      </w:pPr>
    </w:p>
    <w:p>
      <w:pPr>
        <w:jc w:val="both"/>
        <w:ind w:left="1960"/>
        <w:spacing w:after="0" w:line="277" w:lineRule="auto"/>
        <w:rPr>
          <w:rFonts w:ascii="Arial" w:cs="Arial" w:eastAsia="Arial" w:hAnsi="Arial"/>
          <w:sz w:val="18"/>
          <w:szCs w:val="18"/>
          <w:color w:val="auto"/>
        </w:rPr>
      </w:pPr>
      <w:r>
        <w:rPr>
          <w:rFonts w:ascii="Arial" w:cs="Arial" w:eastAsia="Arial" w:hAnsi="Arial"/>
          <w:sz w:val="17"/>
          <w:szCs w:val="17"/>
          <w:color w:val="auto"/>
        </w:rPr>
        <w:t>In addition to our general Insider Trading Policy, which is summarized above, we may institute from time to time blackout periods during which AGNC persons will be precluded from trading in AGNC securities (including derivative securities such as put and call options). The Chief Compliance Officer will typically be responsible for implementing such practices.</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AVOIDING CONFLICTS OF INTEREST</w:t>
      </w:r>
    </w:p>
    <w:p>
      <w:pPr>
        <w:spacing w:after="0" w:line="27" w:lineRule="exact"/>
        <w:rPr>
          <w:rFonts w:ascii="Arial" w:cs="Arial" w:eastAsia="Arial" w:hAnsi="Arial"/>
          <w:sz w:val="18"/>
          <w:szCs w:val="18"/>
          <w:color w:val="auto"/>
        </w:rPr>
      </w:pPr>
    </w:p>
    <w:p>
      <w:pPr>
        <w:ind w:left="1300" w:hanging="644"/>
        <w:spacing w:after="0"/>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b w:val="1"/>
          <w:bCs w:val="1"/>
          <w:color w:val="auto"/>
        </w:rPr>
        <w:t>GENERALLY</w:t>
      </w:r>
    </w:p>
    <w:p>
      <w:pPr>
        <w:spacing w:after="0" w:line="9" w:lineRule="exact"/>
        <w:rPr>
          <w:rFonts w:ascii="Arial" w:cs="Arial" w:eastAsia="Arial" w:hAnsi="Arial"/>
          <w:sz w:val="18"/>
          <w:szCs w:val="18"/>
          <w:color w:val="auto"/>
        </w:rPr>
      </w:pP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pacing w:after="0" w:line="17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Examples of situations that could be perceived as conflicts of interest and should be avoided include:</w:t>
      </w:r>
    </w:p>
    <w:p>
      <w:pPr>
        <w:spacing w:after="0" w:line="225" w:lineRule="exact"/>
        <w:rPr>
          <w:sz w:val="20"/>
          <w:szCs w:val="20"/>
          <w:color w:val="auto"/>
        </w:rPr>
      </w:pPr>
    </w:p>
    <w:p>
      <w:pPr>
        <w:ind w:left="2280" w:hanging="327"/>
        <w:spacing w:after="0"/>
        <w:tabs>
          <w:tab w:leader="none" w:pos="22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Conducting AGNC’s business with a company owned, partially owned or controlled by you or a member of your family;</w:t>
      </w:r>
    </w:p>
    <w:p>
      <w:pPr>
        <w:spacing w:after="0" w:line="34" w:lineRule="exact"/>
        <w:rPr>
          <w:rFonts w:ascii="Arial" w:cs="Arial" w:eastAsia="Arial" w:hAnsi="Arial"/>
          <w:sz w:val="17"/>
          <w:szCs w:val="17"/>
          <w:color w:val="auto"/>
        </w:rPr>
      </w:pPr>
    </w:p>
    <w:p>
      <w:pPr>
        <w:ind w:left="2280" w:right="580" w:hanging="327"/>
        <w:spacing w:after="0" w:line="250" w:lineRule="auto"/>
        <w:tabs>
          <w:tab w:leader="none" w:pos="22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Ownership of more than one percent of the stock of a company that competes or does business with AGNC (other than indirect ownership as a result of owning a widely-held mutual fund);</w:t>
      </w:r>
    </w:p>
    <w:p>
      <w:pPr>
        <w:ind w:left="2280" w:right="280" w:hanging="327"/>
        <w:spacing w:after="0" w:line="250" w:lineRule="auto"/>
        <w:tabs>
          <w:tab w:leader="none" w:pos="22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Working as an employee or a consultant for a competitor, regulatory government entity, investment company or supplier of AGNC (other than as part of your AGNC employment);</w:t>
      </w:r>
    </w:p>
    <w:p>
      <w:pPr>
        <w:ind w:left="2280" w:right="180" w:hanging="327"/>
        <w:spacing w:after="0" w:line="250" w:lineRule="auto"/>
        <w:tabs>
          <w:tab w:leader="none" w:pos="22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Doing any work for a third party that may adversely affect your performance or judgment on the job or diminish your ability to devote the necessary time and attention to your duties; and</w:t>
      </w:r>
    </w:p>
    <w:p>
      <w:pPr>
        <w:ind w:left="1300" w:firstLine="653"/>
        <w:spacing w:after="0" w:line="273" w:lineRule="auto"/>
        <w:tabs>
          <w:tab w:leader="none" w:pos="227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Appropriating or diverting to yourself or others any business opportunity or idea in which AGNC might have an interest. 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USE OF OUR ASSETS</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You are responsible for the proper use of AGNC’s physical resources and property, as well as its proprietary information.</w:t>
      </w:r>
    </w:p>
    <w:p>
      <w:pPr>
        <w:spacing w:after="0" w:line="210"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spacing w:after="0" w:line="193"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146" w:name="page147"/>
    <w:bookmarkEnd w:id="146"/>
    <w:p>
      <w:pPr>
        <w:jc w:val="both"/>
        <w:ind w:left="1300"/>
        <w:spacing w:after="0" w:line="272" w:lineRule="auto"/>
        <w:rPr>
          <w:sz w:val="20"/>
          <w:szCs w:val="20"/>
          <w:color w:val="auto"/>
        </w:rPr>
      </w:pPr>
      <w:r>
        <w:rPr>
          <w:rFonts w:ascii="Arial" w:cs="Arial" w:eastAsia="Arial" w:hAnsi="Arial"/>
          <w:sz w:val="17"/>
          <w:szCs w:val="17"/>
          <w:color w:val="auto"/>
        </w:rPr>
        <w:t>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pacing w:after="0" w:line="174"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GIFTS, GRATUITIES AND ENTERTAINMENT</w:t>
      </w:r>
    </w:p>
    <w:p>
      <w:pPr>
        <w:spacing w:after="0" w:line="27" w:lineRule="exact"/>
        <w:rPr>
          <w:rFonts w:ascii="Arial" w:cs="Arial" w:eastAsia="Arial" w:hAnsi="Arial"/>
          <w:sz w:val="18"/>
          <w:szCs w:val="18"/>
          <w:color w:val="auto"/>
        </w:rPr>
      </w:pPr>
    </w:p>
    <w:p>
      <w:pPr>
        <w:ind w:left="1960" w:hanging="65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Giving</w:t>
      </w:r>
    </w:p>
    <w:p>
      <w:pPr>
        <w:spacing w:after="0" w:line="9" w:lineRule="exact"/>
        <w:rPr>
          <w:rFonts w:ascii="Arial" w:cs="Arial" w:eastAsia="Arial" w:hAnsi="Arial"/>
          <w:sz w:val="18"/>
          <w:szCs w:val="18"/>
          <w:color w:val="auto"/>
        </w:rPr>
      </w:pPr>
    </w:p>
    <w:p>
      <w:pPr>
        <w:jc w:val="both"/>
        <w:ind w:left="1960"/>
        <w:spacing w:after="0" w:line="255" w:lineRule="auto"/>
        <w:rPr>
          <w:rFonts w:ascii="Arial" w:cs="Arial" w:eastAsia="Arial" w:hAnsi="Arial"/>
          <w:sz w:val="18"/>
          <w:szCs w:val="18"/>
          <w:color w:val="auto"/>
        </w:rPr>
      </w:pPr>
      <w:r>
        <w:rPr>
          <w:rFonts w:ascii="Arial" w:cs="Arial" w:eastAsia="Arial" w:hAnsi="Arial"/>
          <w:sz w:val="18"/>
          <w:szCs w:val="18"/>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190" w:lineRule="exact"/>
        <w:rPr>
          <w:rFonts w:ascii="Arial" w:cs="Arial" w:eastAsia="Arial" w:hAnsi="Arial"/>
          <w:sz w:val="18"/>
          <w:szCs w:val="18"/>
          <w:color w:val="auto"/>
        </w:rPr>
      </w:pPr>
    </w:p>
    <w:p>
      <w:pPr>
        <w:ind w:left="2280" w:hanging="327"/>
        <w:spacing w:after="0"/>
        <w:tabs>
          <w:tab w:leader="none" w:pos="22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Are consistent with customary business practices;</w:t>
      </w:r>
    </w:p>
    <w:p>
      <w:pPr>
        <w:spacing w:after="0" w:line="23" w:lineRule="exact"/>
        <w:rPr>
          <w:rFonts w:ascii="Arial" w:cs="Arial" w:eastAsia="Arial" w:hAnsi="Arial"/>
          <w:sz w:val="18"/>
          <w:szCs w:val="18"/>
          <w:color w:val="auto"/>
        </w:rPr>
      </w:pPr>
    </w:p>
    <w:p>
      <w:pPr>
        <w:ind w:left="2280" w:hanging="327"/>
        <w:spacing w:after="0"/>
        <w:tabs>
          <w:tab w:leader="none" w:pos="22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Do not have substantial monetary value and would not be viewed as improper by others; and</w:t>
      </w:r>
    </w:p>
    <w:p>
      <w:pPr>
        <w:spacing w:after="0" w:line="9" w:lineRule="exact"/>
        <w:rPr>
          <w:rFonts w:ascii="Arial" w:cs="Arial" w:eastAsia="Arial" w:hAnsi="Arial"/>
          <w:sz w:val="18"/>
          <w:szCs w:val="18"/>
          <w:color w:val="auto"/>
        </w:rPr>
      </w:pPr>
    </w:p>
    <w:p>
      <w:pPr>
        <w:ind w:left="2280" w:hanging="327"/>
        <w:spacing w:after="0"/>
        <w:tabs>
          <w:tab w:leader="none" w:pos="22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Do not violate applicable laws, rules or regulations.</w:t>
      </w:r>
    </w:p>
    <w:p>
      <w:pPr>
        <w:spacing w:after="0" w:line="9" w:lineRule="exact"/>
        <w:rPr>
          <w:sz w:val="20"/>
          <w:szCs w:val="20"/>
          <w:color w:val="auto"/>
        </w:rPr>
      </w:pPr>
    </w:p>
    <w:p>
      <w:pPr>
        <w:jc w:val="both"/>
        <w:ind w:left="1960"/>
        <w:spacing w:after="0" w:line="255" w:lineRule="auto"/>
        <w:rPr>
          <w:sz w:val="20"/>
          <w:szCs w:val="20"/>
          <w:color w:val="auto"/>
        </w:rPr>
      </w:pPr>
      <w:r>
        <w:rPr>
          <w:rFonts w:ascii="Arial" w:cs="Arial" w:eastAsia="Arial" w:hAnsi="Arial"/>
          <w:sz w:val="18"/>
          <w:szCs w:val="18"/>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spacing w:after="0" w:line="186" w:lineRule="exact"/>
        <w:rPr>
          <w:sz w:val="20"/>
          <w:szCs w:val="20"/>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Receiving</w:t>
      </w:r>
    </w:p>
    <w:p>
      <w:pPr>
        <w:spacing w:after="0" w:line="27" w:lineRule="exact"/>
        <w:rPr>
          <w:rFonts w:ascii="Arial" w:cs="Arial" w:eastAsia="Arial" w:hAnsi="Arial"/>
          <w:sz w:val="18"/>
          <w:szCs w:val="18"/>
          <w:color w:val="auto"/>
        </w:rPr>
      </w:pPr>
    </w:p>
    <w:p>
      <w:pPr>
        <w:ind w:left="1960" w:right="20"/>
        <w:spacing w:after="0" w:line="261" w:lineRule="auto"/>
        <w:rPr>
          <w:rFonts w:ascii="Arial" w:cs="Arial" w:eastAsia="Arial" w:hAnsi="Arial"/>
          <w:sz w:val="18"/>
          <w:szCs w:val="18"/>
          <w:color w:val="auto"/>
        </w:rPr>
      </w:pPr>
      <w:r>
        <w:rPr>
          <w:rFonts w:ascii="Arial" w:cs="Arial" w:eastAsia="Arial" w:hAnsi="Arial"/>
          <w:sz w:val="18"/>
          <w:szCs w:val="18"/>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183" w:lineRule="exact"/>
        <w:rPr>
          <w:rFonts w:ascii="Arial" w:cs="Arial" w:eastAsia="Arial" w:hAnsi="Arial"/>
          <w:sz w:val="18"/>
          <w:szCs w:val="18"/>
          <w:color w:val="auto"/>
        </w:rPr>
      </w:pPr>
    </w:p>
    <w:p>
      <w:pPr>
        <w:ind w:left="2280" w:hanging="327"/>
        <w:spacing w:after="0"/>
        <w:tabs>
          <w:tab w:leader="none" w:pos="2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Gifts that do not have substantial monetary value given at holidays or other special occasions;</w:t>
      </w:r>
    </w:p>
    <w:p>
      <w:pPr>
        <w:spacing w:after="0" w:line="23" w:lineRule="exact"/>
        <w:rPr>
          <w:rFonts w:ascii="Arial" w:cs="Arial" w:eastAsia="Arial" w:hAnsi="Arial"/>
          <w:sz w:val="18"/>
          <w:szCs w:val="18"/>
          <w:color w:val="auto"/>
        </w:rPr>
      </w:pPr>
    </w:p>
    <w:p>
      <w:pPr>
        <w:ind w:left="2280" w:right="300" w:hanging="327"/>
        <w:spacing w:after="0" w:line="250" w:lineRule="auto"/>
        <w:tabs>
          <w:tab w:leader="none" w:pos="2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Reasonable entertainment at lunch, dinner or business meetings where the return of the expenditure on a reciprocal basis is likely to occur and would be properly chargeable as a business expense; or</w:t>
      </w:r>
    </w:p>
    <w:p>
      <w:pPr>
        <w:ind w:left="2280" w:right="420" w:hanging="327"/>
        <w:spacing w:after="0" w:line="250" w:lineRule="auto"/>
        <w:tabs>
          <w:tab w:leader="none" w:pos="2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Other routine entertainment that is business-related such as sports outings or cultural events, but only if such is otherwise acceptable under this Code and is reasonable, customary and not excessive.</w:t>
      </w:r>
    </w:p>
    <w:p>
      <w:pPr>
        <w:spacing w:after="0" w:line="1" w:lineRule="exact"/>
        <w:rPr>
          <w:sz w:val="20"/>
          <w:szCs w:val="20"/>
          <w:color w:val="auto"/>
        </w:rPr>
      </w:pPr>
    </w:p>
    <w:p>
      <w:pPr>
        <w:jc w:val="both"/>
        <w:ind w:left="1960"/>
        <w:spacing w:after="0" w:line="302" w:lineRule="auto"/>
        <w:rPr>
          <w:sz w:val="20"/>
          <w:szCs w:val="20"/>
          <w:color w:val="auto"/>
        </w:rPr>
      </w:pPr>
      <w:r>
        <w:rPr>
          <w:rFonts w:ascii="Arial" w:cs="Arial" w:eastAsia="Arial" w:hAnsi="Arial"/>
          <w:sz w:val="16"/>
          <w:szCs w:val="16"/>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“Board”).</w:t>
      </w:r>
    </w:p>
    <w:p>
      <w:pPr>
        <w:spacing w:after="0" w:line="155" w:lineRule="exact"/>
        <w:rPr>
          <w:sz w:val="20"/>
          <w:szCs w:val="20"/>
          <w:color w:val="auto"/>
        </w:rPr>
      </w:pPr>
    </w:p>
    <w:p>
      <w:pPr>
        <w:jc w:val="both"/>
        <w:ind w:left="1960"/>
        <w:spacing w:after="0" w:line="308" w:lineRule="auto"/>
        <w:rPr>
          <w:sz w:val="20"/>
          <w:szCs w:val="20"/>
          <w:color w:val="auto"/>
        </w:rPr>
      </w:pPr>
      <w:r>
        <w:rPr>
          <w:rFonts w:ascii="Arial" w:cs="Arial" w:eastAsia="Arial" w:hAnsi="Arial"/>
          <w:sz w:val="17"/>
          <w:szCs w:val="17"/>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pacing w:after="0" w:line="143"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MAINTAINING ACCURATE AND COMPLETE COMPANY RECORDS</w:t>
      </w:r>
    </w:p>
    <w:p>
      <w:pPr>
        <w:spacing w:after="0" w:line="27" w:lineRule="exact"/>
        <w:rPr>
          <w:rFonts w:ascii="Arial" w:cs="Arial" w:eastAsia="Arial" w:hAnsi="Arial"/>
          <w:sz w:val="18"/>
          <w:szCs w:val="18"/>
          <w:color w:val="auto"/>
        </w:rPr>
      </w:pPr>
    </w:p>
    <w:p>
      <w:pPr>
        <w:ind w:left="1300" w:hanging="644"/>
        <w:spacing w:after="0"/>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b w:val="1"/>
          <w:bCs w:val="1"/>
          <w:color w:val="auto"/>
        </w:rPr>
        <w:t>ACCOUNTING AND FINANCIAL RECORDS</w:t>
      </w:r>
    </w:p>
    <w:p>
      <w:pPr>
        <w:spacing w:after="0" w:line="9"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8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You should not:</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Improperly accelerate or defer expenses or revenues to achieve financial results or goals;</w:t>
      </w:r>
    </w:p>
    <w:p>
      <w:pPr>
        <w:spacing w:after="0" w:line="23" w:lineRule="exact"/>
        <w:rPr>
          <w:rFonts w:ascii="Arial" w:cs="Arial" w:eastAsia="Arial" w:hAnsi="Arial"/>
          <w:sz w:val="18"/>
          <w:szCs w:val="18"/>
          <w:color w:val="auto"/>
        </w:rPr>
      </w:pPr>
    </w:p>
    <w:p>
      <w:pPr>
        <w:ind w:left="2280" w:hanging="327"/>
        <w:spacing w:after="0"/>
        <w:tabs>
          <w:tab w:leader="none" w:pos="22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Deviate from any accounting standards applicable to AGNC or otherwise;</w:t>
      </w:r>
    </w:p>
    <w:p>
      <w:pPr>
        <w:spacing w:after="0" w:line="9" w:lineRule="exact"/>
        <w:rPr>
          <w:rFonts w:ascii="Arial" w:cs="Arial" w:eastAsia="Arial" w:hAnsi="Arial"/>
          <w:sz w:val="18"/>
          <w:szCs w:val="18"/>
          <w:color w:val="auto"/>
        </w:rPr>
      </w:pPr>
    </w:p>
    <w:p>
      <w:pPr>
        <w:ind w:left="2280" w:hanging="327"/>
        <w:spacing w:after="0"/>
        <w:tabs>
          <w:tab w:leader="none" w:pos="22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Participate in the valuation of any of our assets at a value other than that required by law;</w:t>
      </w:r>
    </w:p>
    <w:p>
      <w:pPr>
        <w:spacing w:after="0" w:line="9" w:lineRule="exact"/>
        <w:rPr>
          <w:rFonts w:ascii="Arial" w:cs="Arial" w:eastAsia="Arial" w:hAnsi="Arial"/>
          <w:sz w:val="18"/>
          <w:szCs w:val="18"/>
          <w:color w:val="auto"/>
        </w:rPr>
      </w:pPr>
    </w:p>
    <w:p>
      <w:pPr>
        <w:ind w:left="2280" w:hanging="327"/>
        <w:spacing w:after="0"/>
        <w:tabs>
          <w:tab w:leader="none" w:pos="22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Maintain any undisclosed or unrecorded funds or off the book assets;</w:t>
      </w:r>
    </w:p>
    <w:p>
      <w:pPr>
        <w:spacing w:after="0" w:line="9" w:lineRule="exact"/>
        <w:rPr>
          <w:rFonts w:ascii="Arial" w:cs="Arial" w:eastAsia="Arial" w:hAnsi="Arial"/>
          <w:sz w:val="18"/>
          <w:szCs w:val="18"/>
          <w:color w:val="auto"/>
        </w:rPr>
      </w:pPr>
    </w:p>
    <w:p>
      <w:pPr>
        <w:ind w:left="2280" w:hanging="327"/>
        <w:spacing w:after="0"/>
        <w:tabs>
          <w:tab w:leader="none" w:pos="228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Establish or maintain improper, misleading, incomplete or fraudulent accounting documentation or financial reporting;</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47" w:name="page148"/>
    <w:bookmarkEnd w:id="147"/>
    <w:p>
      <w:pPr>
        <w:ind w:left="2280" w:hanging="327"/>
        <w:spacing w:after="0"/>
        <w:tabs>
          <w:tab w:leader="none" w:pos="2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Make any payment for purposes other than those described in the documents supporting the payment;</w:t>
      </w:r>
    </w:p>
    <w:p>
      <w:pPr>
        <w:spacing w:after="0" w:line="23" w:lineRule="exact"/>
        <w:rPr>
          <w:rFonts w:ascii="Arial" w:cs="Arial" w:eastAsia="Arial" w:hAnsi="Arial"/>
          <w:sz w:val="18"/>
          <w:szCs w:val="18"/>
          <w:color w:val="auto"/>
        </w:rPr>
      </w:pPr>
    </w:p>
    <w:p>
      <w:pPr>
        <w:ind w:left="2280" w:right="560" w:hanging="327"/>
        <w:spacing w:after="0" w:line="250" w:lineRule="auto"/>
        <w:tabs>
          <w:tab w:leader="none" w:pos="2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Submit or approve any expense report where you know or suspect that any portion of the underlying expenses were not incurred or are not accurate; or</w:t>
      </w:r>
    </w:p>
    <w:p>
      <w:pPr>
        <w:ind w:left="2280" w:hanging="327"/>
        <w:spacing w:after="0"/>
        <w:tabs>
          <w:tab w:leader="none" w:pos="2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 any documents believed to be inaccurate or untruthful.</w:t>
      </w:r>
    </w:p>
    <w:p>
      <w:pPr>
        <w:spacing w:after="0" w:line="9"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191"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18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portfolio companies or other unconsolidated entities or other persons that may have material current or future effects on our financial condition or results of operations to our Chief Compliance Officer or to a member of our Audit Committee.</w:t>
      </w:r>
    </w:p>
    <w:p>
      <w:pPr>
        <w:spacing w:after="0" w:line="193"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Section F.2 of this Code describes the procedure for making these reports. You may also make an anonymous report under Section F.2 if you are not comfortable revealing your identity when making a report.</w:t>
      </w:r>
    </w:p>
    <w:p>
      <w:pPr>
        <w:spacing w:after="0" w:line="166" w:lineRule="exact"/>
        <w:rPr>
          <w:sz w:val="20"/>
          <w:szCs w:val="20"/>
          <w:color w:val="auto"/>
        </w:rPr>
      </w:pPr>
    </w:p>
    <w:p>
      <w:pPr>
        <w:ind w:left="1300" w:hanging="644"/>
        <w:spacing w:after="0"/>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DISCLOSURES TO INVESTORS</w:t>
      </w:r>
    </w:p>
    <w:p>
      <w:pPr>
        <w:spacing w:after="0" w:line="27" w:lineRule="exact"/>
        <w:rPr>
          <w:rFonts w:ascii="Arial" w:cs="Arial" w:eastAsia="Arial" w:hAnsi="Arial"/>
          <w:sz w:val="18"/>
          <w:szCs w:val="18"/>
          <w:color w:val="auto"/>
        </w:rPr>
      </w:pPr>
    </w:p>
    <w:p>
      <w:pPr>
        <w:jc w:val="both"/>
        <w:ind w:left="1300"/>
        <w:spacing w:after="0" w:line="252" w:lineRule="auto"/>
        <w:rPr>
          <w:rFonts w:ascii="Arial" w:cs="Arial" w:eastAsia="Arial" w:hAnsi="Arial"/>
          <w:sz w:val="18"/>
          <w:szCs w:val="18"/>
          <w:color w:val="auto"/>
        </w:rPr>
      </w:pPr>
      <w:r>
        <w:rPr>
          <w:rFonts w:ascii="Arial" w:cs="Arial" w:eastAsia="Arial" w:hAnsi="Arial"/>
          <w:sz w:val="18"/>
          <w:szCs w:val="18"/>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spacing w:after="0" w:line="194"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RETENTION OF DOCUMENTS</w:t>
      </w:r>
    </w:p>
    <w:p>
      <w:pPr>
        <w:spacing w:after="0" w:line="27" w:lineRule="exact"/>
        <w:rPr>
          <w:rFonts w:ascii="Arial" w:cs="Arial" w:eastAsia="Arial" w:hAnsi="Arial"/>
          <w:sz w:val="18"/>
          <w:szCs w:val="18"/>
          <w:color w:val="auto"/>
        </w:rPr>
      </w:pPr>
    </w:p>
    <w:p>
      <w:pPr>
        <w:jc w:val="both"/>
        <w:ind w:left="1300"/>
        <w:spacing w:after="0" w:line="252" w:lineRule="auto"/>
        <w:rPr>
          <w:rFonts w:ascii="Arial" w:cs="Arial" w:eastAsia="Arial" w:hAnsi="Arial"/>
          <w:sz w:val="18"/>
          <w:szCs w:val="18"/>
          <w:color w:val="auto"/>
        </w:rPr>
      </w:pPr>
      <w:r>
        <w:rPr>
          <w:rFonts w:ascii="Arial" w:cs="Arial" w:eastAsia="Arial" w:hAnsi="Arial"/>
          <w:sz w:val="18"/>
          <w:szCs w:val="18"/>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194"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PROTECTING CONFIDENTIAL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48" w:name="page149"/>
    <w:bookmarkEnd w:id="148"/>
    <w:p>
      <w:pPr>
        <w:ind w:left="644" w:hanging="644"/>
        <w:spacing w:after="0"/>
        <w:tabs>
          <w:tab w:leader="none" w:pos="644"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AGNC CONFIDENTIAL INFORMATION</w:t>
      </w:r>
    </w:p>
    <w:p>
      <w:pPr>
        <w:spacing w:after="0" w:line="27" w:lineRule="exact"/>
        <w:rPr>
          <w:rFonts w:ascii="Arial" w:cs="Arial" w:eastAsia="Arial" w:hAnsi="Arial"/>
          <w:sz w:val="18"/>
          <w:szCs w:val="18"/>
          <w:color w:val="auto"/>
        </w:rPr>
      </w:pPr>
    </w:p>
    <w:p>
      <w:pPr>
        <w:ind w:left="644"/>
        <w:spacing w:after="0" w:line="261" w:lineRule="auto"/>
        <w:rPr>
          <w:rFonts w:ascii="Arial" w:cs="Arial" w:eastAsia="Arial" w:hAnsi="Arial"/>
          <w:sz w:val="18"/>
          <w:szCs w:val="18"/>
          <w:color w:val="auto"/>
        </w:rPr>
      </w:pPr>
      <w:r>
        <w:rPr>
          <w:rFonts w:ascii="Arial" w:cs="Arial" w:eastAsia="Arial" w:hAnsi="Arial"/>
          <w:sz w:val="18"/>
          <w:szCs w:val="18"/>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183" w:lineRule="exact"/>
        <w:rPr>
          <w:rFonts w:ascii="Arial" w:cs="Arial" w:eastAsia="Arial" w:hAnsi="Arial"/>
          <w:sz w:val="18"/>
          <w:szCs w:val="18"/>
          <w:color w:val="auto"/>
        </w:rPr>
      </w:pPr>
    </w:p>
    <w:p>
      <w:pPr>
        <w:ind w:left="644"/>
        <w:spacing w:after="0" w:line="277" w:lineRule="auto"/>
        <w:rPr>
          <w:rFonts w:ascii="Arial" w:cs="Arial" w:eastAsia="Arial" w:hAnsi="Arial"/>
          <w:sz w:val="18"/>
          <w:szCs w:val="18"/>
          <w:color w:val="auto"/>
        </w:rPr>
      </w:pPr>
      <w:r>
        <w:rPr>
          <w:rFonts w:ascii="Arial" w:cs="Arial" w:eastAsia="Arial" w:hAnsi="Arial"/>
          <w:sz w:val="18"/>
          <w:szCs w:val="18"/>
          <w:color w:val="auto"/>
        </w:rPr>
        <w:t>Under the laws of most jurisdictions where we do business, trade secrets are legally protected property as long as they remain secret (meaning not generally or publicly known).</w:t>
      </w:r>
    </w:p>
    <w:p>
      <w:pPr>
        <w:spacing w:after="0" w:line="170"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Your obligations with respect to our confidential trade secrets and proprietary information are:</w:t>
      </w:r>
    </w:p>
    <w:p>
      <w:pPr>
        <w:spacing w:after="0" w:line="225" w:lineRule="exact"/>
        <w:rPr>
          <w:rFonts w:ascii="Arial" w:cs="Arial" w:eastAsia="Arial" w:hAnsi="Arial"/>
          <w:sz w:val="18"/>
          <w:szCs w:val="18"/>
          <w:color w:val="auto"/>
        </w:rPr>
      </w:pPr>
    </w:p>
    <w:p>
      <w:pPr>
        <w:ind w:left="1624" w:hanging="327"/>
        <w:spacing w:after="0"/>
        <w:tabs>
          <w:tab w:leader="none" w:pos="162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Not to disclose the information outside of AGNC;</w:t>
      </w:r>
    </w:p>
    <w:p>
      <w:pPr>
        <w:spacing w:after="0" w:line="23" w:lineRule="exact"/>
        <w:rPr>
          <w:rFonts w:ascii="Arial" w:cs="Arial" w:eastAsia="Arial" w:hAnsi="Arial"/>
          <w:sz w:val="18"/>
          <w:szCs w:val="18"/>
          <w:color w:val="auto"/>
        </w:rPr>
      </w:pPr>
    </w:p>
    <w:p>
      <w:pPr>
        <w:ind w:left="1624" w:hanging="327"/>
        <w:spacing w:after="0"/>
        <w:tabs>
          <w:tab w:leader="none" w:pos="162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Not to use the information for any purpose except to benefit AGNC’s business; and</w:t>
      </w:r>
    </w:p>
    <w:p>
      <w:pPr>
        <w:spacing w:after="0" w:line="9" w:lineRule="exact"/>
        <w:rPr>
          <w:rFonts w:ascii="Arial" w:cs="Arial" w:eastAsia="Arial" w:hAnsi="Arial"/>
          <w:sz w:val="18"/>
          <w:szCs w:val="18"/>
          <w:color w:val="auto"/>
        </w:rPr>
      </w:pPr>
    </w:p>
    <w:p>
      <w:pPr>
        <w:ind w:left="1624" w:right="220" w:hanging="327"/>
        <w:spacing w:after="0" w:line="250" w:lineRule="auto"/>
        <w:tabs>
          <w:tab w:leader="none" w:pos="162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Not to disclose the information within AGNC, except to other AGNC people who need to know, or use, the information and are aware that it constitutes a trade secret or proprietary information.</w:t>
      </w:r>
    </w:p>
    <w:p>
      <w:pPr>
        <w:spacing w:after="0" w:line="1" w:lineRule="exact"/>
        <w:rPr>
          <w:sz w:val="20"/>
          <w:szCs w:val="20"/>
          <w:color w:val="auto"/>
        </w:rPr>
      </w:pPr>
    </w:p>
    <w:p>
      <w:pPr>
        <w:jc w:val="both"/>
        <w:ind w:left="644"/>
        <w:spacing w:after="0" w:line="254" w:lineRule="auto"/>
        <w:rPr>
          <w:sz w:val="20"/>
          <w:szCs w:val="20"/>
          <w:color w:val="auto"/>
        </w:rPr>
      </w:pPr>
      <w:r>
        <w:rPr>
          <w:rFonts w:ascii="Arial" w:cs="Arial" w:eastAsia="Arial" w:hAnsi="Arial"/>
          <w:sz w:val="18"/>
          <w:szCs w:val="18"/>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pacing w:after="0" w:line="190"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spacing w:after="0" w:line="183" w:lineRule="exact"/>
        <w:rPr>
          <w:sz w:val="20"/>
          <w:szCs w:val="20"/>
          <w:color w:val="auto"/>
        </w:rPr>
      </w:pPr>
    </w:p>
    <w:p>
      <w:pPr>
        <w:ind w:left="644" w:hanging="644"/>
        <w:spacing w:after="0"/>
        <w:tabs>
          <w:tab w:leader="none" w:pos="644"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CONFIDENTIAL INFORMATION OF OTHERS</w:t>
      </w:r>
    </w:p>
    <w:p>
      <w:pPr>
        <w:spacing w:after="0" w:line="27" w:lineRule="exact"/>
        <w:rPr>
          <w:rFonts w:ascii="Arial" w:cs="Arial" w:eastAsia="Arial" w:hAnsi="Arial"/>
          <w:sz w:val="18"/>
          <w:szCs w:val="18"/>
          <w:color w:val="auto"/>
        </w:rPr>
      </w:pPr>
    </w:p>
    <w:p>
      <w:pPr>
        <w:jc w:val="both"/>
        <w:ind w:left="644"/>
        <w:spacing w:after="0" w:line="254" w:lineRule="auto"/>
        <w:rPr>
          <w:rFonts w:ascii="Arial" w:cs="Arial" w:eastAsia="Arial" w:hAnsi="Arial"/>
          <w:sz w:val="18"/>
          <w:szCs w:val="18"/>
          <w:color w:val="auto"/>
        </w:rPr>
      </w:pPr>
      <w:r>
        <w:rPr>
          <w:rFonts w:ascii="Arial" w:cs="Arial" w:eastAsia="Arial" w:hAnsi="Arial"/>
          <w:sz w:val="18"/>
          <w:szCs w:val="18"/>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189" w:lineRule="exact"/>
        <w:rPr>
          <w:rFonts w:ascii="Arial" w:cs="Arial" w:eastAsia="Arial" w:hAnsi="Arial"/>
          <w:sz w:val="18"/>
          <w:szCs w:val="18"/>
          <w:color w:val="auto"/>
        </w:rPr>
      </w:pPr>
    </w:p>
    <w:p>
      <w:pPr>
        <w:jc w:val="both"/>
        <w:ind w:left="644"/>
        <w:spacing w:after="0" w:line="264" w:lineRule="auto"/>
        <w:rPr>
          <w:rFonts w:ascii="Arial" w:cs="Arial" w:eastAsia="Arial" w:hAnsi="Arial"/>
          <w:sz w:val="18"/>
          <w:szCs w:val="18"/>
          <w:color w:val="auto"/>
        </w:rPr>
      </w:pPr>
      <w:r>
        <w:rPr>
          <w:rFonts w:ascii="Arial" w:cs="Arial" w:eastAsia="Arial" w:hAnsi="Arial"/>
          <w:sz w:val="18"/>
          <w:szCs w:val="18"/>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181" w:lineRule="exact"/>
        <w:rPr>
          <w:rFonts w:ascii="Arial" w:cs="Arial" w:eastAsia="Arial" w:hAnsi="Arial"/>
          <w:sz w:val="18"/>
          <w:szCs w:val="18"/>
          <w:color w:val="auto"/>
        </w:rPr>
      </w:pPr>
    </w:p>
    <w:p>
      <w:pPr>
        <w:jc w:val="both"/>
        <w:ind w:left="644"/>
        <w:spacing w:after="0" w:line="279" w:lineRule="auto"/>
        <w:rPr>
          <w:rFonts w:ascii="Arial" w:cs="Arial" w:eastAsia="Arial" w:hAnsi="Arial"/>
          <w:sz w:val="18"/>
          <w:szCs w:val="18"/>
          <w:color w:val="auto"/>
        </w:rPr>
      </w:pPr>
      <w:r>
        <w:rPr>
          <w:rFonts w:ascii="Arial" w:cs="Arial" w:eastAsia="Arial" w:hAnsi="Arial"/>
          <w:sz w:val="17"/>
          <w:szCs w:val="17"/>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167" w:lineRule="exact"/>
        <w:rPr>
          <w:rFonts w:ascii="Arial" w:cs="Arial" w:eastAsia="Arial" w:hAnsi="Arial"/>
          <w:sz w:val="18"/>
          <w:szCs w:val="18"/>
          <w:color w:val="auto"/>
        </w:rPr>
      </w:pPr>
    </w:p>
    <w:p>
      <w:pPr>
        <w:ind w:left="644" w:hanging="644"/>
        <w:spacing w:after="0"/>
        <w:tabs>
          <w:tab w:leader="none" w:pos="644"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INADVERTENT DISCLOSURE</w:t>
      </w:r>
    </w:p>
    <w:p>
      <w:pPr>
        <w:spacing w:after="0" w:line="27" w:lineRule="exact"/>
        <w:rPr>
          <w:rFonts w:ascii="Arial" w:cs="Arial" w:eastAsia="Arial" w:hAnsi="Arial"/>
          <w:sz w:val="18"/>
          <w:szCs w:val="18"/>
          <w:color w:val="auto"/>
        </w:rPr>
      </w:pPr>
    </w:p>
    <w:p>
      <w:pPr>
        <w:jc w:val="both"/>
        <w:ind w:left="644"/>
        <w:spacing w:after="0" w:line="292" w:lineRule="auto"/>
        <w:rPr>
          <w:rFonts w:ascii="Arial" w:cs="Arial" w:eastAsia="Arial" w:hAnsi="Arial"/>
          <w:sz w:val="18"/>
          <w:szCs w:val="18"/>
          <w:color w:val="auto"/>
        </w:rPr>
      </w:pPr>
      <w:r>
        <w:rPr>
          <w:rFonts w:ascii="Arial" w:cs="Arial" w:eastAsia="Arial" w:hAnsi="Arial"/>
          <w:sz w:val="16"/>
          <w:szCs w:val="16"/>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158" w:lineRule="exact"/>
        <w:rPr>
          <w:rFonts w:ascii="Arial" w:cs="Arial" w:eastAsia="Arial" w:hAnsi="Arial"/>
          <w:sz w:val="18"/>
          <w:szCs w:val="18"/>
          <w:color w:val="auto"/>
        </w:rPr>
      </w:pPr>
    </w:p>
    <w:p>
      <w:pPr>
        <w:ind w:left="644" w:hanging="644"/>
        <w:spacing w:after="0"/>
        <w:tabs>
          <w:tab w:leader="none" w:pos="644"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CONTACTS WITH REPORTERS, ANALYSTS AND OTHER MEDIA</w:t>
      </w:r>
    </w:p>
    <w:p>
      <w:pPr>
        <w:spacing w:after="0" w:line="27" w:lineRule="exact"/>
        <w:rPr>
          <w:rFonts w:ascii="Arial" w:cs="Arial" w:eastAsia="Arial" w:hAnsi="Arial"/>
          <w:sz w:val="18"/>
          <w:szCs w:val="18"/>
          <w:color w:val="auto"/>
        </w:rPr>
      </w:pPr>
    </w:p>
    <w:p>
      <w:pPr>
        <w:jc w:val="both"/>
        <w:ind w:left="644"/>
        <w:spacing w:after="0" w:line="292" w:lineRule="auto"/>
        <w:rPr>
          <w:rFonts w:ascii="Arial" w:cs="Arial" w:eastAsia="Arial" w:hAnsi="Arial"/>
          <w:sz w:val="18"/>
          <w:szCs w:val="18"/>
          <w:color w:val="auto"/>
        </w:rPr>
      </w:pPr>
      <w:r>
        <w:rPr>
          <w:rFonts w:ascii="Arial" w:cs="Arial" w:eastAsia="Arial" w:hAnsi="Arial"/>
          <w:sz w:val="16"/>
          <w:szCs w:val="16"/>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w:t>
      </w:r>
    </w:p>
    <w:p>
      <w:pPr>
        <w:spacing w:after="0" w:line="200" w:lineRule="exact"/>
        <w:rPr>
          <w:sz w:val="20"/>
          <w:szCs w:val="20"/>
          <w:color w:val="auto"/>
        </w:rPr>
      </w:pPr>
    </w:p>
    <w:p>
      <w:pPr>
        <w:spacing w:after="0" w:line="20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580" w:right="239" w:bottom="1440" w:gutter="0" w:footer="0" w:header="0"/>
        </w:sectPr>
      </w:pPr>
    </w:p>
    <w:bookmarkStart w:id="149" w:name="page150"/>
    <w:bookmarkEnd w:id="149"/>
    <w:p>
      <w:pPr>
        <w:jc w:val="both"/>
        <w:ind w:left="1300"/>
        <w:spacing w:after="0" w:line="264" w:lineRule="auto"/>
        <w:rPr>
          <w:sz w:val="20"/>
          <w:szCs w:val="20"/>
          <w:color w:val="auto"/>
        </w:rPr>
      </w:pPr>
      <w:r>
        <w:rPr>
          <w:rFonts w:ascii="Arial" w:cs="Arial" w:eastAsia="Arial" w:hAnsi="Arial"/>
          <w:sz w:val="18"/>
          <w:szCs w:val="18"/>
          <w:color w:val="auto"/>
        </w:rPr>
        <w:t>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181"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It should also be noted that the foregoing restrictions also apply with regard to the disclosure of information through non-traditional media, such as the internet. For example, AGNC people should not post information regarding the company in internet chat rooms or bulletin boards.</w:t>
      </w:r>
    </w:p>
    <w:p>
      <w:pPr>
        <w:spacing w:after="0" w:line="177"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ADMINISTRATION OF THIS CODE</w:t>
      </w:r>
    </w:p>
    <w:p>
      <w:pPr>
        <w:spacing w:after="0" w:line="27" w:lineRule="exact"/>
        <w:rPr>
          <w:rFonts w:ascii="Arial" w:cs="Arial" w:eastAsia="Arial" w:hAnsi="Arial"/>
          <w:sz w:val="18"/>
          <w:szCs w:val="18"/>
          <w:color w:val="auto"/>
        </w:rPr>
      </w:pPr>
    </w:p>
    <w:p>
      <w:pPr>
        <w:ind w:left="1300" w:hanging="644"/>
        <w:spacing w:after="0"/>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ONGOING REVIEW OF COMPLIANCE</w:t>
      </w:r>
    </w:p>
    <w:p>
      <w:pPr>
        <w:spacing w:after="0" w:line="9" w:lineRule="exact"/>
        <w:rPr>
          <w:rFonts w:ascii="Arial" w:cs="Arial" w:eastAsia="Arial" w:hAnsi="Arial"/>
          <w:sz w:val="18"/>
          <w:szCs w:val="18"/>
          <w:color w:val="auto"/>
        </w:rPr>
      </w:pPr>
    </w:p>
    <w:p>
      <w:pPr>
        <w:jc w:val="both"/>
        <w:ind w:left="1300"/>
        <w:spacing w:after="0" w:line="295" w:lineRule="auto"/>
        <w:rPr>
          <w:rFonts w:ascii="Arial" w:cs="Arial" w:eastAsia="Arial" w:hAnsi="Arial"/>
          <w:sz w:val="18"/>
          <w:szCs w:val="18"/>
          <w:color w:val="auto"/>
        </w:rPr>
      </w:pPr>
      <w:r>
        <w:rPr>
          <w:rFonts w:ascii="Arial" w:cs="Arial" w:eastAsia="Arial" w:hAnsi="Arial"/>
          <w:sz w:val="16"/>
          <w:szCs w:val="16"/>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REPORTING OF SUSPECTED VIOLATIONS</w:t>
      </w:r>
    </w:p>
    <w:p>
      <w:pPr>
        <w:spacing w:after="0" w:line="27" w:lineRule="exact"/>
        <w:rPr>
          <w:rFonts w:ascii="Arial" w:cs="Arial" w:eastAsia="Arial" w:hAnsi="Arial"/>
          <w:sz w:val="18"/>
          <w:szCs w:val="18"/>
          <w:color w:val="auto"/>
        </w:rPr>
      </w:pPr>
    </w:p>
    <w:p>
      <w:pPr>
        <w:jc w:val="both"/>
        <w:ind w:left="1300"/>
        <w:spacing w:after="0" w:line="252" w:lineRule="auto"/>
        <w:rPr>
          <w:rFonts w:ascii="Arial" w:cs="Arial" w:eastAsia="Arial" w:hAnsi="Arial"/>
          <w:sz w:val="18"/>
          <w:szCs w:val="18"/>
          <w:color w:val="auto"/>
        </w:rPr>
      </w:pPr>
      <w:r>
        <w:rPr>
          <w:rFonts w:ascii="Arial" w:cs="Arial" w:eastAsia="Arial" w:hAnsi="Arial"/>
          <w:sz w:val="18"/>
          <w:szCs w:val="18"/>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194"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If you are not comfortable revealing your identity when making a report, you can also make an anonymous report with our Chief Compliance Officer, the hotline or our Audit Committee.</w:t>
      </w:r>
    </w:p>
    <w:p>
      <w:pPr>
        <w:spacing w:after="0" w:line="170"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181"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NON-RETALIATION</w:t>
      </w:r>
    </w:p>
    <w:p>
      <w:pPr>
        <w:spacing w:after="0" w:line="27"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b w:val="1"/>
          <w:bCs w:val="1"/>
          <w:color w:val="auto"/>
        </w:rPr>
        <w:t>INVESTIGATION OF SUSPECTED VIOLATIONS</w:t>
      </w:r>
    </w:p>
    <w:p>
      <w:pPr>
        <w:spacing w:after="0" w:line="27" w:lineRule="exact"/>
        <w:rPr>
          <w:rFonts w:ascii="Arial" w:cs="Arial" w:eastAsia="Arial" w:hAnsi="Arial"/>
          <w:sz w:val="18"/>
          <w:szCs w:val="18"/>
          <w:color w:val="auto"/>
        </w:rPr>
      </w:pPr>
    </w:p>
    <w:p>
      <w:pPr>
        <w:jc w:val="both"/>
        <w:ind w:left="1300"/>
        <w:spacing w:after="0" w:line="252" w:lineRule="auto"/>
        <w:rPr>
          <w:rFonts w:ascii="Arial" w:cs="Arial" w:eastAsia="Arial" w:hAnsi="Arial"/>
          <w:sz w:val="18"/>
          <w:szCs w:val="18"/>
          <w:color w:val="auto"/>
        </w:rPr>
      </w:pPr>
      <w:r>
        <w:rPr>
          <w:rFonts w:ascii="Arial" w:cs="Arial" w:eastAsia="Arial" w:hAnsi="Arial"/>
          <w:sz w:val="18"/>
          <w:szCs w:val="18"/>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spacing w:after="0" w:line="194"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has ultimate responsibility for final interpretation of this Code and for determining whether any violations of this Code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50" w:name="page151"/>
    <w:bookmarkEnd w:id="150"/>
    <w:p>
      <w:pPr>
        <w:ind w:left="644" w:hanging="644"/>
        <w:spacing w:after="0"/>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DISCIPLINARY ACTION</w:t>
      </w:r>
    </w:p>
    <w:p>
      <w:pPr>
        <w:spacing w:after="0" w:line="27" w:lineRule="exact"/>
        <w:rPr>
          <w:rFonts w:ascii="Arial" w:cs="Arial" w:eastAsia="Arial" w:hAnsi="Arial"/>
          <w:sz w:val="18"/>
          <w:szCs w:val="18"/>
          <w:color w:val="auto"/>
        </w:rPr>
      </w:pPr>
    </w:p>
    <w:p>
      <w:pPr>
        <w:jc w:val="both"/>
        <w:ind w:left="644"/>
        <w:spacing w:after="0" w:line="255" w:lineRule="auto"/>
        <w:rPr>
          <w:rFonts w:ascii="Arial" w:cs="Arial" w:eastAsia="Arial" w:hAnsi="Arial"/>
          <w:sz w:val="18"/>
          <w:szCs w:val="18"/>
          <w:color w:val="auto"/>
        </w:rPr>
      </w:pPr>
      <w:r>
        <w:rPr>
          <w:rFonts w:ascii="Arial" w:cs="Arial" w:eastAsia="Arial" w:hAnsi="Arial"/>
          <w:sz w:val="18"/>
          <w:szCs w:val="18"/>
          <w:color w:val="auto"/>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SPECIAL PROVISIONS APPLICABLE TO CERTAIN FINANCIAL EXECUTIVES</w:t>
      </w:r>
    </w:p>
    <w:p>
      <w:pPr>
        <w:spacing w:after="0" w:line="27" w:lineRule="exact"/>
        <w:rPr>
          <w:rFonts w:ascii="Arial" w:cs="Arial" w:eastAsia="Arial" w:hAnsi="Arial"/>
          <w:sz w:val="18"/>
          <w:szCs w:val="18"/>
          <w:color w:val="auto"/>
        </w:rPr>
      </w:pPr>
    </w:p>
    <w:p>
      <w:pPr>
        <w:jc w:val="both"/>
        <w:ind w:left="644"/>
        <w:spacing w:after="0" w:line="270" w:lineRule="auto"/>
        <w:rPr>
          <w:rFonts w:ascii="Arial" w:cs="Arial" w:eastAsia="Arial" w:hAnsi="Arial"/>
          <w:sz w:val="18"/>
          <w:szCs w:val="18"/>
          <w:color w:val="auto"/>
        </w:rPr>
      </w:pPr>
      <w:r>
        <w:rPr>
          <w:rFonts w:ascii="Arial" w:cs="Arial" w:eastAsia="Arial" w:hAnsi="Arial"/>
          <w:sz w:val="17"/>
          <w:szCs w:val="17"/>
          <w:color w:val="auto"/>
        </w:rPr>
        <w:t>Given the important position of trust and authority that they occupy, our Chief Executive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178" w:lineRule="exact"/>
        <w:rPr>
          <w:rFonts w:ascii="Arial" w:cs="Arial" w:eastAsia="Arial" w:hAnsi="Arial"/>
          <w:sz w:val="18"/>
          <w:szCs w:val="18"/>
          <w:color w:val="auto"/>
        </w:rPr>
      </w:pPr>
    </w:p>
    <w:p>
      <w:pPr>
        <w:jc w:val="both"/>
        <w:ind w:left="644"/>
        <w:spacing w:after="0" w:line="259" w:lineRule="auto"/>
        <w:rPr>
          <w:rFonts w:ascii="Arial" w:cs="Arial" w:eastAsia="Arial" w:hAnsi="Arial"/>
          <w:sz w:val="18"/>
          <w:szCs w:val="18"/>
          <w:color w:val="auto"/>
        </w:rPr>
      </w:pPr>
      <w:r>
        <w:rPr>
          <w:rFonts w:ascii="Arial" w:cs="Arial" w:eastAsia="Arial" w:hAnsi="Arial"/>
          <w:sz w:val="18"/>
          <w:szCs w:val="18"/>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pacing w:after="0" w:line="182" w:lineRule="exact"/>
        <w:rPr>
          <w:rFonts w:ascii="Arial" w:cs="Arial" w:eastAsia="Arial" w:hAnsi="Arial"/>
          <w:sz w:val="18"/>
          <w:szCs w:val="18"/>
          <w:color w:val="auto"/>
        </w:rPr>
      </w:pPr>
    </w:p>
    <w:p>
      <w:pPr>
        <w:ind w:left="644" w:hanging="644"/>
        <w:spacing w:after="0"/>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REVISIONS AND UPDATES TO THIS CODE</w:t>
      </w:r>
    </w:p>
    <w:p>
      <w:pPr>
        <w:spacing w:after="0" w:line="27" w:lineRule="exact"/>
        <w:rPr>
          <w:rFonts w:ascii="Arial" w:cs="Arial" w:eastAsia="Arial" w:hAnsi="Arial"/>
          <w:sz w:val="18"/>
          <w:szCs w:val="18"/>
          <w:color w:val="auto"/>
        </w:rPr>
      </w:pPr>
    </w:p>
    <w:p>
      <w:pPr>
        <w:jc w:val="both"/>
        <w:ind w:left="644"/>
        <w:spacing w:after="0" w:line="254" w:lineRule="auto"/>
        <w:rPr>
          <w:rFonts w:ascii="Arial" w:cs="Arial" w:eastAsia="Arial" w:hAnsi="Arial"/>
          <w:sz w:val="18"/>
          <w:szCs w:val="18"/>
          <w:color w:val="auto"/>
        </w:rPr>
      </w:pPr>
      <w:r>
        <w:rPr>
          <w:rFonts w:ascii="Arial" w:cs="Arial" w:eastAsia="Arial" w:hAnsi="Arial"/>
          <w:sz w:val="18"/>
          <w:szCs w:val="18"/>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185" w:lineRule="exact"/>
        <w:rPr>
          <w:rFonts w:ascii="Arial" w:cs="Arial" w:eastAsia="Arial" w:hAnsi="Arial"/>
          <w:sz w:val="18"/>
          <w:szCs w:val="18"/>
          <w:color w:val="auto"/>
        </w:rPr>
      </w:pPr>
    </w:p>
    <w:p>
      <w:pPr>
        <w:ind w:left="644" w:hanging="644"/>
        <w:spacing w:after="0"/>
        <w:tabs>
          <w:tab w:leader="none" w:pos="644"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IMPORTANT DISCLAIMERS</w:t>
      </w:r>
    </w:p>
    <w:p>
      <w:pPr>
        <w:spacing w:after="0" w:line="27" w:lineRule="exact"/>
        <w:rPr>
          <w:rFonts w:ascii="Arial" w:cs="Arial" w:eastAsia="Arial" w:hAnsi="Arial"/>
          <w:sz w:val="18"/>
          <w:szCs w:val="18"/>
          <w:color w:val="auto"/>
        </w:rPr>
      </w:pPr>
    </w:p>
    <w:p>
      <w:pPr>
        <w:jc w:val="both"/>
        <w:ind w:left="644"/>
        <w:spacing w:after="0" w:line="254" w:lineRule="auto"/>
        <w:rPr>
          <w:rFonts w:ascii="Arial" w:cs="Arial" w:eastAsia="Arial" w:hAnsi="Arial"/>
          <w:sz w:val="18"/>
          <w:szCs w:val="18"/>
          <w:color w:val="auto"/>
        </w:rPr>
      </w:pPr>
      <w:r>
        <w:rPr>
          <w:rFonts w:ascii="Arial" w:cs="Arial" w:eastAsia="Arial" w:hAnsi="Arial"/>
          <w:sz w:val="18"/>
          <w:szCs w:val="18"/>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5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Form S-3 (No. 333-205306),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Form S-3 (No. 333-205307);</w:t>
      </w:r>
    </w:p>
    <w:p>
      <w:pPr>
        <w:spacing w:after="0" w:line="200" w:lineRule="exact"/>
        <w:rPr>
          <w:sz w:val="20"/>
          <w:szCs w:val="20"/>
          <w:color w:val="auto"/>
        </w:rPr>
      </w:pPr>
    </w:p>
    <w:p>
      <w:pPr>
        <w:spacing w:after="0" w:line="22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of our reports dated February 27, 2017, with respect to the consolidated financial statements of AGNC Investment Corp., and the effectiveness of internal control over financial reporting of AGNC Investment Corp., included in this Annual Report (Form 10-K) of AGNC Investment Corp. for the year ended December 31, 2016.</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McLean, Virginia February 27,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920" w:space="720"/>
            <w:col w:w="8780"/>
          </w:cols>
          <w:pgMar w:left="240" w:top="607" w:right="2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38" w:lineRule="exact"/>
        <w:rPr>
          <w:sz w:val="20"/>
          <w:szCs w:val="20"/>
          <w:color w:val="auto"/>
        </w:rPr>
      </w:pPr>
    </w:p>
    <w:p>
      <w:pPr>
        <w:jc w:val="both"/>
        <w:ind w:firstLine="405"/>
        <w:spacing w:after="0" w:line="253" w:lineRule="exact"/>
        <w:rPr>
          <w:sz w:val="20"/>
          <w:szCs w:val="20"/>
          <w:color w:val="auto"/>
        </w:rPr>
      </w:pPr>
      <w:r>
        <w:rPr>
          <w:rFonts w:ascii="Arial" w:cs="Arial" w:eastAsia="Arial" w:hAnsi="Arial"/>
          <w:sz w:val="16"/>
          <w:szCs w:val="16"/>
          <w:color w:val="auto"/>
        </w:rPr>
        <w:t>KNOW ALL MEN BY THESE PRESENTS, that the undersigned directors and officers of AGNC Investment Corp., a corporation organized under the laws of the state of Delaware (the “Corporation”), hereby constitute and appoint Peter Federico, Kenneth Pollack and Kasey Reisman and each of them (with full power to each of them to act alone), his/her true and lawful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2016,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or any of them, may lawfully do or cause to be done by virtue hereof.</w:t>
      </w:r>
    </w:p>
    <w:p>
      <w:pPr>
        <w:sectPr>
          <w:pgSz w:w="11900" w:h="16838" w:orient="portrait"/>
          <w:cols w:equalWidth="0" w:num="1">
            <w:col w:w="11420"/>
          </w:cols>
          <w:pgMar w:left="240" w:top="796" w:right="239" w:bottom="1440" w:gutter="0" w:footer="0" w:header="0"/>
        </w:sectPr>
      </w:pPr>
    </w:p>
    <w:bookmarkStart w:id="153" w:name="page154"/>
    <w:bookmarkEnd w:id="153"/>
    <w:p>
      <w:pPr>
        <w:ind w:left="440"/>
        <w:spacing w:after="0"/>
        <w:rPr>
          <w:sz w:val="20"/>
          <w:szCs w:val="20"/>
          <w:color w:val="auto"/>
        </w:rPr>
      </w:pPr>
      <w:r>
        <w:rPr>
          <w:rFonts w:ascii="Arial" w:cs="Arial" w:eastAsia="Arial" w:hAnsi="Arial"/>
          <w:sz w:val="17"/>
          <w:szCs w:val="17"/>
          <w:color w:val="auto"/>
        </w:rPr>
        <w:t>IN WITNESS WHEREOF, each of the undersigned directors and/or officers has hereunto set his hand and seal, as of the date specified.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AGNC INVESTMENT CORP.</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Dated: February 17, 2017</w:t>
            </w:r>
          </w:p>
        </w:tc>
        <w:tc>
          <w:tcPr>
            <w:tcW w:w="39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r>
      <w:tr>
        <w:trPr>
          <w:trHeight w:val="27"/>
        </w:trPr>
        <w:tc>
          <w:tcPr>
            <w:tcW w:w="2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Gary Kain</w:t>
            </w:r>
          </w:p>
        </w:tc>
      </w:tr>
      <w:tr>
        <w:trPr>
          <w:trHeight w:val="256"/>
        </w:trPr>
        <w:tc>
          <w:tcPr>
            <w:tcW w:w="27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Chief Executive Officer, President and Chief Investment</w:t>
            </w:r>
          </w:p>
        </w:tc>
      </w:tr>
      <w:tr>
        <w:trPr>
          <w:trHeight w:val="230"/>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3920" w:type="dxa"/>
            <w:vAlign w:val="bottom"/>
          </w:tcPr>
          <w:p>
            <w:pPr>
              <w:ind w:left="20"/>
              <w:spacing w:after="0"/>
              <w:rPr>
                <w:sz w:val="20"/>
                <w:szCs w:val="20"/>
                <w:color w:val="auto"/>
              </w:rPr>
            </w:pPr>
            <w:r>
              <w:rPr>
                <w:rFonts w:ascii="Arial" w:cs="Arial" w:eastAsia="Arial" w:hAnsi="Arial"/>
                <w:sz w:val="18"/>
                <w:szCs w:val="18"/>
                <w:color w:val="auto"/>
              </w:rPr>
              <w:t>Chief Executive Officer, President and Chief</w:t>
            </w:r>
          </w:p>
        </w:tc>
        <w:tc>
          <w:tcPr>
            <w:tcW w:w="4220" w:type="dxa"/>
            <w:vAlign w:val="bottom"/>
          </w:tcPr>
          <w:p>
            <w:pPr>
              <w:ind w:left="2860"/>
              <w:spacing w:after="0"/>
              <w:rPr>
                <w:sz w:val="20"/>
                <w:szCs w:val="20"/>
                <w:color w:val="auto"/>
              </w:rPr>
            </w:pPr>
            <w:r>
              <w:rPr>
                <w:rFonts w:ascii="Arial" w:cs="Arial" w:eastAsia="Arial" w:hAnsi="Arial"/>
                <w:sz w:val="18"/>
                <w:szCs w:val="18"/>
                <w:color w:val="auto"/>
                <w:w w:val="91"/>
              </w:rPr>
              <w:t>February 17, 2017</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Gary Kain</w:t>
            </w:r>
          </w:p>
        </w:tc>
        <w:tc>
          <w:tcPr>
            <w:tcW w:w="3920" w:type="dxa"/>
            <w:vAlign w:val="bottom"/>
          </w:tcPr>
          <w:p>
            <w:pPr>
              <w:ind w:left="20"/>
              <w:spacing w:after="0"/>
              <w:rPr>
                <w:sz w:val="20"/>
                <w:szCs w:val="20"/>
                <w:color w:val="auto"/>
              </w:rPr>
            </w:pPr>
            <w:r>
              <w:rPr>
                <w:rFonts w:ascii="Arial" w:cs="Arial" w:eastAsia="Arial" w:hAnsi="Arial"/>
                <w:sz w:val="18"/>
                <w:szCs w:val="18"/>
                <w:color w:val="auto"/>
              </w:rPr>
              <w:t>Investment Officer (Principal Executive Officer)</w:t>
            </w: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MORRIS A. DAVIS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860"/>
              <w:spacing w:after="0"/>
              <w:rPr>
                <w:sz w:val="20"/>
                <w:szCs w:val="20"/>
                <w:color w:val="auto"/>
              </w:rPr>
            </w:pPr>
            <w:r>
              <w:rPr>
                <w:rFonts w:ascii="Arial" w:cs="Arial" w:eastAsia="Arial" w:hAnsi="Arial"/>
                <w:sz w:val="18"/>
                <w:szCs w:val="18"/>
                <w:color w:val="auto"/>
                <w:w w:val="91"/>
              </w:rPr>
              <w:t>February 17, 2017</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Morris A. Davis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K. H</w:t>
            </w:r>
            <w:r>
              <w:rPr>
                <w:rFonts w:ascii="Arial" w:cs="Arial" w:eastAsia="Arial" w:hAnsi="Arial"/>
                <w:sz w:val="14"/>
                <w:szCs w:val="14"/>
                <w:color w:val="auto"/>
              </w:rPr>
              <w:t>ARVEY</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860"/>
              <w:spacing w:after="0"/>
              <w:rPr>
                <w:sz w:val="20"/>
                <w:szCs w:val="20"/>
                <w:color w:val="auto"/>
              </w:rPr>
            </w:pPr>
            <w:r>
              <w:rPr>
                <w:rFonts w:ascii="Arial" w:cs="Arial" w:eastAsia="Arial" w:hAnsi="Arial"/>
                <w:sz w:val="18"/>
                <w:szCs w:val="18"/>
                <w:color w:val="auto"/>
                <w:w w:val="91"/>
              </w:rPr>
              <w:t>February 17, 2017</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Larry K. Harvey</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RUE</w:t>
            </w:r>
            <w:r>
              <w:rPr>
                <w:rFonts w:ascii="Arial" w:cs="Arial" w:eastAsia="Arial" w:hAnsi="Arial"/>
                <w:sz w:val="18"/>
                <w:szCs w:val="18"/>
                <w:color w:val="auto"/>
              </w:rPr>
              <w:t xml:space="preserve"> L</w:t>
            </w:r>
            <w:r>
              <w:rPr>
                <w:rFonts w:ascii="Arial" w:cs="Arial" w:eastAsia="Arial" w:hAnsi="Arial"/>
                <w:sz w:val="14"/>
                <w:szCs w:val="14"/>
                <w:color w:val="auto"/>
              </w:rPr>
              <w:t>AROCCA</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860"/>
              <w:spacing w:after="0"/>
              <w:rPr>
                <w:sz w:val="20"/>
                <w:szCs w:val="20"/>
                <w:color w:val="auto"/>
              </w:rPr>
            </w:pPr>
            <w:r>
              <w:rPr>
                <w:rFonts w:ascii="Arial" w:cs="Arial" w:eastAsia="Arial" w:hAnsi="Arial"/>
                <w:sz w:val="18"/>
                <w:szCs w:val="18"/>
                <w:color w:val="auto"/>
                <w:w w:val="91"/>
              </w:rPr>
              <w:t>February 17, 2017</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Prue Larocca</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AUL</w:t>
            </w:r>
            <w:r>
              <w:rPr>
                <w:rFonts w:ascii="Arial" w:cs="Arial" w:eastAsia="Arial" w:hAnsi="Arial"/>
                <w:sz w:val="18"/>
                <w:szCs w:val="18"/>
                <w:color w:val="auto"/>
              </w:rPr>
              <w:t xml:space="preserve"> M</w:t>
            </w:r>
            <w:r>
              <w:rPr>
                <w:rFonts w:ascii="Arial" w:cs="Arial" w:eastAsia="Arial" w:hAnsi="Arial"/>
                <w:sz w:val="14"/>
                <w:szCs w:val="14"/>
                <w:color w:val="auto"/>
              </w:rPr>
              <w:t>ULLINGS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860"/>
              <w:spacing w:after="0"/>
              <w:rPr>
                <w:sz w:val="20"/>
                <w:szCs w:val="20"/>
                <w:color w:val="auto"/>
              </w:rPr>
            </w:pPr>
            <w:r>
              <w:rPr>
                <w:rFonts w:ascii="Arial" w:cs="Arial" w:eastAsia="Arial" w:hAnsi="Arial"/>
                <w:sz w:val="18"/>
                <w:szCs w:val="18"/>
                <w:color w:val="auto"/>
                <w:w w:val="91"/>
              </w:rPr>
              <w:t>February 17, 2017</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Paul Mullings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ectPr>
          <w:pgSz w:w="11900" w:h="16838" w:orient="portrait"/>
          <w:cols w:equalWidth="0" w:num="1">
            <w:col w:w="10880"/>
          </w:cols>
          <w:pgMar w:left="240" w:top="585" w:right="779" w:bottom="1440" w:gutter="0" w:footer="0" w:header="0"/>
        </w:sectPr>
      </w:pPr>
    </w:p>
    <w:bookmarkStart w:id="154" w:name="page155"/>
    <w:bookmarkEnd w:id="154"/>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President and Chief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Officer (Principal Executive Officer)</w:t>
      </w:r>
    </w:p>
    <w:p>
      <w:pPr>
        <w:sectPr>
          <w:pgSz w:w="11900" w:h="16838" w:orient="portrait"/>
          <w:cols w:equalWidth="0" w:num="1">
            <w:col w:w="11400"/>
          </w:cols>
          <w:pgMar w:left="260" w:top="584" w:right="239" w:bottom="1440" w:gutter="0" w:footer="0" w:header="0"/>
        </w:sectPr>
      </w:pPr>
    </w:p>
    <w:bookmarkStart w:id="155" w:name="page156"/>
    <w:bookmarkEnd w:id="155"/>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P</w:t>
      </w:r>
      <w:r>
        <w:rPr>
          <w:rFonts w:ascii="Arial" w:cs="Arial" w:eastAsia="Arial" w:hAnsi="Arial"/>
          <w:sz w:val="14"/>
          <w:szCs w:val="14"/>
          <w:color w:val="auto"/>
        </w:rPr>
        <w:t>ETER</w:t>
      </w:r>
      <w:r>
        <w:rPr>
          <w:rFonts w:ascii="Arial" w:cs="Arial" w:eastAsia="Arial" w:hAnsi="Arial"/>
          <w:sz w:val="18"/>
          <w:szCs w:val="18"/>
          <w:color w:val="auto"/>
        </w:rPr>
        <w:t xml:space="preserve"> F</w:t>
      </w:r>
      <w:r>
        <w:rPr>
          <w:rFonts w:ascii="Arial" w:cs="Arial" w:eastAsia="Arial" w:hAnsi="Arial"/>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70" w:lineRule="exact"/>
        <w:rPr>
          <w:sz w:val="20"/>
          <w:szCs w:val="20"/>
          <w:color w:val="auto"/>
        </w:rPr>
      </w:pPr>
    </w:p>
    <w:p>
      <w:pPr>
        <w:ind w:left="660" w:right="80" w:hanging="328"/>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2016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President and 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F</w:t>
            </w:r>
            <w:r>
              <w:rPr>
                <w:rFonts w:ascii="Arial" w:cs="Arial" w:eastAsia="Arial" w:hAnsi="Arial"/>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Peter Federico</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27, 2017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1."/>
      <w:numFmt w:val="decimal"/>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lowerLetter"/>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1."/>
      <w:numFmt w:val="decimal"/>
      <w:start w:val="1"/>
    </w:lvl>
  </w:abstractNum>
  <w:abstractNum w:abstractNumId="16">
    <w:nsid w:val="6EB5BD4"/>
    <w:multiLevelType w:val="hybridMultilevel"/>
    <w:lvl w:ilvl="0">
      <w:lvlJc w:val="left"/>
      <w:lvlText w:val="%1."/>
      <w:numFmt w:val="decimal"/>
      <w:start w:val="1"/>
    </w:lvl>
  </w:abstractNum>
  <w:abstractNum w:abstractNumId="17">
    <w:nsid w:val="6F6DD9AC"/>
    <w:multiLevelType w:val="hybridMultilevel"/>
    <w:lvl w:ilvl="0">
      <w:lvlJc w:val="left"/>
      <w:lvlText w:val="%1."/>
      <w:numFmt w:val="decimal"/>
      <w:start w:val="1"/>
    </w:lvl>
  </w:abstractNum>
  <w:abstractNum w:abstractNumId="18">
    <w:nsid w:val="94211F2"/>
    <w:multiLevelType w:val="hybridMultilevel"/>
    <w:lvl w:ilvl="0">
      <w:lvlJc w:val="left"/>
      <w:lvlText w:val="(%1)"/>
      <w:numFmt w:val="lowerRoman"/>
      <w:start w:val="3"/>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1."/>
      <w:numFmt w:val="decimal"/>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1."/>
      <w:numFmt w:val="decimal"/>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1."/>
      <w:numFmt w:val="decimal"/>
      <w:start w:val="1"/>
    </w:lvl>
  </w:abstractNum>
  <w:abstractNum w:abstractNumId="26">
    <w:nsid w:val="68EBC550"/>
    <w:multiLevelType w:val="hybridMultilevel"/>
    <w:lvl w:ilvl="0">
      <w:lvlJc w:val="left"/>
      <w:lvlText w:val="%1."/>
      <w:numFmt w:val="decimal"/>
      <w:start w:val="1"/>
    </w:lvl>
  </w:abstractNum>
  <w:abstractNum w:abstractNumId="27">
    <w:nsid w:val="2DF6D648"/>
    <w:multiLevelType w:val="hybridMultilevel"/>
    <w:lvl w:ilvl="0">
      <w:lvlJc w:val="left"/>
      <w:lvlText w:val="%1."/>
      <w:numFmt w:val="decimal"/>
      <w:start w:val="1"/>
    </w:lvl>
  </w:abstractNum>
  <w:abstractNum w:abstractNumId="28">
    <w:nsid w:val="46B7D447"/>
    <w:multiLevelType w:val="hybridMultilevel"/>
    <w:lvl w:ilvl="0">
      <w:lvlJc w:val="left"/>
      <w:lvlText w:val="%1."/>
      <w:numFmt w:val="decimal"/>
      <w:start w:val="1"/>
    </w:lvl>
  </w:abstractNum>
  <w:abstractNum w:abstractNumId="29">
    <w:nsid w:val="4A2AC315"/>
    <w:multiLevelType w:val="hybridMultilevel"/>
    <w:lvl w:ilvl="0">
      <w:lvlJc w:val="left"/>
      <w:lvlText w:val="%1."/>
      <w:numFmt w:val="decimal"/>
      <w:start w:val="1"/>
    </w:lvl>
  </w:abstractNum>
  <w:abstractNum w:abstractNumId="30">
    <w:nsid w:val="39EE015C"/>
    <w:multiLevelType w:val="hybridMultilevel"/>
    <w:lvl w:ilvl="0">
      <w:lvlJc w:val="left"/>
      <w:lvlText w:val="%1."/>
      <w:numFmt w:val="decimal"/>
      <w:start w:val="1"/>
    </w:lvl>
  </w:abstractNum>
  <w:abstractNum w:abstractNumId="31">
    <w:nsid w:val="57FC4FBB"/>
    <w:multiLevelType w:val="hybridMultilevel"/>
    <w:lvl w:ilvl="0">
      <w:lvlJc w:val="left"/>
      <w:lvlText w:val="%1."/>
      <w:numFmt w:val="decimal"/>
      <w:start w:val="1"/>
    </w:lvl>
  </w:abstractNum>
  <w:abstractNum w:abstractNumId="32">
    <w:nsid w:val="CC1016F"/>
    <w:multiLevelType w:val="hybridMultilevel"/>
    <w:lvl w:ilvl="0">
      <w:lvlJc w:val="left"/>
      <w:lvlText w:val="%1."/>
      <w:numFmt w:val="decimal"/>
      <w:start w:val="1"/>
    </w:lvl>
  </w:abstractNum>
  <w:abstractNum w:abstractNumId="33">
    <w:nsid w:val="43F18422"/>
    <w:multiLevelType w:val="hybridMultilevel"/>
    <w:lvl w:ilvl="0">
      <w:lvlJc w:val="left"/>
      <w:lvlText w:val="%1."/>
      <w:numFmt w:val="decimal"/>
      <w:start w:val="1"/>
    </w:lvl>
  </w:abstractNum>
  <w:abstractNum w:abstractNumId="34">
    <w:nsid w:val="60EF0119"/>
    <w:multiLevelType w:val="hybridMultilevel"/>
    <w:lvl w:ilvl="0">
      <w:lvlJc w:val="left"/>
      <w:lvlText w:val="%1."/>
      <w:numFmt w:val="decimal"/>
      <w:start w:val="1"/>
    </w:lvl>
  </w:abstractNum>
  <w:abstractNum w:abstractNumId="35">
    <w:nsid w:val="26F324BA"/>
    <w:multiLevelType w:val="hybridMultilevel"/>
    <w:lvl w:ilvl="0">
      <w:lvlJc w:val="left"/>
      <w:lvlText w:val="%1."/>
      <w:numFmt w:val="decimal"/>
      <w:start w:val="1"/>
    </w:lvl>
  </w:abstractNum>
  <w:abstractNum w:abstractNumId="36">
    <w:nsid w:val="7F01579B"/>
    <w:multiLevelType w:val="hybridMultilevel"/>
    <w:lvl w:ilvl="0">
      <w:lvlJc w:val="left"/>
      <w:lvlText w:val="%1."/>
      <w:numFmt w:val="decimal"/>
      <w:start w:val="1"/>
    </w:lvl>
  </w:abstractNum>
  <w:abstractNum w:abstractNumId="37">
    <w:nsid w:val="49DA307D"/>
    <w:multiLevelType w:val="hybridMultilevel"/>
    <w:lvl w:ilvl="0">
      <w:lvlJc w:val="left"/>
      <w:lvlText w:val="%1."/>
      <w:numFmt w:val="decimal"/>
      <w:start w:val="1"/>
    </w:lvl>
  </w:abstractNum>
  <w:abstractNum w:abstractNumId="38">
    <w:nsid w:val="7055A5F5"/>
    <w:multiLevelType w:val="hybridMultilevel"/>
    <w:lvl w:ilvl="0">
      <w:lvlJc w:val="left"/>
      <w:lvlText w:val="%1."/>
      <w:numFmt w:val="decimal"/>
      <w:start w:val="1"/>
    </w:lvl>
  </w:abstractNum>
  <w:abstractNum w:abstractNumId="39">
    <w:nsid w:val="5FB8370B"/>
    <w:multiLevelType w:val="hybridMultilevel"/>
    <w:lvl w:ilvl="0">
      <w:lvlJc w:val="left"/>
      <w:lvlText w:val="%1."/>
      <w:numFmt w:val="decimal"/>
      <w:start w:val="1"/>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1."/>
      <w:numFmt w:val="decimal"/>
      <w:start w:val="1"/>
    </w:lvl>
  </w:abstractNum>
  <w:abstractNum w:abstractNumId="42">
    <w:nsid w:val="5FB8011C"/>
    <w:multiLevelType w:val="hybridMultilevel"/>
    <w:lvl w:ilvl="0">
      <w:lvlJc w:val="left"/>
      <w:lvlText w:val="%1."/>
      <w:numFmt w:val="decimal"/>
      <w:start w:val="1"/>
    </w:lvl>
  </w:abstractNum>
  <w:abstractNum w:abstractNumId="43">
    <w:nsid w:val="6AA78F7F"/>
    <w:multiLevelType w:val="hybridMultilevel"/>
    <w:lvl w:ilvl="0">
      <w:lvlJc w:val="left"/>
      <w:lvlText w:val="%1."/>
      <w:numFmt w:val="decimal"/>
      <w:start w:val="1"/>
    </w:lvl>
  </w:abstractNum>
  <w:abstractNum w:abstractNumId="44">
    <w:nsid w:val="7672BD23"/>
    <w:multiLevelType w:val="hybridMultilevel"/>
    <w:lvl w:ilvl="0">
      <w:lvlJc w:val="left"/>
      <w:lvlText w:val="(%1)"/>
      <w:numFmt w:val="lowerRoman"/>
      <w:start w:val="1"/>
    </w:lvl>
  </w:abstractNum>
  <w:abstractNum w:abstractNumId="45">
    <w:nsid w:val="6FC75AF8"/>
    <w:multiLevelType w:val="hybridMultilevel"/>
    <w:lvl w:ilvl="0">
      <w:lvlJc w:val="left"/>
      <w:lvlText w:val="%1."/>
      <w:numFmt w:val="decimal"/>
      <w:start w:val="1"/>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1."/>
      <w:numFmt w:val="decimal"/>
      <w:start w:val="1"/>
    </w:lvl>
  </w:abstractNum>
  <w:abstractNum w:abstractNumId="48">
    <w:nsid w:val="5F3534A4"/>
    <w:multiLevelType w:val="hybridMultilevel"/>
    <w:lvl w:ilvl="0">
      <w:lvlJc w:val="left"/>
      <w:lvlText w:val="%1."/>
      <w:numFmt w:val="decimal"/>
      <w:start w:val="1"/>
    </w:lvl>
  </w:abstractNum>
  <w:abstractNum w:abstractNumId="49">
    <w:nsid w:val="73A1821B"/>
    <w:multiLevelType w:val="hybridMultilevel"/>
    <w:lvl w:ilvl="0">
      <w:lvlJc w:val="left"/>
      <w:lvlText w:val="%1."/>
      <w:numFmt w:val="decimal"/>
      <w:start w:val="1"/>
    </w:lvl>
  </w:abstractNum>
  <w:abstractNum w:abstractNumId="50">
    <w:nsid w:val="7DE67713"/>
    <w:multiLevelType w:val="hybridMultilevel"/>
    <w:lvl w:ilvl="0">
      <w:lvlJc w:val="left"/>
      <w:lvlText w:val="%1."/>
      <w:numFmt w:val="decimal"/>
      <w:start w:val="1"/>
    </w:lvl>
  </w:abstractNum>
  <w:abstractNum w:abstractNumId="51">
    <w:nsid w:val="555C55B5"/>
    <w:multiLevelType w:val="hybridMultilevel"/>
    <w:lvl w:ilvl="0">
      <w:lvlJc w:val="left"/>
      <w:lvlText w:val="%1."/>
      <w:numFmt w:val="decimal"/>
      <w:start w:val="1"/>
    </w:lvl>
  </w:abstractNum>
  <w:abstractNum w:abstractNumId="52">
    <w:nsid w:val="3FA62ACA"/>
    <w:multiLevelType w:val="hybridMultilevel"/>
    <w:lvl w:ilvl="0">
      <w:lvlJc w:val="left"/>
      <w:lvlText w:val="%1."/>
      <w:numFmt w:val="decimal"/>
      <w:start w:val="1"/>
    </w:lvl>
  </w:abstractNum>
  <w:abstractNum w:abstractNumId="53">
    <w:nsid w:val="14FCE74E"/>
    <w:multiLevelType w:val="hybridMultilevel"/>
    <w:lvl w:ilvl="0">
      <w:lvlJc w:val="left"/>
      <w:lvlText w:val="%1."/>
      <w:numFmt w:val="decimal"/>
      <w:start w:val="1"/>
    </w:lvl>
  </w:abstractNum>
  <w:abstractNum w:abstractNumId="54">
    <w:nsid w:val="6A3DD3E8"/>
    <w:multiLevelType w:val="hybridMultilevel"/>
    <w:lvl w:ilvl="0">
      <w:lvlJc w:val="left"/>
      <w:lvlText w:val="%1."/>
      <w:numFmt w:val="decimal"/>
      <w:start w:val="1"/>
    </w:lvl>
  </w:abstractNum>
  <w:abstractNum w:abstractNumId="55">
    <w:nsid w:val="71C91298"/>
    <w:multiLevelType w:val="hybridMultilevel"/>
    <w:lvl w:ilvl="0">
      <w:lvlJc w:val="left"/>
      <w:lvlText w:val="%1."/>
      <w:numFmt w:val="decimal"/>
      <w:start w:val="1"/>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1."/>
      <w:numFmt w:val="decimal"/>
      <w:start w:val="1"/>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1"/>
      <w:numFmt w:val="decimal"/>
      <w:start w:val="21"/>
    </w:lvl>
    <w:lvl w:ilvl="1">
      <w:lvlJc w:val="left"/>
      <w:lvlText w:val="%2)"/>
      <w:numFmt w:val="decimal"/>
      <w:start w:val="1"/>
    </w:lvl>
  </w:abstractNum>
  <w:abstractNum w:abstractNumId="62">
    <w:nsid w:val="288F1A34"/>
    <w:multiLevelType w:val="hybridMultilevel"/>
    <w:lvl w:ilvl="0">
      <w:lvlJc w:val="left"/>
      <w:lvlText w:val="%1"/>
      <w:numFmt w:val="decimal"/>
      <w:start w:val="23"/>
    </w:lvl>
  </w:abstractNum>
  <w:abstractNum w:abstractNumId="63">
    <w:nsid w:val="2A155DBC"/>
    <w:multiLevelType w:val="hybridMultilevel"/>
    <w:lvl w:ilvl="0">
      <w:lvlJc w:val="left"/>
      <w:lvlText w:val="%1"/>
      <w:numFmt w:val="decimal"/>
      <w:start w:val="32"/>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
      <w:numFmt w:val="bullet"/>
      <w:start w:val="1"/>
    </w:lvl>
    <w:lvl w:ilvl="1">
      <w:lvlJc w:val="left"/>
      <w:lvlText w:val="(%2)"/>
      <w:numFmt w:val="lowerLetter"/>
      <w:start w:val="2"/>
    </w:lvl>
  </w:abstractNum>
  <w:abstractNum w:abstractNumId="66">
    <w:nsid w:val="51088277"/>
    <w:multiLevelType w:val="hybridMultilevel"/>
    <w:lvl w:ilvl="0">
      <w:lvlJc w:val="left"/>
      <w:lvlText w:val="%1."/>
      <w:numFmt w:val="decimal"/>
      <w:start w:val="1"/>
    </w:lvl>
    <w:lvl w:ilvl="1">
      <w:lvlJc w:val="left"/>
      <w:lvlText w:val="(%2)"/>
      <w:numFmt w:val="lowerLetter"/>
      <w:start w:val="1"/>
    </w:lvl>
  </w:abstractNum>
  <w:abstractNum w:abstractNumId="67">
    <w:nsid w:val="1CA0C5FA"/>
    <w:multiLevelType w:val="hybridMultilevel"/>
    <w:lvl w:ilvl="0">
      <w:lvlJc w:val="left"/>
      <w:lvlText w:val="(%1)"/>
      <w:numFmt w:val="lowerRoman"/>
      <w:start w:val="4"/>
    </w:lvl>
  </w:abstractNum>
  <w:abstractNum w:abstractNumId="68">
    <w:nsid w:val="53584BCB"/>
    <w:multiLevelType w:val="hybridMultilevel"/>
    <w:lvl w:ilvl="0">
      <w:lvlJc w:val="left"/>
      <w:lvlText w:val="(%1)"/>
      <w:numFmt w:val="lowerRoman"/>
      <w:start w:val="16"/>
    </w:lvl>
  </w:abstractNum>
  <w:abstractNum w:abstractNumId="69">
    <w:nsid w:val="415E286C"/>
    <w:multiLevelType w:val="hybridMultilevel"/>
    <w:lvl w:ilvl="0">
      <w:lvlJc w:val="left"/>
      <w:lvlText w:val="(%1)"/>
      <w:numFmt w:val="lowerLetter"/>
      <w:start w:val="20"/>
    </w:lvl>
  </w:abstractNum>
  <w:abstractNum w:abstractNumId="70">
    <w:nsid w:val="7C58FD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71">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6"/>
    </w:lvl>
  </w:abstractNum>
  <w:abstractNum w:abstractNumId="72">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3">
    <w:nsid w:val="5C10FE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74">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5">
    <w:nsid w:val="3C5991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6">
    <w:nsid w:val="4BD859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7">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Roman"/>
      <w:start w:val="1"/>
    </w:lvl>
  </w:abstractNum>
  <w:abstractNum w:abstractNumId="78">
    <w:nsid w:val="39B7AAA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9">
    <w:nsid w:val="2B0D8DBE"/>
    <w:multiLevelType w:val="hybridMultilevel"/>
    <w:lvl w:ilvl="0">
      <w:lvlJc w:val="left"/>
      <w:lvlText w:val="%1"/>
      <w:numFmt w:val="decimal"/>
      <w:start w:val="1"/>
    </w:lvl>
    <w:lvl w:ilvl="1">
      <w:lvlJc w:val="left"/>
      <w:lvlText w:val="(%2)"/>
      <w:numFmt w:val="lowerLetter"/>
      <w:start w:val="5"/>
    </w:lvl>
  </w:abstractNum>
  <w:abstractNum w:abstractNumId="80">
    <w:nsid w:val="6C80EC70"/>
    <w:multiLevelType w:val="hybridMultilevel"/>
    <w:lvl w:ilvl="0">
      <w:lvlJc w:val="left"/>
      <w:lvlText w:val="%1."/>
      <w:numFmt w:val="decimal"/>
      <w:start w:val="7"/>
    </w:lvl>
    <w:lvl w:ilvl="1">
      <w:lvlJc w:val="left"/>
      <w:lvlText w:val="(%2)"/>
      <w:numFmt w:val="lowerLetter"/>
      <w:start w:val="1"/>
    </w:lvl>
  </w:abstractNum>
  <w:abstractNum w:abstractNumId="81">
    <w:nsid w:val="379E21B5"/>
    <w:multiLevelType w:val="hybridMultilevel"/>
    <w:lvl w:ilvl="0">
      <w:lvlJc w:val="left"/>
      <w:lvlText w:val="%1"/>
      <w:numFmt w:val="decimal"/>
      <w:start w:val="1"/>
    </w:lvl>
    <w:lvl w:ilvl="1">
      <w:lvlJc w:val="left"/>
      <w:lvlText w:val="(%2)"/>
      <w:numFmt w:val="lowerLetter"/>
      <w:start w:val="1"/>
    </w:lvl>
  </w:abstractNum>
  <w:abstractNum w:abstractNumId="82">
    <w:nsid w:val="69E373"/>
    <w:multiLevelType w:val="hybridMultilevel"/>
    <w:lvl w:ilvl="0">
      <w:lvlJc w:val="left"/>
      <w:lvlText w:val="%1."/>
      <w:numFmt w:val="decimal"/>
      <w:start w:val="9"/>
    </w:lvl>
    <w:lvl w:ilvl="1">
      <w:lvlJc w:val="left"/>
      <w:lvlText w:val="(%2)"/>
      <w:numFmt w:val="lowerLetter"/>
      <w:start w:val="1"/>
    </w:lvl>
  </w:abstractNum>
  <w:abstractNum w:abstractNumId="83">
    <w:nsid w:val="2C27173B"/>
    <w:multiLevelType w:val="hybridMultilevel"/>
    <w:lvl w:ilvl="0">
      <w:lvlJc w:val="left"/>
      <w:lvlText w:val="%1"/>
      <w:numFmt w:val="decimal"/>
      <w:start w:val="1"/>
    </w:lvl>
    <w:lvl w:ilvl="1">
      <w:lvlJc w:val="left"/>
      <w:lvlText w:val="(%2)"/>
      <w:numFmt w:val="lowerLetter"/>
      <w:start w:val="4"/>
    </w:lvl>
  </w:abstractNum>
  <w:abstractNum w:abstractNumId="84">
    <w:nsid w:val="4C9B0904"/>
    <w:multiLevelType w:val="hybridMultilevel"/>
    <w:lvl w:ilvl="0">
      <w:lvlJc w:val="left"/>
      <w:lvlText w:val="%1."/>
      <w:numFmt w:val="decimal"/>
      <w:start w:val="10"/>
    </w:lvl>
    <w:lvl w:ilvl="1">
      <w:lvlJc w:val="left"/>
      <w:lvlText w:val="(%2)"/>
      <w:numFmt w:val="lowerLetter"/>
      <w:start w:val="1"/>
    </w:lvl>
  </w:abstractNum>
  <w:abstractNum w:abstractNumId="85">
    <w:nsid w:val="6AA7B75C"/>
    <w:multiLevelType w:val="hybridMultilevel"/>
    <w:lvl w:ilvl="0">
      <w:lvlJc w:val="left"/>
      <w:lvlText w:val="%1"/>
      <w:numFmt w:val="decimal"/>
      <w:start w:val="1"/>
    </w:lvl>
    <w:lvl w:ilvl="1">
      <w:lvlJc w:val="left"/>
      <w:lvlText w:val="(%2)"/>
      <w:numFmt w:val="lowerLetter"/>
      <w:start w:val="3"/>
    </w:lvl>
  </w:abstractNum>
  <w:abstractNum w:abstractNumId="86">
    <w:nsid w:val="1DF029D3"/>
    <w:multiLevelType w:val="hybridMultilevel"/>
    <w:lvl w:ilvl="0">
      <w:lvlJc w:val="left"/>
      <w:lvlText w:val="%1."/>
      <w:numFmt w:val="decimal"/>
      <w:start w:val="12"/>
    </w:lvl>
    <w:lvl w:ilvl="1">
      <w:lvlJc w:val="left"/>
      <w:lvlText w:val="(%2)"/>
      <w:numFmt w:val="lowerLetter"/>
      <w:start w:val="1"/>
    </w:lvl>
  </w:abstractNum>
  <w:abstractNum w:abstractNumId="87">
    <w:nsid w:val="5675FF36"/>
    <w:multiLevelType w:val="hybridMultilevel"/>
    <w:lvl w:ilvl="0">
      <w:lvlJc w:val="left"/>
      <w:lvlText w:val="%1."/>
      <w:numFmt w:val="decimal"/>
      <w:start w:val="15"/>
    </w:lvl>
    <w:lvl w:ilvl="1">
      <w:lvlJc w:val="left"/>
      <w:lvlText w:val="(%2)"/>
      <w:numFmt w:val="lowerLetter"/>
      <w:start w:val="1"/>
    </w:lvl>
  </w:abstractNum>
  <w:abstractNum w:abstractNumId="88">
    <w:nsid w:val="3DD15094"/>
    <w:multiLevelType w:val="hybridMultilevel"/>
    <w:lvl w:ilvl="0">
      <w:lvlJc w:val="left"/>
      <w:lvlText w:val="%1"/>
      <w:numFmt w:val="decimal"/>
      <w:start w:val="1"/>
    </w:lvl>
    <w:lvl w:ilvl="1">
      <w:lvlJc w:val="left"/>
      <w:lvlText w:val="(%2)"/>
      <w:numFmt w:val="lowerLetter"/>
      <w:start w:val="4"/>
    </w:lvl>
  </w:abstractNum>
  <w:abstractNum w:abstractNumId="89">
    <w:nsid w:val="3DB012B3"/>
    <w:multiLevelType w:val="hybridMultilevel"/>
    <w:lvl w:ilvl="0">
      <w:lvlJc w:val="left"/>
      <w:lvlText w:val="%1."/>
      <w:numFmt w:val="decimal"/>
      <w:start w:val="18"/>
    </w:lvl>
    <w:lvl w:ilvl="1">
      <w:lvlJc w:val="left"/>
      <w:lvlText w:val="(%2)"/>
      <w:numFmt w:val="lowerLetter"/>
      <w:start w:val="1"/>
    </w:lvl>
  </w:abstractNum>
  <w:abstractNum w:abstractNumId="90">
    <w:nsid w:val="2708C9AF"/>
    <w:multiLevelType w:val="hybridMultilevel"/>
    <w:lvl w:ilvl="0">
      <w:lvlJc w:val="left"/>
      <w:lvlText w:val="%1."/>
      <w:numFmt w:val="decimal"/>
      <w:start w:val="19"/>
    </w:lvl>
    <w:lvl w:ilvl="1">
      <w:lvlJc w:val="left"/>
      <w:lvlText w:val="(%2)"/>
      <w:numFmt w:val="lowerLetter"/>
      <w:start w:val="1"/>
    </w:lvl>
  </w:abstractNum>
  <w:abstractNum w:abstractNumId="91">
    <w:nsid w:val="5B25ACE2"/>
    <w:multiLevelType w:val="hybridMultilevel"/>
    <w:lvl w:ilvl="0">
      <w:lvlJc w:val="left"/>
      <w:lvlText w:val="(%1)"/>
      <w:numFmt w:val="lowerLetter"/>
      <w:start w:val="3"/>
    </w:lvl>
  </w:abstractNum>
  <w:abstractNum w:abstractNumId="92">
    <w:nsid w:val="175DFCF0"/>
    <w:multiLevelType w:val="hybridMultilevel"/>
    <w:lvl w:ilvl="0">
      <w:lvlJc w:val="left"/>
      <w:lvlText w:val="%1."/>
      <w:numFmt w:val="decimal"/>
      <w:start w:val="1"/>
    </w:lvl>
    <w:lvl w:ilvl="1">
      <w:lvlJc w:val="left"/>
      <w:lvlText w:val="(%2)"/>
      <w:numFmt w:val="lowerLetter"/>
      <w:start w:val="1"/>
    </w:lvl>
  </w:abstractNum>
  <w:abstractNum w:abstractNumId="93">
    <w:nsid w:val="4F97E3E4"/>
    <w:multiLevelType w:val="hybridMultilevel"/>
    <w:lvl w:ilvl="0">
      <w:lvlJc w:val="left"/>
      <w:lvlText w:val="%1."/>
      <w:numFmt w:val="decimal"/>
      <w:start w:val="5"/>
    </w:lvl>
    <w:lvl w:ilvl="1">
      <w:lvlJc w:val="left"/>
      <w:lvlText w:val="(%2)"/>
      <w:numFmt w:val="lowerLetter"/>
      <w:start w:val="1"/>
    </w:lvl>
  </w:abstractNum>
  <w:abstractNum w:abstractNumId="94">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5">
    <w:nsid w:val="34FD6B4F"/>
    <w:multiLevelType w:val="hybridMultilevel"/>
    <w:lvl w:ilvl="0">
      <w:lvlJc w:val="left"/>
      <w:lvlText w:val="%1."/>
      <w:numFmt w:val="decimal"/>
      <w:start w:val="8"/>
    </w:lvl>
    <w:lvl w:ilvl="1">
      <w:lvlJc w:val="left"/>
      <w:lvlText w:val="(%2)"/>
      <w:numFmt w:val="lowerLetter"/>
      <w:start w:val="1"/>
    </w:lvl>
  </w:abstractNum>
  <w:abstractNum w:abstractNumId="96">
    <w:nsid w:val="5915FF32"/>
    <w:multiLevelType w:val="hybridMultilevel"/>
    <w:lvl w:ilvl="0">
      <w:lvlJc w:val="left"/>
      <w:lvlText w:val="%1."/>
      <w:numFmt w:val="decimal"/>
      <w:start w:val="12"/>
    </w:lvl>
  </w:abstractNum>
  <w:abstractNum w:abstractNumId="97">
    <w:nsid w:val="56438D15"/>
    <w:multiLevelType w:val="hybridMultilevel"/>
    <w:lvl w:ilvl="0">
      <w:lvlJc w:val="left"/>
      <w:lvlText w:val="%1."/>
      <w:numFmt w:val="decimal"/>
      <w:start w:val="22"/>
    </w:lvl>
  </w:abstractNum>
  <w:abstractNum w:abstractNumId="98">
    <w:nsid w:val="519E3149"/>
    <w:multiLevelType w:val="hybridMultilevel"/>
    <w:lvl w:ilvl="0">
      <w:lvlJc w:val="left"/>
      <w:lvlText w:val="%1."/>
      <w:numFmt w:val="decimal"/>
      <w:start w:val="1"/>
    </w:lvl>
    <w:lvl w:ilvl="1">
      <w:lvlJc w:val="left"/>
      <w:lvlText w:val="(%2)"/>
      <w:numFmt w:val="lowerLetter"/>
      <w:start w:val="1"/>
    </w:lvl>
  </w:abstractNum>
  <w:abstractNum w:abstractNumId="99">
    <w:nsid w:val="2C6E4AFD"/>
    <w:multiLevelType w:val="hybridMultilevel"/>
    <w:lvl w:ilvl="0">
      <w:lvlJc w:val="left"/>
      <w:lvlText w:val="%1"/>
      <w:numFmt w:val="decimal"/>
      <w:start w:val="1"/>
    </w:lvl>
    <w:lvl w:ilvl="1">
      <w:lvlJc w:val="left"/>
      <w:lvlText w:val="(%2)"/>
      <w:numFmt w:val="lowerLetter"/>
      <w:start w:val="7"/>
    </w:lvl>
  </w:abstractNum>
  <w:abstractNum w:abstractNumId="100">
    <w:nsid w:val="17A1B582"/>
    <w:multiLevelType w:val="hybridMultilevel"/>
    <w:lvl w:ilvl="0">
      <w:lvlJc w:val="left"/>
      <w:lvlText w:val="%1."/>
      <w:numFmt w:val="decimal"/>
      <w:start w:val="2"/>
    </w:lvl>
    <w:lvl w:ilvl="1">
      <w:lvlJc w:val="left"/>
      <w:lvlText w:val="%2"/>
      <w:numFmt w:val="lowerLetter"/>
      <w:start w:val="1"/>
    </w:lvl>
  </w:abstractNum>
  <w:abstractNum w:abstractNumId="101">
    <w:nsid w:val="4DF72E4E"/>
    <w:multiLevelType w:val="hybridMultilevel"/>
    <w:lvl w:ilvl="0">
      <w:lvlJc w:val="left"/>
      <w:lvlText w:val="%1."/>
      <w:numFmt w:val="decimal"/>
      <w:start w:val="5"/>
    </w:lvl>
  </w:abstractNum>
  <w:abstractNum w:abstractNumId="102">
    <w:nsid w:val="5046B5A9"/>
    <w:multiLevelType w:val="hybridMultilevel"/>
    <w:lvl w:ilvl="0">
      <w:lvlJc w:val="left"/>
      <w:lvlText w:val="(%1)"/>
      <w:numFmt w:val="lowerLetter"/>
      <w:start w:val="1"/>
    </w:lvl>
  </w:abstractNum>
  <w:abstractNum w:abstractNumId="103">
    <w:nsid w:val="5D888A08"/>
    <w:multiLevelType w:val="hybridMultilevel"/>
    <w:lvl w:ilvl="0">
      <w:lvlJc w:val="left"/>
      <w:lvlText w:val="(%1)"/>
      <w:numFmt w:val="lowerRoman"/>
      <w:start w:val="1"/>
    </w:lvl>
  </w:abstractNum>
  <w:abstractNum w:abstractNumId="104">
    <w:nsid w:val="2A082C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5">
    <w:nsid w:val="5EC6AFD4"/>
    <w:multiLevelType w:val="hybridMultilevel"/>
    <w:lvl w:ilvl="0">
      <w:lvlJc w:val="left"/>
      <w:lvlText w:val="%1."/>
      <w:numFmt w:val="decimal"/>
      <w:start w:val="8"/>
    </w:lvl>
    <w:lvl w:ilvl="1">
      <w:lvlJc w:val="left"/>
      <w:lvlText w:val="(%2)"/>
      <w:numFmt w:val="lowerLetter"/>
      <w:start w:val="1"/>
    </w:lvl>
  </w:abstractNum>
  <w:abstractNum w:abstractNumId="106">
    <w:nsid w:val="19E21BB2"/>
    <w:multiLevelType w:val="hybridMultilevel"/>
    <w:lvl w:ilvl="0">
      <w:lvlJc w:val="left"/>
      <w:lvlText w:val="%1"/>
      <w:numFmt w:val="decimal"/>
      <w:start w:val="1"/>
    </w:lvl>
    <w:lvl w:ilvl="1">
      <w:lvlJc w:val="left"/>
      <w:lvlText w:val="(%2)"/>
      <w:numFmt w:val="lowerLetter"/>
      <w:start w:val="2"/>
    </w:lvl>
  </w:abstractNum>
  <w:abstractNum w:abstractNumId="107">
    <w:nsid w:val="75E0858A"/>
    <w:multiLevelType w:val="hybridMultilevel"/>
    <w:lvl w:ilvl="0">
      <w:lvlJc w:val="left"/>
      <w:lvlText w:val="%1."/>
      <w:numFmt w:val="decimal"/>
      <w:start w:val="9"/>
    </w:lvl>
    <w:lvl w:ilvl="1">
      <w:lvlJc w:val="left"/>
      <w:lvlText w:val="%2"/>
      <w:numFmt w:val="lowerLetter"/>
      <w:start w:val="1"/>
    </w:lvl>
  </w:abstractNum>
  <w:abstractNum w:abstractNumId="108">
    <w:nsid w:val="57A61A29"/>
    <w:multiLevelType w:val="hybridMultilevel"/>
    <w:lvl w:ilvl="0">
      <w:lvlJc w:val="left"/>
      <w:lvlText w:val="%1."/>
      <w:numFmt w:val="decimal"/>
      <w:start w:val="15"/>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1."/>
      <w:numFmt w:val="decimal"/>
      <w:start w:val="1"/>
    </w:lvl>
    <w:lvl w:ilvl="1">
      <w:lvlJc w:val="left"/>
      <w:lvlText w:val="(%2)"/>
      <w:numFmt w:val="lowerLetter"/>
      <w:start w:val="1"/>
    </w:lvl>
  </w:abstractNum>
  <w:abstractNum w:abstractNumId="111">
    <w:nsid w:val="4427069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112">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2157F6BC"/>
    <w:multiLevelType w:val="hybridMultilevel"/>
    <w:lvl w:ilvl="0">
      <w:lvlJc w:val="left"/>
      <w:lvlText w:val="%1."/>
      <w:numFmt w:val="decimal"/>
      <w:start w:val="8"/>
    </w:lvl>
  </w:abstractNum>
  <w:abstractNum w:abstractNumId="114">
    <w:nsid w:val="704E1DD5"/>
    <w:multiLevelType w:val="hybridMultilevel"/>
    <w:lvl w:ilvl="0">
      <w:lvlJc w:val="left"/>
      <w:lvlText w:val="%1"/>
      <w:numFmt w:val="decimal"/>
      <w:start w:val="1"/>
    </w:lvl>
    <w:lvl w:ilvl="1">
      <w:lvlJc w:val="left"/>
      <w:lvlText w:val="(%2)"/>
      <w:numFmt w:val="lowerLetter"/>
      <w:start w:val="1"/>
    </w:lvl>
  </w:abstractNum>
  <w:abstractNum w:abstractNumId="115">
    <w:nsid w:val="57D2F10E"/>
    <w:multiLevelType w:val="hybridMultilevel"/>
    <w:lvl w:ilvl="0">
      <w:lvlJc w:val="left"/>
      <w:lvlText w:val="%1."/>
      <w:numFmt w:val="decimal"/>
      <w:start w:val="9"/>
    </w:lvl>
    <w:lvl w:ilvl="1">
      <w:lvlJc w:val="left"/>
      <w:lvlText w:val="%2"/>
      <w:numFmt w:val="lowerLetter"/>
      <w:start w:val="1"/>
    </w:lvl>
  </w:abstractNum>
  <w:abstractNum w:abstractNumId="116">
    <w:nsid w:val="BFFAE18"/>
    <w:multiLevelType w:val="hybridMultilevel"/>
    <w:lvl w:ilvl="0">
      <w:lvlJc w:val="left"/>
      <w:lvlText w:val="%1."/>
      <w:numFmt w:val="decimal"/>
      <w:start w:val="16"/>
    </w:lvl>
  </w:abstractNum>
  <w:abstractNum w:abstractNumId="117">
    <w:nsid w:val="E3E47A8"/>
    <w:multiLevelType w:val="hybridMultilevel"/>
    <w:lvl w:ilvl="0">
      <w:lvlJc w:val="left"/>
      <w:lvlText w:val="%1."/>
      <w:numFmt w:val="decimal"/>
      <w:start w:val="1"/>
    </w:lvl>
    <w:lvl w:ilvl="1">
      <w:lvlJc w:val="left"/>
      <w:lvlText w:val="(%2)"/>
      <w:numFmt w:val="lowerLetter"/>
      <w:start w:val="1"/>
    </w:lvl>
  </w:abstractNum>
  <w:abstractNum w:abstractNumId="118">
    <w:nsid w:val="2E48F044"/>
    <w:multiLevelType w:val="hybridMultilevel"/>
    <w:lvl w:ilvl="0">
      <w:lvlJc w:val="left"/>
      <w:lvlText w:val="%1"/>
      <w:numFmt w:val="decimal"/>
      <w:start w:val="1"/>
    </w:lvl>
    <w:lvl w:ilvl="1">
      <w:lvlJc w:val="left"/>
      <w:lvlText w:val="(%2)"/>
      <w:numFmt w:val="lowerLetter"/>
      <w:start w:val="3"/>
    </w:lvl>
  </w:abstractNum>
  <w:abstractNum w:abstractNumId="119">
    <w:nsid w:val="49D0FEAC"/>
    <w:multiLevelType w:val="hybridMultilevel"/>
    <w:lvl w:ilvl="0">
      <w:lvlJc w:val="left"/>
      <w:lvlText w:val="%1."/>
      <w:numFmt w:val="decimal"/>
      <w:start w:val="2"/>
    </w:lvl>
    <w:lvl w:ilvl="1">
      <w:lvlJc w:val="left"/>
      <w:lvlText w:val="%2"/>
      <w:numFmt w:val="lowerLetter"/>
      <w:start w:val="1"/>
    </w:lvl>
  </w:abstractNum>
  <w:abstractNum w:abstractNumId="120">
    <w:nsid w:val="4BEE5A5B"/>
    <w:multiLevelType w:val="hybridMultilevel"/>
    <w:lvl w:ilvl="0">
      <w:lvlJc w:val="left"/>
      <w:lvlText w:val="%1."/>
      <w:numFmt w:val="decimal"/>
      <w:start w:val="3"/>
    </w:lvl>
  </w:abstractNum>
  <w:abstractNum w:abstractNumId="121">
    <w:nsid w:val="5551B9F3"/>
    <w:multiLevelType w:val="hybridMultilevel"/>
    <w:lvl w:ilvl="0">
      <w:lvlJc w:val="left"/>
      <w:lvlText w:val="%1."/>
      <w:numFmt w:val="decimal"/>
      <w:start w:val="5"/>
    </w:lvl>
    <w:lvl w:ilvl="1">
      <w:lvlJc w:val="left"/>
      <w:lvlText w:val="(%2)"/>
      <w:numFmt w:val="lowerLetter"/>
      <w:start w:val="1"/>
    </w:lvl>
  </w:abstractNum>
  <w:abstractNum w:abstractNumId="122">
    <w:nsid w:val="24F6AB8E"/>
    <w:multiLevelType w:val="hybridMultilevel"/>
    <w:lvl w:ilvl="0">
      <w:lvlJc w:val="left"/>
      <w:lvlText w:val="%1"/>
      <w:numFmt w:val="decimal"/>
      <w:start w:val="1"/>
    </w:lvl>
    <w:lvl w:ilvl="1">
      <w:lvlJc w:val="left"/>
      <w:lvlText w:val="(%2)"/>
      <w:numFmt w:val="lowerLetter"/>
      <w:start w:val="2"/>
    </w:lvl>
  </w:abstractNum>
  <w:abstractNum w:abstractNumId="123">
    <w:nsid w:val="634C574C"/>
    <w:multiLevelType w:val="hybridMultilevel"/>
    <w:lvl w:ilvl="0">
      <w:lvlJc w:val="left"/>
      <w:lvlText w:val="%1."/>
      <w:numFmt w:val="decimal"/>
      <w:start w:val="6"/>
    </w:lvl>
    <w:lvl w:ilvl="1">
      <w:lvlJc w:val="left"/>
      <w:lvlText w:val="%2"/>
      <w:numFmt w:val="lowerLetter"/>
      <w:start w:val="1"/>
    </w:lvl>
  </w:abstractNum>
  <w:abstractNum w:abstractNumId="124">
    <w:nsid w:val="24E99DD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5">
    <w:nsid w:val="2A31B62D"/>
    <w:multiLevelType w:val="hybridMultilevel"/>
    <w:lvl w:ilvl="0">
      <w:lvlJc w:val="left"/>
      <w:lvlText w:val="%1."/>
      <w:numFmt w:val="decimal"/>
      <w:start w:val="8"/>
    </w:lvl>
    <w:lvl w:ilvl="1">
      <w:lvlJc w:val="left"/>
      <w:lvlText w:val="(%2)"/>
      <w:numFmt w:val="lowerLetter"/>
      <w:start w:val="1"/>
    </w:lvl>
  </w:abstractNum>
  <w:abstractNum w:abstractNumId="126">
    <w:nsid w:val="1849C29B"/>
    <w:multiLevelType w:val="hybridMultilevel"/>
    <w:lvl w:ilvl="0">
      <w:lvlJc w:val="left"/>
      <w:lvlText w:val="%1."/>
      <w:numFmt w:val="decimal"/>
      <w:start w:val="12"/>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1."/>
      <w:numFmt w:val="decimal"/>
      <w:start w:val="1"/>
    </w:lvl>
    <w:lvl w:ilvl="1">
      <w:lvlJc w:val="left"/>
      <w:lvlText w:val="◦"/>
      <w:numFmt w:val="bullet"/>
      <w:start w:val="1"/>
    </w:lvl>
  </w:abstractNum>
  <w:abstractNum w:abstractNumId="129">
    <w:nsid w:val="69E7F3E5"/>
    <w:multiLevelType w:val="hybridMultilevel"/>
    <w:lvl w:ilvl="0">
      <w:lvlJc w:val="left"/>
      <w:lvlText w:val="◦"/>
      <w:numFmt w:val="bullet"/>
      <w:start w:val="1"/>
    </w:lvl>
  </w:abstractNum>
  <w:abstractNum w:abstractNumId="130">
    <w:nsid w:val="2A6DE806"/>
    <w:multiLevelType w:val="hybridMultilevel"/>
    <w:lvl w:ilvl="0">
      <w:lvlJc w:val="left"/>
      <w:lvlText w:val="%1."/>
      <w:numFmt w:val="decimal"/>
      <w:start w:val="1"/>
    </w:lvl>
  </w:abstractNum>
  <w:abstractNum w:abstractNumId="131">
    <w:nsid w:val="1816F8C4"/>
    <w:multiLevelType w:val="hybridMultilevel"/>
    <w:lvl w:ilvl="0">
      <w:lvlJc w:val="left"/>
      <w:lvlText w:val="%1."/>
      <w:numFmt w:val="upperLetter"/>
      <w:start w:val="1"/>
    </w:lvl>
    <w:lvl w:ilvl="1">
      <w:lvlJc w:val="left"/>
      <w:lvlText w:val="◦"/>
      <w:numFmt w:val="bullet"/>
      <w:start w:val="1"/>
    </w:lvl>
  </w:abstractNum>
  <w:abstractNum w:abstractNumId="132">
    <w:nsid w:val="37DF2233"/>
    <w:multiLevelType w:val="hybridMultilevel"/>
    <w:lvl w:ilvl="0">
      <w:lvlJc w:val="left"/>
      <w:lvlText w:val="%1."/>
      <w:numFmt w:val="upperLetter"/>
      <w:start w:val="2"/>
    </w:lvl>
    <w:lvl w:ilvl="1">
      <w:lvlJc w:val="left"/>
      <w:lvlText w:val="%2."/>
      <w:numFmt w:val="decimal"/>
      <w:start w:val="1"/>
    </w:lvl>
  </w:abstractNum>
  <w:abstractNum w:abstractNumId="133">
    <w:nsid w:val="7AB49DA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34">
    <w:nsid w:val="759F82C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35">
    <w:nsid w:val="61E74EA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6"/>
    </w:lvl>
  </w:abstractNum>
  <w:abstractNum w:abstractNumId="136">
    <w:nsid w:val="597B4D8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137">
    <w:nsid w:val="F819E7F"/>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38">
    <w:nsid w:val="57C7D42D"/>
    <w:multiLevelType w:val="hybridMultilevel"/>
    <w:lvl w:ilvl="0">
      <w:lvlJc w:val="left"/>
      <w:lvlText w:val="%1."/>
      <w:numFmt w:val="decimal"/>
      <w:start w:val="1"/>
    </w:lvl>
    <w:lvl w:ilvl="1">
      <w:lvlJc w:val="left"/>
      <w:lvlText w:val="▪"/>
      <w:numFmt w:val="bullet"/>
      <w:start w:val="1"/>
    </w:lvl>
  </w:abstractNum>
  <w:abstractNum w:abstractNumId="139">
    <w:nsid w:val="312167A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0">
    <w:nsid w:val="631B64D4"/>
    <w:multiLevelType w:val="hybridMultilevel"/>
    <w:lvl w:ilvl="0">
      <w:lvlJc w:val="left"/>
      <w:lvlText w:val="%1."/>
      <w:numFmt w:val="lowerLetter"/>
      <w:start w:val="2"/>
    </w:lvl>
    <w:lvl w:ilvl="1">
      <w:lvlJc w:val="left"/>
      <w:lvlText w:val="▪"/>
      <w:numFmt w:val="bullet"/>
      <w:start w:val="1"/>
    </w:lvl>
  </w:abstractNum>
  <w:abstractNum w:abstractNumId="141">
    <w:nsid w:val="78B5E776"/>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1"/>
      <w:numFmt w:val="upperLetter"/>
      <w:start w:val="1"/>
    </w:lvl>
    <w:lvl w:ilvl="1">
      <w:lvlJc w:val="left"/>
      <w:lvlText w:val="%2."/>
      <w:numFmt w:val="decimal"/>
      <w:start w:val="2"/>
    </w:lvl>
  </w:abstractNum>
  <w:abstractNum w:abstractNumId="144">
    <w:nsid w:val="1A0DDE32"/>
    <w:multiLevelType w:val="hybridMultilevel"/>
    <w:lvl w:ilvl="0">
      <w:lvlJc w:val="left"/>
      <w:lvlText w:val="%1."/>
      <w:numFmt w:val="upperLetter"/>
      <w:start w:val="5"/>
    </w:lvl>
    <w:lvl w:ilvl="1">
      <w:lvlJc w:val="left"/>
      <w:lvlText w:val="%2"/>
      <w:numFmt w:val="decimal"/>
      <w:start w:val="1"/>
    </w:lvl>
  </w:abstractNum>
  <w:abstractNum w:abstractNumId="145">
    <w:nsid w:val="65968C1C"/>
    <w:multiLevelType w:val="hybridMultilevel"/>
    <w:lvl w:ilvl="0">
      <w:lvlJc w:val="left"/>
      <w:lvlText w:val="%1."/>
      <w:numFmt w:val="decimal"/>
      <w:start w:val="1"/>
    </w:lvl>
    <w:lvl w:ilvl="1">
      <w:lvlJc w:val="left"/>
      <w:lvlText w:val="▪"/>
      <w:numFmt w:val="bullet"/>
      <w:start w:val="1"/>
    </w:lvl>
  </w:abstractNum>
  <w:abstractNum w:abstractNumId="146">
    <w:nsid w:val="46263DEC"/>
    <w:multiLevelType w:val="hybridMultilevel"/>
    <w:lvl w:ilvl="0">
      <w:lvlJc w:val="left"/>
      <w:lvlText w:val="%1."/>
      <w:numFmt w:val="decimal"/>
      <w:start w:val="2"/>
    </w:lvl>
  </w:abstractNum>
  <w:abstractNum w:abstractNumId="147">
    <w:nsid w:val="260D8C4A"/>
    <w:multiLevelType w:val="hybridMultilevel"/>
    <w:lvl w:ilvl="0">
      <w:lvlJc w:val="left"/>
      <w:lvlText w:val="%1."/>
      <w:numFmt w:val="upperLetter"/>
      <w:start w:val="6"/>
    </w:lvl>
    <w:lvl w:ilvl="1">
      <w:lvlJc w:val="left"/>
      <w:lvlText w:val="%2."/>
      <w:numFmt w:val="decimal"/>
      <w:start w:val="1"/>
    </w:lvl>
  </w:abstractNum>
  <w:abstractNum w:abstractNumId="148">
    <w:nsid w:val="73D4D3C4"/>
    <w:multiLevelType w:val="hybridMultilevel"/>
    <w:lvl w:ilvl="0">
      <w:lvlJc w:val="left"/>
      <w:lvlText w:val="%1."/>
      <w:numFmt w:val="decimal"/>
      <w:start w:val="5"/>
    </w:lvl>
  </w:abstractNum>
  <w:abstractNum w:abstractNumId="149">
    <w:nsid w:val="746F2E30"/>
    <w:multiLevelType w:val="hybridMultilevel"/>
    <w:lvl w:ilvl="0">
      <w:lvlJc w:val="left"/>
      <w:lvlText w:val="(%1)"/>
      <w:numFmt w:val="decimal"/>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2019-12-29T08:47:51Z</dcterms:created>
  <dcterms:modified xsi:type="dcterms:W3CDTF">2019-12-29T08:47:51Z</dcterms:modified>
</cp:coreProperties>
</file>